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kinsoku/>
        <w:wordWrap/>
        <w:overflowPunct/>
        <w:topLinePunct w:val="0"/>
        <w:autoSpaceDE/>
        <w:autoSpaceDN/>
        <w:bidi w:val="0"/>
        <w:ind w:left="0" w:leftChars="0" w:firstLine="0" w:firstLineChars="0"/>
        <w:jc w:val="center"/>
        <w:textAlignment w:val="auto"/>
        <w:outlineLvl w:val="0"/>
        <w:rPr>
          <w:rFonts w:hint="default" w:ascii="Times New Roman" w:hAnsi="Times New Roman" w:eastAsia="宋体" w:cs="Times New Roman"/>
          <w:bCs/>
          <w:color w:val="auto"/>
          <w:sz w:val="72"/>
          <w:szCs w:val="72"/>
          <w:highlight w:val="none"/>
          <w:lang w:eastAsia="zh-CN"/>
        </w:rPr>
      </w:pPr>
      <w:r>
        <w:rPr>
          <w:rFonts w:hint="default" w:ascii="Times New Roman" w:hAnsi="Times New Roman" w:eastAsia="宋体" w:cs="Times New Roman"/>
          <w:bCs/>
          <w:color w:val="auto"/>
          <w:sz w:val="72"/>
          <w:szCs w:val="72"/>
          <w:highlight w:val="none"/>
          <w:lang w:eastAsia="zh-CN"/>
        </w:rPr>
        <w:drawing>
          <wp:inline distT="0" distB="0" distL="114300" distR="114300">
            <wp:extent cx="5274310" cy="7253605"/>
            <wp:effectExtent l="0" t="0" r="2540" b="4445"/>
            <wp:docPr id="18" name="图片 18" descr="3c1179ccfdb7bd9462420a71a2a44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3c1179ccfdb7bd9462420a71a2a449f"/>
                    <pic:cNvPicPr>
                      <a:picLocks noChangeAspect="1"/>
                    </pic:cNvPicPr>
                  </pic:nvPicPr>
                  <pic:blipFill>
                    <a:blip r:embed="rId15"/>
                    <a:stretch>
                      <a:fillRect/>
                    </a:stretch>
                  </pic:blipFill>
                  <pic:spPr>
                    <a:xfrm>
                      <a:off x="0" y="0"/>
                      <a:ext cx="5274310" cy="7253605"/>
                    </a:xfrm>
                    <a:prstGeom prst="rect">
                      <a:avLst/>
                    </a:prstGeom>
                  </pic:spPr>
                </pic:pic>
              </a:graphicData>
            </a:graphic>
          </wp:inline>
        </w:drawing>
      </w:r>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40"/>
          <w:szCs w:val="40"/>
          <w:highlight w:val="none"/>
        </w:rPr>
      </w:pPr>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40"/>
          <w:szCs w:val="40"/>
          <w:highlight w:val="none"/>
        </w:rPr>
      </w:pPr>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40"/>
          <w:szCs w:val="40"/>
          <w:highlight w:val="none"/>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26" w:charSpace="0"/>
        </w:sectPr>
      </w:pPr>
    </w:p>
    <w:p>
      <w:pPr>
        <w:pStyle w:val="28"/>
        <w:ind w:left="0" w:lef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267960" cy="7450455"/>
            <wp:effectExtent l="0" t="0" r="8890" b="17145"/>
            <wp:docPr id="17" name="图片 17" descr="d0eb5cf2e513f41ce44f609eb8f8f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0eb5cf2e513f41ce44f609eb8f8f1a"/>
                    <pic:cNvPicPr>
                      <a:picLocks noChangeAspect="1"/>
                    </pic:cNvPicPr>
                  </pic:nvPicPr>
                  <pic:blipFill>
                    <a:blip r:embed="rId16"/>
                    <a:stretch>
                      <a:fillRect/>
                    </a:stretch>
                  </pic:blipFill>
                  <pic:spPr>
                    <a:xfrm>
                      <a:off x="0" y="0"/>
                      <a:ext cx="5267960" cy="7450455"/>
                    </a:xfrm>
                    <a:prstGeom prst="rect">
                      <a:avLst/>
                    </a:prstGeom>
                  </pic:spPr>
                </pic:pic>
              </a:graphicData>
            </a:graphic>
          </wp:inline>
        </w:drawing>
      </w:r>
    </w:p>
    <w:p>
      <w:pPr>
        <w:pStyle w:val="28"/>
        <w:ind w:left="0" w:leftChars="0" w:firstLine="0" w:firstLineChars="0"/>
        <w:rPr>
          <w:rFonts w:hint="default" w:ascii="Times New Roman" w:hAnsi="Times New Roman" w:eastAsia="宋体" w:cs="Times New Roman"/>
          <w:color w:val="auto"/>
          <w:highlight w:val="none"/>
          <w:lang w:eastAsia="zh-CN"/>
        </w:rPr>
      </w:pPr>
    </w:p>
    <w:p>
      <w:pPr>
        <w:pStyle w:val="28"/>
        <w:ind w:left="0" w:leftChars="0" w:firstLine="0" w:firstLineChars="0"/>
        <w:rPr>
          <w:rFonts w:hint="default" w:ascii="Times New Roman" w:hAnsi="Times New Roman" w:eastAsia="宋体" w:cs="Times New Roman"/>
          <w:color w:val="auto"/>
          <w:highlight w:val="none"/>
          <w:lang w:eastAsia="zh-CN"/>
        </w:rPr>
      </w:pPr>
    </w:p>
    <w:p>
      <w:pPr>
        <w:pStyle w:val="28"/>
        <w:ind w:left="0" w:leftChars="0" w:firstLine="0" w:firstLineChars="0"/>
        <w:rPr>
          <w:rFonts w:hint="default" w:ascii="Times New Roman" w:hAnsi="Times New Roman" w:eastAsia="宋体" w:cs="Times New Roman"/>
          <w:color w:val="auto"/>
          <w:highlight w:val="none"/>
          <w:lang w:eastAsia="zh-CN"/>
        </w:rPr>
      </w:pPr>
    </w:p>
    <w:p>
      <w:pPr>
        <w:pStyle w:val="28"/>
        <w:ind w:left="0" w:leftChars="0" w:firstLine="0" w:firstLineChars="0"/>
        <w:jc w:val="left"/>
        <w:rPr>
          <w:rFonts w:hint="default" w:ascii="Times New Roman" w:hAnsi="Times New Roman" w:eastAsia="宋体" w:cs="Times New Roman"/>
          <w:color w:val="auto"/>
          <w:sz w:val="24"/>
          <w:szCs w:val="24"/>
          <w:highlight w:val="none"/>
          <w:lang w:eastAsia="zh-CN"/>
        </w:rPr>
      </w:pPr>
      <w:r>
        <w:drawing>
          <wp:inline distT="0" distB="0" distL="114300" distR="114300">
            <wp:extent cx="5259070" cy="7437755"/>
            <wp:effectExtent l="0" t="0" r="17780" b="10795"/>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17"/>
                    <a:stretch>
                      <a:fillRect/>
                    </a:stretch>
                  </pic:blipFill>
                  <pic:spPr>
                    <a:xfrm>
                      <a:off x="0" y="0"/>
                      <a:ext cx="5259070" cy="7437755"/>
                    </a:xfrm>
                    <a:prstGeom prst="rect">
                      <a:avLst/>
                    </a:prstGeom>
                    <a:noFill/>
                    <a:ln>
                      <a:noFill/>
                    </a:ln>
                  </pic:spPr>
                </pic:pic>
              </a:graphicData>
            </a:graphic>
          </wp:inline>
        </w:drawing>
      </w:r>
    </w:p>
    <w:p>
      <w:pPr>
        <w:pStyle w:val="28"/>
        <w:ind w:left="0" w:leftChars="0" w:firstLine="0" w:firstLineChars="0"/>
        <w:jc w:val="left"/>
        <w:rPr>
          <w:rFonts w:hint="default" w:ascii="Times New Roman" w:hAnsi="Times New Roman" w:eastAsia="宋体" w:cs="Times New Roman"/>
          <w:color w:val="auto"/>
          <w:sz w:val="24"/>
          <w:szCs w:val="24"/>
          <w:highlight w:val="none"/>
          <w:lang w:eastAsia="zh-CN"/>
        </w:rPr>
      </w:pPr>
    </w:p>
    <w:p>
      <w:pPr>
        <w:pStyle w:val="28"/>
        <w:ind w:left="0" w:leftChars="0" w:firstLine="0" w:firstLineChars="0"/>
        <w:jc w:val="left"/>
        <w:rPr>
          <w:rFonts w:hint="default" w:ascii="Times New Roman" w:hAnsi="Times New Roman" w:eastAsia="宋体" w:cs="Times New Roman"/>
          <w:color w:val="auto"/>
          <w:sz w:val="24"/>
          <w:szCs w:val="24"/>
          <w:highlight w:val="none"/>
          <w:lang w:eastAsia="zh-CN"/>
        </w:rPr>
      </w:pPr>
    </w:p>
    <w:p>
      <w:pPr>
        <w:pStyle w:val="28"/>
        <w:ind w:left="0" w:leftChars="0" w:firstLine="0" w:firstLineChars="0"/>
        <w:jc w:val="left"/>
        <w:rPr>
          <w:rFonts w:hint="default" w:ascii="Times New Roman" w:hAnsi="Times New Roman" w:eastAsia="宋体" w:cs="Times New Roman"/>
          <w:color w:val="auto"/>
          <w:sz w:val="24"/>
          <w:szCs w:val="24"/>
          <w:highlight w:val="none"/>
          <w:lang w:eastAsia="zh-CN"/>
        </w:rPr>
      </w:pPr>
    </w:p>
    <w:p>
      <w:pPr>
        <w:pStyle w:val="28"/>
        <w:ind w:left="0" w:leftChars="0" w:firstLine="0" w:firstLineChars="0"/>
        <w:jc w:val="left"/>
      </w:pPr>
      <w:r>
        <w:drawing>
          <wp:inline distT="0" distB="0" distL="114300" distR="114300">
            <wp:extent cx="5259070" cy="7437755"/>
            <wp:effectExtent l="0" t="0" r="17780" b="10795"/>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18"/>
                    <a:stretch>
                      <a:fillRect/>
                    </a:stretch>
                  </pic:blipFill>
                  <pic:spPr>
                    <a:xfrm>
                      <a:off x="0" y="0"/>
                      <a:ext cx="5259070" cy="7437755"/>
                    </a:xfrm>
                    <a:prstGeom prst="rect">
                      <a:avLst/>
                    </a:prstGeom>
                    <a:noFill/>
                    <a:ln>
                      <a:noFill/>
                    </a:ln>
                  </pic:spPr>
                </pic:pic>
              </a:graphicData>
            </a:graphic>
          </wp:inline>
        </w:drawing>
      </w:r>
    </w:p>
    <w:p>
      <w:pPr>
        <w:pStyle w:val="28"/>
        <w:ind w:left="0" w:leftChars="0" w:firstLine="0" w:firstLineChars="0"/>
        <w:jc w:val="left"/>
      </w:pPr>
    </w:p>
    <w:p>
      <w:pPr>
        <w:pStyle w:val="28"/>
        <w:ind w:left="0" w:leftChars="0" w:firstLine="0" w:firstLineChars="0"/>
        <w:jc w:val="left"/>
      </w:pPr>
    </w:p>
    <w:p>
      <w:pPr>
        <w:pStyle w:val="28"/>
        <w:ind w:left="0" w:leftChars="0" w:firstLine="0" w:firstLineChars="0"/>
        <w:jc w:val="left"/>
      </w:pPr>
    </w:p>
    <w:p>
      <w:pPr>
        <w:pStyle w:val="28"/>
        <w:ind w:left="0" w:leftChars="0" w:firstLine="0" w:firstLineChars="0"/>
        <w:jc w:val="left"/>
      </w:pPr>
      <w:r>
        <w:drawing>
          <wp:inline distT="0" distB="0" distL="114300" distR="114300">
            <wp:extent cx="5259070" cy="7437755"/>
            <wp:effectExtent l="0" t="0" r="17780" b="10795"/>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19"/>
                    <a:stretch>
                      <a:fillRect/>
                    </a:stretch>
                  </pic:blipFill>
                  <pic:spPr>
                    <a:xfrm>
                      <a:off x="0" y="0"/>
                      <a:ext cx="5259070" cy="7437755"/>
                    </a:xfrm>
                    <a:prstGeom prst="rect">
                      <a:avLst/>
                    </a:prstGeom>
                    <a:noFill/>
                    <a:ln>
                      <a:noFill/>
                    </a:ln>
                  </pic:spPr>
                </pic:pic>
              </a:graphicData>
            </a:graphic>
          </wp:inline>
        </w:drawing>
      </w:r>
    </w:p>
    <w:p>
      <w:pPr>
        <w:pStyle w:val="28"/>
        <w:ind w:left="0" w:leftChars="0" w:firstLine="0" w:firstLineChars="0"/>
        <w:jc w:val="left"/>
      </w:pPr>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40"/>
          <w:szCs w:val="40"/>
          <w:highlight w:val="none"/>
          <w:lang w:eastAsia="zh-CN"/>
        </w:rPr>
      </w:pPr>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sz w:val="40"/>
          <w:szCs w:val="40"/>
          <w:highlight w:val="none"/>
        </w:rPr>
        <w:sectPr>
          <w:footerReference r:id="rId12" w:type="first"/>
          <w:footerReference r:id="rId11" w:type="default"/>
          <w:pgSz w:w="11906" w:h="16838"/>
          <w:pgMar w:top="1440" w:right="1800" w:bottom="1440" w:left="1800" w:header="851" w:footer="992" w:gutter="0"/>
          <w:cols w:space="425" w:num="1"/>
          <w:titlePg/>
          <w:docGrid w:type="lines" w:linePitch="326" w:charSpace="0"/>
        </w:sectPr>
      </w:pPr>
    </w:p>
    <w:p>
      <w:pPr>
        <w:pStyle w:val="3"/>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bookmarkStart w:id="0" w:name="_Toc163032408"/>
      <w:r>
        <w:rPr>
          <w:rFonts w:hint="default" w:ascii="Times New Roman" w:hAnsi="Times New Roman" w:eastAsia="宋体" w:cs="Times New Roman"/>
          <w:color w:val="auto"/>
          <w:highlight w:val="none"/>
        </w:rPr>
        <w:t>一、建设项目基本情况</w:t>
      </w:r>
      <w:bookmarkEnd w:id="0"/>
    </w:p>
    <w:tbl>
      <w:tblPr>
        <w:tblStyle w:val="29"/>
        <w:tblW w:w="91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81"/>
        <w:gridCol w:w="2152"/>
        <w:gridCol w:w="2060"/>
        <w:gridCol w:w="359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381"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建设项目名称</w:t>
            </w:r>
          </w:p>
        </w:tc>
        <w:tc>
          <w:tcPr>
            <w:tcW w:w="7803" w:type="dxa"/>
            <w:gridSpan w:val="3"/>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内蒙古嘉宇新材料有限公司含硅材料综合利用项目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381"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项目代码</w:t>
            </w:r>
          </w:p>
        </w:tc>
        <w:tc>
          <w:tcPr>
            <w:tcW w:w="7803" w:type="dxa"/>
            <w:gridSpan w:val="3"/>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2312-150823-04-01-972759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381"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建设单位联系人</w:t>
            </w:r>
          </w:p>
        </w:tc>
        <w:tc>
          <w:tcPr>
            <w:tcW w:w="2152"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高文俊</w:t>
            </w:r>
          </w:p>
        </w:tc>
        <w:tc>
          <w:tcPr>
            <w:tcW w:w="206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联系方式</w:t>
            </w:r>
          </w:p>
        </w:tc>
        <w:tc>
          <w:tcPr>
            <w:tcW w:w="359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szCs w:val="24"/>
                <w:highlight w:val="none"/>
                <w:lang w:val="en-US" w:eastAsia="zh-CN"/>
              </w:rPr>
              <w:t>18</w:t>
            </w:r>
            <w:r>
              <w:rPr>
                <w:rFonts w:hint="default" w:ascii="Times New Roman" w:hAnsi="Times New Roman" w:eastAsia="宋体" w:cs="Times New Roman"/>
                <w:color w:val="auto"/>
                <w:szCs w:val="24"/>
                <w:highlight w:val="none"/>
              </w:rPr>
              <w:t>0</w:t>
            </w:r>
            <w:r>
              <w:rPr>
                <w:rFonts w:hint="default" w:ascii="Times New Roman" w:hAnsi="Times New Roman" w:eastAsia="宋体" w:cs="Times New Roman"/>
                <w:color w:val="auto"/>
                <w:szCs w:val="24"/>
                <w:highlight w:val="none"/>
                <w:lang w:val="en-US" w:eastAsia="zh-CN"/>
              </w:rPr>
              <w:t>04725581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381"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建设地点</w:t>
            </w:r>
          </w:p>
        </w:tc>
        <w:tc>
          <w:tcPr>
            <w:tcW w:w="7803" w:type="dxa"/>
            <w:gridSpan w:val="3"/>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4"/>
                <w:highlight w:val="none"/>
              </w:rPr>
              <w:t>内蒙古自治区巴彦淖尔市乌拉特前旗工业园区（巴彦淖尔市飞达铸业有限责任公司院内）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381"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地理坐标</w:t>
            </w:r>
          </w:p>
        </w:tc>
        <w:tc>
          <w:tcPr>
            <w:tcW w:w="7803" w:type="dxa"/>
            <w:gridSpan w:val="3"/>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u w:val="single"/>
              </w:rPr>
              <w:t>109</w:t>
            </w:r>
            <w:r>
              <w:rPr>
                <w:rFonts w:hint="default" w:ascii="Times New Roman" w:hAnsi="Times New Roman" w:eastAsia="宋体" w:cs="Times New Roman"/>
                <w:color w:val="auto"/>
                <w:highlight w:val="none"/>
              </w:rPr>
              <w:t>度</w:t>
            </w:r>
            <w:r>
              <w:rPr>
                <w:rFonts w:hint="default" w:ascii="Times New Roman" w:hAnsi="Times New Roman" w:eastAsia="宋体" w:cs="Times New Roman"/>
                <w:color w:val="auto"/>
                <w:highlight w:val="none"/>
                <w:u w:val="single"/>
              </w:rPr>
              <w:t>18</w:t>
            </w:r>
            <w:r>
              <w:rPr>
                <w:rFonts w:hint="default" w:ascii="Times New Roman" w:hAnsi="Times New Roman" w:eastAsia="宋体" w:cs="Times New Roman"/>
                <w:color w:val="auto"/>
                <w:highlight w:val="none"/>
              </w:rPr>
              <w:t>分</w:t>
            </w:r>
            <w:r>
              <w:rPr>
                <w:rFonts w:hint="default" w:ascii="Times New Roman" w:hAnsi="Times New Roman" w:eastAsia="宋体" w:cs="Times New Roman"/>
                <w:color w:val="auto"/>
                <w:highlight w:val="none"/>
                <w:u w:val="single"/>
              </w:rPr>
              <w:t>14.875</w:t>
            </w:r>
            <w:r>
              <w:rPr>
                <w:rFonts w:hint="default" w:ascii="Times New Roman" w:hAnsi="Times New Roman" w:eastAsia="宋体" w:cs="Times New Roman"/>
                <w:color w:val="auto"/>
                <w:highlight w:val="none"/>
              </w:rPr>
              <w:t>秒，</w:t>
            </w:r>
            <w:r>
              <w:rPr>
                <w:rFonts w:hint="default" w:ascii="Times New Roman" w:hAnsi="Times New Roman" w:eastAsia="宋体" w:cs="Times New Roman"/>
                <w:color w:val="auto"/>
                <w:highlight w:val="none"/>
                <w:u w:val="single"/>
              </w:rPr>
              <w:t>40</w:t>
            </w:r>
            <w:r>
              <w:rPr>
                <w:rFonts w:hint="default" w:ascii="Times New Roman" w:hAnsi="Times New Roman" w:eastAsia="宋体" w:cs="Times New Roman"/>
                <w:color w:val="auto"/>
                <w:highlight w:val="none"/>
              </w:rPr>
              <w:t>度</w:t>
            </w:r>
            <w:r>
              <w:rPr>
                <w:rFonts w:hint="default" w:ascii="Times New Roman" w:hAnsi="Times New Roman" w:eastAsia="宋体" w:cs="Times New Roman"/>
                <w:color w:val="auto"/>
                <w:highlight w:val="none"/>
                <w:u w:val="single"/>
              </w:rPr>
              <w:t>36</w:t>
            </w:r>
            <w:r>
              <w:rPr>
                <w:rFonts w:hint="default" w:ascii="Times New Roman" w:hAnsi="Times New Roman" w:eastAsia="宋体" w:cs="Times New Roman"/>
                <w:color w:val="auto"/>
                <w:highlight w:val="none"/>
              </w:rPr>
              <w:t>分</w:t>
            </w:r>
            <w:r>
              <w:rPr>
                <w:rFonts w:hint="default" w:ascii="Times New Roman" w:hAnsi="Times New Roman" w:eastAsia="宋体" w:cs="Times New Roman"/>
                <w:color w:val="auto"/>
                <w:highlight w:val="none"/>
                <w:u w:val="single"/>
              </w:rPr>
              <w:t>15.685</w:t>
            </w:r>
            <w:r>
              <w:rPr>
                <w:rFonts w:hint="default" w:ascii="Times New Roman" w:hAnsi="Times New Roman" w:eastAsia="宋体" w:cs="Times New Roman"/>
                <w:color w:val="auto"/>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381"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国民经济</w:t>
            </w:r>
          </w:p>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行业类别</w:t>
            </w:r>
          </w:p>
        </w:tc>
        <w:tc>
          <w:tcPr>
            <w:tcW w:w="2152"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4"/>
                <w:highlight w:val="none"/>
              </w:rPr>
              <w:t>C4220非金属废料和碎屑加工处理</w:t>
            </w:r>
          </w:p>
        </w:tc>
        <w:tc>
          <w:tcPr>
            <w:tcW w:w="206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bookmarkStart w:id="1" w:name="_Hlk49843745"/>
            <w:r>
              <w:rPr>
                <w:rFonts w:hint="default" w:ascii="Times New Roman" w:hAnsi="Times New Roman" w:eastAsia="宋体" w:cs="Times New Roman"/>
                <w:b/>
                <w:bCs/>
                <w:color w:val="auto"/>
                <w:highlight w:val="none"/>
              </w:rPr>
              <w:t>建设项目</w:t>
            </w:r>
          </w:p>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行业类别</w:t>
            </w:r>
            <w:bookmarkEnd w:id="1"/>
          </w:p>
        </w:tc>
        <w:tc>
          <w:tcPr>
            <w:tcW w:w="3591" w:type="dxa"/>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三十九、废弃资源综合利用业42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85.</w:t>
            </w:r>
            <w:r>
              <w:rPr>
                <w:rFonts w:hint="default" w:ascii="Times New Roman" w:hAnsi="Times New Roman" w:eastAsia="宋体" w:cs="Times New Roman"/>
                <w:color w:val="auto"/>
                <w:sz w:val="24"/>
                <w:szCs w:val="24"/>
                <w:highlight w:val="none"/>
              </w:rPr>
              <w:t>非金属废料和碎屑加工处理422</w:t>
            </w:r>
            <w:r>
              <w:rPr>
                <w:rFonts w:hint="default" w:ascii="Times New Roman" w:hAnsi="Times New Roman" w:eastAsia="宋体" w:cs="Times New Roman"/>
                <w:color w:val="auto"/>
                <w:sz w:val="24"/>
                <w:szCs w:val="24"/>
                <w:highlight w:val="none"/>
                <w:lang w:eastAsia="zh-CN"/>
              </w:rPr>
              <w:t>——废弃电器电子产品、废机动车、废电机、废电线电缆、废钢、废铁、金属和金属化合物矿灰及残渣、有色金属废料与碎屑、废塑料、废轮胎、废船、含水洗工艺的其他废料和碎屑加工处理（农业生产产生的废旧秧盘、薄膜破碎和清洗工艺的除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381"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建设性质</w:t>
            </w:r>
          </w:p>
        </w:tc>
        <w:tc>
          <w:tcPr>
            <w:tcW w:w="2152" w:type="dxa"/>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sym w:font="Wingdings 2" w:char="0052"/>
            </w:r>
            <w:r>
              <w:rPr>
                <w:rFonts w:hint="default" w:ascii="Times New Roman" w:hAnsi="Times New Roman" w:eastAsia="宋体" w:cs="Times New Roman"/>
                <w:color w:val="auto"/>
                <w:highlight w:val="none"/>
              </w:rPr>
              <w:t>新建（迁建）</w:t>
            </w:r>
          </w:p>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highlight w:val="none"/>
              </w:rPr>
              <w:t>改建</w:t>
            </w:r>
          </w:p>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highlight w:val="none"/>
              </w:rPr>
              <w:t>扩建</w:t>
            </w:r>
          </w:p>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highlight w:val="none"/>
              </w:rPr>
              <w:t>技术改造</w:t>
            </w:r>
          </w:p>
        </w:tc>
        <w:tc>
          <w:tcPr>
            <w:tcW w:w="206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建设项目</w:t>
            </w:r>
          </w:p>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申报情形</w:t>
            </w:r>
          </w:p>
        </w:tc>
        <w:tc>
          <w:tcPr>
            <w:tcW w:w="3591" w:type="dxa"/>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sym w:font="Wingdings 2" w:char="0052"/>
            </w:r>
            <w:r>
              <w:rPr>
                <w:rFonts w:hint="default" w:ascii="Times New Roman" w:hAnsi="Times New Roman" w:eastAsia="宋体" w:cs="Times New Roman"/>
                <w:color w:val="auto"/>
                <w:highlight w:val="none"/>
              </w:rPr>
              <w:t>首次申报项目</w:t>
            </w:r>
          </w:p>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highlight w:val="none"/>
              </w:rPr>
              <w:t>不予批准后再次申报项目</w:t>
            </w:r>
          </w:p>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highlight w:val="none"/>
              </w:rPr>
              <w:t>超五年重新审核项目</w:t>
            </w:r>
          </w:p>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381"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项目审批（核准/备案）部门（选填）</w:t>
            </w:r>
          </w:p>
        </w:tc>
        <w:tc>
          <w:tcPr>
            <w:tcW w:w="2152"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乌拉特前旗发展和改革委员会</w:t>
            </w:r>
          </w:p>
        </w:tc>
        <w:tc>
          <w:tcPr>
            <w:tcW w:w="206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项目审批（核准/</w:t>
            </w:r>
          </w:p>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备案）文号（选填）</w:t>
            </w:r>
          </w:p>
        </w:tc>
        <w:tc>
          <w:tcPr>
            <w:tcW w:w="359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381"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总投资（万元）</w:t>
            </w:r>
          </w:p>
        </w:tc>
        <w:tc>
          <w:tcPr>
            <w:tcW w:w="2152"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3500</w:t>
            </w:r>
          </w:p>
        </w:tc>
        <w:tc>
          <w:tcPr>
            <w:tcW w:w="2060"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环保投资（万元）</w:t>
            </w:r>
          </w:p>
        </w:tc>
        <w:tc>
          <w:tcPr>
            <w:tcW w:w="359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136.52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381"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环保投资占比（%）</w:t>
            </w:r>
          </w:p>
        </w:tc>
        <w:tc>
          <w:tcPr>
            <w:tcW w:w="2152"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3.90</w:t>
            </w:r>
          </w:p>
        </w:tc>
        <w:tc>
          <w:tcPr>
            <w:tcW w:w="2060"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施工工期</w:t>
            </w:r>
          </w:p>
        </w:tc>
        <w:tc>
          <w:tcPr>
            <w:tcW w:w="359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381"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是否开工建设</w:t>
            </w:r>
          </w:p>
        </w:tc>
        <w:tc>
          <w:tcPr>
            <w:tcW w:w="2152" w:type="dxa"/>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sym w:font="Wingdings 2" w:char="0052"/>
            </w:r>
            <w:r>
              <w:rPr>
                <w:rFonts w:hint="default" w:ascii="Times New Roman" w:hAnsi="Times New Roman" w:eastAsia="宋体" w:cs="Times New Roman"/>
                <w:color w:val="auto"/>
                <w:highlight w:val="none"/>
              </w:rPr>
              <w:t>否</w:t>
            </w:r>
          </w:p>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highlight w:val="none"/>
              </w:rPr>
              <w:t>是：</w:t>
            </w:r>
          </w:p>
        </w:tc>
        <w:tc>
          <w:tcPr>
            <w:tcW w:w="2060" w:type="dxa"/>
            <w:tcMar>
              <w:top w:w="16" w:type="dxa"/>
              <w:left w:w="16" w:type="dxa"/>
              <w:right w:w="16"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用地（用海）</w:t>
            </w:r>
          </w:p>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面积（m</w:t>
            </w:r>
            <w:r>
              <w:rPr>
                <w:rFonts w:hint="default" w:ascii="Times New Roman" w:hAnsi="Times New Roman" w:eastAsia="宋体" w:cs="Times New Roman"/>
                <w:b/>
                <w:bCs/>
                <w:color w:val="auto"/>
                <w:highlight w:val="none"/>
                <w:vertAlign w:val="superscript"/>
              </w:rPr>
              <w:t>2</w:t>
            </w:r>
            <w:r>
              <w:rPr>
                <w:rFonts w:hint="default" w:ascii="Times New Roman" w:hAnsi="Times New Roman" w:eastAsia="宋体" w:cs="Times New Roman"/>
                <w:b/>
                <w:bCs/>
                <w:color w:val="auto"/>
                <w:highlight w:val="none"/>
              </w:rPr>
              <w:t>）</w:t>
            </w:r>
          </w:p>
        </w:tc>
        <w:tc>
          <w:tcPr>
            <w:tcW w:w="359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8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专项评价设置情况</w:t>
            </w:r>
          </w:p>
        </w:tc>
        <w:tc>
          <w:tcPr>
            <w:tcW w:w="7803" w:type="dxa"/>
            <w:gridSpan w:val="3"/>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8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规划情况</w:t>
            </w:r>
          </w:p>
        </w:tc>
        <w:tc>
          <w:tcPr>
            <w:tcW w:w="7803" w:type="dxa"/>
            <w:gridSpan w:val="3"/>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本项目位于内蒙古乌拉特前旗工业园区内，园区已开展规划；</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《内蒙古乌拉特前旗工业园区总体规划（2013～2020年）》；</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规划审批机关为：内蒙古自治区住房和城乡建设厅；</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审查文件为：2013年6月26日取得内蒙古自治区住房和城乡建设厅《关于内蒙古乌拉特前旗工业园区总体规划的批复》（内建规[2013]345号）文件。</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目前，该规划</w:t>
            </w:r>
            <w:r>
              <w:rPr>
                <w:rFonts w:hint="default" w:ascii="Times New Roman" w:hAnsi="Times New Roman" w:eastAsia="宋体" w:cs="Times New Roman"/>
                <w:b w:val="0"/>
                <w:bCs w:val="0"/>
                <w:color w:val="auto"/>
                <w:sz w:val="24"/>
                <w:szCs w:val="24"/>
                <w:highlight w:val="none"/>
                <w:vertAlign w:val="baseline"/>
                <w:lang w:eastAsia="zh-CN"/>
              </w:rPr>
              <w:t>时限</w:t>
            </w:r>
            <w:r>
              <w:rPr>
                <w:rFonts w:hint="default" w:ascii="Times New Roman" w:hAnsi="Times New Roman" w:eastAsia="宋体" w:cs="Times New Roman"/>
                <w:b w:val="0"/>
                <w:bCs w:val="0"/>
                <w:color w:val="auto"/>
                <w:sz w:val="24"/>
                <w:szCs w:val="24"/>
                <w:highlight w:val="none"/>
                <w:vertAlign w:val="baseline"/>
                <w:lang w:val="en-US" w:eastAsia="zh-CN"/>
              </w:rPr>
              <w:t>已过期。</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2021年，乌拉特前旗工业园区管理委员会委托内蒙古城市规划市政设计研究院有限公司编制了《内蒙古乌拉特前旗工业园区总体规划（2021-2035）》，该总体规划已上报，但未审批。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8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规划环境影响评价情况</w:t>
            </w:r>
          </w:p>
        </w:tc>
        <w:tc>
          <w:tcPr>
            <w:tcW w:w="7803" w:type="dxa"/>
            <w:gridSpan w:val="3"/>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内蒙古乌拉特前旗工业园区已开展规划环境影响评价；</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规划环境影响评价文件名称为：《内蒙古乌拉特前旗工业园区总体规划</w:t>
            </w:r>
            <w:r>
              <w:rPr>
                <w:rFonts w:hint="default" w:ascii="Times New Roman" w:hAnsi="Times New Roman" w:eastAsia="宋体" w:cs="Times New Roman"/>
                <w:b w:val="0"/>
                <w:bCs w:val="0"/>
                <w:color w:val="auto"/>
                <w:sz w:val="24"/>
                <w:szCs w:val="24"/>
                <w:highlight w:val="none"/>
                <w:vertAlign w:val="baseline"/>
                <w:lang w:val="en-US" w:eastAsia="zh-CN"/>
              </w:rPr>
              <w:t>（2013～2020年）</w:t>
            </w:r>
            <w:r>
              <w:rPr>
                <w:rFonts w:hint="default" w:ascii="Times New Roman" w:hAnsi="Times New Roman" w:eastAsia="宋体" w:cs="Times New Roman"/>
                <w:b w:val="0"/>
                <w:bCs w:val="0"/>
                <w:color w:val="auto"/>
                <w:sz w:val="24"/>
                <w:szCs w:val="24"/>
                <w:highlight w:val="none"/>
                <w:vertAlign w:val="baseline"/>
                <w:lang w:eastAsia="zh-CN"/>
              </w:rPr>
              <w:t>环境影响报告书》；</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规划审查机关为：内蒙古自治区环境保护厅；</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审查文件为：《关于内蒙古乌拉特前旗工业园区总体规划环境影响报告书的审查意见》（内环字〔2014〕74号）。</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目前，该规划环评时限已超期。</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2021年，</w:t>
            </w:r>
            <w:r>
              <w:rPr>
                <w:rFonts w:hint="default" w:ascii="Times New Roman" w:hAnsi="Times New Roman" w:eastAsia="宋体" w:cs="Times New Roman"/>
                <w:b w:val="0"/>
                <w:bCs w:val="0"/>
                <w:color w:val="auto"/>
                <w:sz w:val="24"/>
                <w:szCs w:val="24"/>
                <w:highlight w:val="none"/>
                <w:vertAlign w:val="baseline"/>
                <w:lang w:eastAsia="zh-CN"/>
              </w:rPr>
              <w:t>乌拉特前旗工业园区管理委员会委托</w:t>
            </w:r>
            <w:r>
              <w:rPr>
                <w:rFonts w:hint="default" w:ascii="Times New Roman" w:hAnsi="Times New Roman" w:eastAsia="宋体" w:cs="Times New Roman"/>
                <w:b w:val="0"/>
                <w:bCs w:val="0"/>
                <w:color w:val="auto"/>
                <w:sz w:val="24"/>
                <w:szCs w:val="24"/>
                <w:highlight w:val="none"/>
                <w:vertAlign w:val="baseline"/>
                <w:lang w:val="en-US" w:eastAsia="zh-CN"/>
              </w:rPr>
              <w:t>编制了</w:t>
            </w:r>
            <w:r>
              <w:rPr>
                <w:rFonts w:hint="default" w:ascii="Times New Roman" w:hAnsi="Times New Roman" w:eastAsia="宋体" w:cs="Times New Roman"/>
                <w:b w:val="0"/>
                <w:bCs w:val="0"/>
                <w:color w:val="auto"/>
                <w:sz w:val="24"/>
                <w:szCs w:val="24"/>
                <w:highlight w:val="none"/>
                <w:vertAlign w:val="baseline"/>
                <w:lang w:eastAsia="zh-CN"/>
              </w:rPr>
              <w:t>《乌拉特前旗工业园区总体规划（2021-2035）环境影响报告书》，</w:t>
            </w:r>
            <w:r>
              <w:rPr>
                <w:rFonts w:hint="default" w:ascii="Times New Roman" w:hAnsi="Times New Roman" w:eastAsia="宋体" w:cs="Times New Roman"/>
                <w:b w:val="0"/>
                <w:bCs w:val="0"/>
                <w:color w:val="auto"/>
                <w:sz w:val="24"/>
                <w:szCs w:val="24"/>
                <w:highlight w:val="none"/>
                <w:vertAlign w:val="baseline"/>
                <w:lang w:val="en-US" w:eastAsia="zh-CN"/>
              </w:rPr>
              <w:t>该规划环评</w:t>
            </w:r>
            <w:r>
              <w:rPr>
                <w:rFonts w:hint="default" w:ascii="Times New Roman" w:hAnsi="Times New Roman" w:eastAsia="宋体" w:cs="Times New Roman"/>
                <w:b w:val="0"/>
                <w:bCs w:val="0"/>
                <w:color w:val="auto"/>
                <w:sz w:val="24"/>
                <w:szCs w:val="24"/>
                <w:highlight w:val="none"/>
                <w:vertAlign w:val="baseline"/>
                <w:lang w:eastAsia="zh-CN"/>
              </w:rPr>
              <w:t>正在编制中，尚未取得审查意见。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8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规划及规划环境影响评价符合性分析</w:t>
            </w:r>
          </w:p>
        </w:tc>
        <w:tc>
          <w:tcPr>
            <w:tcW w:w="7803"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val="en-US" w:eastAsia="zh-CN"/>
              </w:rPr>
              <w:t>1、本项目与园区规划的符合性分析：</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园区的产业定位：国家现代能源经济示范基地、自治区进口资源及固体废物综合利用示范基地、自治区循环经济示范区、蒙西地区沿黄河沿交通干线经济带上联通呼包鄂的门户枢纽，以冶金、化工为主导产业，新能源、装备制造、钢铁、电力和新材料为辅助产业，配套发展新型建材、资源综合利用及商贸物流等产业的绿色、集约、特色鲜明的产业园。</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本项目</w:t>
            </w:r>
            <w:r>
              <w:rPr>
                <w:rFonts w:hint="default" w:ascii="Times New Roman" w:hAnsi="Times New Roman" w:eastAsia="宋体" w:cs="Times New Roman"/>
                <w:b w:val="0"/>
                <w:bCs w:val="0"/>
                <w:color w:val="auto"/>
                <w:sz w:val="24"/>
                <w:szCs w:val="24"/>
                <w:highlight w:val="none"/>
                <w:vertAlign w:val="baseline"/>
                <w:lang w:val="en-US" w:eastAsia="zh-CN"/>
              </w:rPr>
              <w:t>属于废弃资源综合利用业，符合乌拉特前旗工业园区的产业定位；</w:t>
            </w:r>
            <w:r>
              <w:rPr>
                <w:rFonts w:hint="default" w:ascii="Times New Roman" w:hAnsi="Times New Roman" w:eastAsia="宋体" w:cs="Times New Roman"/>
                <w:b w:val="0"/>
                <w:bCs w:val="0"/>
                <w:color w:val="auto"/>
                <w:sz w:val="24"/>
                <w:szCs w:val="24"/>
                <w:highlight w:val="none"/>
                <w:vertAlign w:val="baseline"/>
                <w:lang w:eastAsia="zh-CN"/>
              </w:rPr>
              <w:t>并且根据乌拉特前旗工业园区管委会出具的《关于内蒙古嘉宇新材料有限公司含硅材料综合利用项目已列入园区规划环评的说明》，</w:t>
            </w:r>
            <w:r>
              <w:rPr>
                <w:rFonts w:hint="default" w:ascii="Times New Roman" w:hAnsi="Times New Roman" w:eastAsia="宋体" w:cs="Times New Roman"/>
                <w:b w:val="0"/>
                <w:bCs w:val="0"/>
                <w:color w:val="auto"/>
                <w:sz w:val="24"/>
                <w:szCs w:val="24"/>
                <w:highlight w:val="none"/>
                <w:vertAlign w:val="baseline"/>
                <w:lang w:val="en-US" w:eastAsia="zh-CN"/>
              </w:rPr>
              <w:t>本</w:t>
            </w:r>
            <w:r>
              <w:rPr>
                <w:rFonts w:hint="default" w:ascii="Times New Roman" w:hAnsi="Times New Roman" w:eastAsia="宋体" w:cs="Times New Roman"/>
                <w:b w:val="0"/>
                <w:bCs w:val="0"/>
                <w:color w:val="auto"/>
                <w:sz w:val="24"/>
                <w:szCs w:val="24"/>
                <w:highlight w:val="none"/>
                <w:vertAlign w:val="baseline"/>
                <w:lang w:eastAsia="zh-CN"/>
              </w:rPr>
              <w:t>项目已纳入园区新规划，符合园区用地规划和产业定位。</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eastAsia="zh-CN"/>
              </w:rPr>
              <w:t>综上，本项目与园区规划、产业定位相符合。</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vertAlign w:val="baseline"/>
                <w:lang w:val="en-US" w:eastAsia="zh-CN"/>
              </w:rPr>
              <w:t>本项目</w:t>
            </w:r>
            <w:r>
              <w:rPr>
                <w:rFonts w:hint="default" w:ascii="Times New Roman" w:hAnsi="Times New Roman" w:eastAsia="宋体" w:cs="Times New Roman"/>
                <w:b/>
                <w:bCs/>
                <w:color w:val="auto"/>
                <w:sz w:val="24"/>
                <w:szCs w:val="24"/>
                <w:highlight w:val="none"/>
                <w:lang w:val="en-US" w:eastAsia="zh-CN"/>
              </w:rPr>
              <w:t>与《内蒙古乌拉特前旗工业园区总体规划环境影响报告书》的符合性</w:t>
            </w:r>
            <w:r>
              <w:rPr>
                <w:rFonts w:hint="default" w:ascii="Times New Roman" w:hAnsi="Times New Roman" w:eastAsia="宋体" w:cs="Times New Roman"/>
                <w:b/>
                <w:bCs/>
                <w:color w:val="auto"/>
                <w:sz w:val="24"/>
                <w:szCs w:val="24"/>
                <w:highlight w:val="none"/>
                <w:vertAlign w:val="baseline"/>
                <w:lang w:val="en-US" w:eastAsia="zh-CN"/>
              </w:rPr>
              <w:t>分析</w:t>
            </w:r>
            <w:r>
              <w:rPr>
                <w:rFonts w:hint="default" w:ascii="Times New Roman" w:hAnsi="Times New Roman" w:eastAsia="宋体" w:cs="Times New Roman"/>
                <w:b/>
                <w:bCs/>
                <w:color w:val="auto"/>
                <w:sz w:val="24"/>
                <w:szCs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根据《内蒙古乌拉特前旗工业园区总体规划环境影响报告书》，乌拉特前旗工业园区限制、禁止入园项目包括以下：</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lang w:val="en-US"/>
              </w:rPr>
            </w:pPr>
            <w:r>
              <w:rPr>
                <w:rFonts w:hint="default" w:ascii="Times New Roman" w:hAnsi="Times New Roman" w:eastAsia="宋体" w:cs="Times New Roman"/>
                <w:b/>
                <w:bCs/>
                <w:color w:val="auto"/>
                <w:kern w:val="0"/>
                <w:sz w:val="24"/>
                <w:szCs w:val="24"/>
                <w:highlight w:val="none"/>
                <w:lang w:val="en-US" w:eastAsia="zh-CN" w:bidi="ar"/>
              </w:rPr>
              <w:t>表1-1规划环境影响评价文件符合性分析表</w:t>
            </w:r>
          </w:p>
          <w:tbl>
            <w:tblPr>
              <w:tblStyle w:val="30"/>
              <w:tblW w:w="77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3623"/>
              <w:gridCol w:w="2573"/>
              <w:gridCol w:w="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
                    </w:rPr>
                  </w:pPr>
                  <w:r>
                    <w:rPr>
                      <w:rFonts w:hint="default" w:ascii="Times New Roman" w:hAnsi="Times New Roman" w:eastAsia="宋体" w:cs="Times New Roman"/>
                      <w:b/>
                      <w:bCs/>
                      <w:color w:val="auto"/>
                      <w:kern w:val="0"/>
                      <w:sz w:val="21"/>
                      <w:szCs w:val="21"/>
                      <w:highlight w:val="none"/>
                      <w:vertAlign w:val="baseline"/>
                      <w:lang w:val="en-US" w:eastAsia="zh-CN" w:bidi="ar"/>
                    </w:rPr>
                    <w:t>序号</w:t>
                  </w:r>
                </w:p>
              </w:tc>
              <w:tc>
                <w:tcPr>
                  <w:tcW w:w="346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
                    </w:rPr>
                  </w:pPr>
                  <w:r>
                    <w:rPr>
                      <w:rFonts w:hint="default" w:ascii="Times New Roman" w:hAnsi="Times New Roman" w:eastAsia="宋体" w:cs="Times New Roman"/>
                      <w:b/>
                      <w:bCs/>
                      <w:color w:val="auto"/>
                      <w:kern w:val="0"/>
                      <w:sz w:val="21"/>
                      <w:szCs w:val="21"/>
                      <w:highlight w:val="none"/>
                      <w:vertAlign w:val="baseline"/>
                      <w:lang w:val="en-US" w:eastAsia="zh-CN" w:bidi="ar"/>
                    </w:rPr>
                    <w:t>规划环评</w:t>
                  </w:r>
                </w:p>
              </w:tc>
              <w:tc>
                <w:tcPr>
                  <w:tcW w:w="24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
                    </w:rPr>
                  </w:pPr>
                  <w:r>
                    <w:rPr>
                      <w:rFonts w:hint="default" w:ascii="Times New Roman" w:hAnsi="Times New Roman" w:eastAsia="宋体" w:cs="Times New Roman"/>
                      <w:b/>
                      <w:bCs/>
                      <w:color w:val="auto"/>
                      <w:kern w:val="0"/>
                      <w:sz w:val="21"/>
                      <w:szCs w:val="21"/>
                      <w:highlight w:val="none"/>
                      <w:vertAlign w:val="baseline"/>
                      <w:lang w:val="en-US" w:eastAsia="zh-CN" w:bidi="ar"/>
                    </w:rPr>
                    <w:t>本项目情况</w:t>
                  </w:r>
                </w:p>
              </w:tc>
              <w:tc>
                <w:tcPr>
                  <w:tcW w:w="8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
                    </w:rPr>
                  </w:pPr>
                  <w:r>
                    <w:rPr>
                      <w:rFonts w:hint="default" w:ascii="Times New Roman" w:hAnsi="Times New Roman" w:eastAsia="宋体" w:cs="Times New Roman"/>
                      <w:b/>
                      <w:bCs/>
                      <w:color w:val="auto"/>
                      <w:sz w:val="21"/>
                      <w:szCs w:val="21"/>
                      <w:highlight w:val="none"/>
                      <w:lang w:eastAsia="zh-C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1</w:t>
                  </w:r>
                </w:p>
              </w:tc>
              <w:tc>
                <w:tcPr>
                  <w:tcW w:w="346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进一步调整产业结构，禁止高污染、高耗能的、国家产业政策明令禁止、限制的项目入园区。</w:t>
                  </w:r>
                </w:p>
              </w:tc>
              <w:tc>
                <w:tcPr>
                  <w:tcW w:w="245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本项目污染物产生量不大，能耗较低，</w:t>
                  </w:r>
                  <w:r>
                    <w:rPr>
                      <w:rFonts w:hint="default" w:ascii="Times New Roman" w:hAnsi="Times New Roman" w:eastAsia="宋体" w:cs="Times New Roman"/>
                      <w:color w:val="auto"/>
                      <w:sz w:val="21"/>
                      <w:szCs w:val="21"/>
                      <w:highlight w:val="none"/>
                      <w:lang w:eastAsia="zh-CN"/>
                    </w:rPr>
                    <w:t>本项目于202</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eastAsia="zh-CN"/>
                    </w:rPr>
                    <w:t>年</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月</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eastAsia="zh-CN"/>
                    </w:rPr>
                    <w:t>日取得了乌拉特前旗发展和改革委员会出具的《项目备案告知书》</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lang w:val="en-US" w:eastAsia="zh-CN"/>
                    </w:rPr>
                    <w:t>符合产业政策和市场准入标准。</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lang w:val="en-US" w:eastAsia="zh-CN"/>
                    </w:rPr>
                    <w:t>因此，本项目不属于高污染、高耗能的、国家产业政策明令禁止、限制的项目</w:t>
                  </w:r>
                  <w:r>
                    <w:rPr>
                      <w:rFonts w:hint="default" w:ascii="Times New Roman" w:hAnsi="Times New Roman" w:eastAsia="宋体" w:cs="Times New Roman"/>
                      <w:color w:val="auto"/>
                      <w:sz w:val="21"/>
                      <w:szCs w:val="21"/>
                      <w:highlight w:val="none"/>
                    </w:rPr>
                    <w:t>。</w:t>
                  </w:r>
                </w:p>
              </w:tc>
              <w:tc>
                <w:tcPr>
                  <w:tcW w:w="8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2</w:t>
                  </w:r>
                </w:p>
              </w:tc>
              <w:tc>
                <w:tcPr>
                  <w:tcW w:w="346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（1）限制排放烟尘的项目</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乌拉特前旗工业园区TSP和PM</w:t>
                  </w:r>
                  <w:r>
                    <w:rPr>
                      <w:rFonts w:hint="default" w:ascii="Times New Roman" w:hAnsi="Times New Roman" w:eastAsia="宋体" w:cs="Times New Roman"/>
                      <w:color w:val="auto"/>
                      <w:kern w:val="0"/>
                      <w:sz w:val="21"/>
                      <w:szCs w:val="21"/>
                      <w:highlight w:val="none"/>
                      <w:vertAlign w:val="subscript"/>
                      <w:lang w:val="en-US" w:eastAsia="zh-CN" w:bidi="ar"/>
                    </w:rPr>
                    <w:t>10</w:t>
                  </w:r>
                  <w:r>
                    <w:rPr>
                      <w:rFonts w:hint="default" w:ascii="Times New Roman" w:hAnsi="Times New Roman" w:eastAsia="宋体" w:cs="Times New Roman"/>
                      <w:color w:val="auto"/>
                      <w:kern w:val="0"/>
                      <w:sz w:val="21"/>
                      <w:szCs w:val="21"/>
                      <w:highlight w:val="none"/>
                      <w:vertAlign w:val="baseline"/>
                      <w:lang w:val="en-US" w:eastAsia="zh-CN" w:bidi="ar"/>
                    </w:rPr>
                    <w:t>自然背景浓度较高，且目前超标现象严重，为了不影响园区未来的招商引资和更高、更强的发展，应该对烟尘、粉尘排放较多的企业，应进行限制。</w:t>
                  </w:r>
                </w:p>
              </w:tc>
              <w:tc>
                <w:tcPr>
                  <w:tcW w:w="24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本项目设置环保措施，减少颗粒物排放量</w:t>
                  </w:r>
                  <w:r>
                    <w:rPr>
                      <w:rFonts w:hint="default" w:ascii="Times New Roman" w:hAnsi="Times New Roman" w:eastAsia="宋体" w:cs="Times New Roman"/>
                      <w:color w:val="auto"/>
                      <w:sz w:val="21"/>
                      <w:szCs w:val="21"/>
                      <w:highlight w:val="none"/>
                      <w:lang w:val="en-US" w:eastAsia="zh-CN"/>
                    </w:rPr>
                    <w:t>，不属于烟尘、粉尘排放较多的企业</w:t>
                  </w:r>
                  <w:r>
                    <w:rPr>
                      <w:rFonts w:hint="default" w:ascii="Times New Roman" w:hAnsi="Times New Roman" w:eastAsia="宋体" w:cs="Times New Roman"/>
                      <w:color w:val="auto"/>
                      <w:kern w:val="0"/>
                      <w:sz w:val="21"/>
                      <w:szCs w:val="21"/>
                      <w:highlight w:val="none"/>
                      <w:vertAlign w:val="baseline"/>
                      <w:lang w:val="en-US" w:eastAsia="zh-CN" w:bidi="ar"/>
                    </w:rPr>
                    <w:t>。</w:t>
                  </w:r>
                </w:p>
              </w:tc>
              <w:tc>
                <w:tcPr>
                  <w:tcW w:w="8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3</w:t>
                  </w:r>
                </w:p>
              </w:tc>
              <w:tc>
                <w:tcPr>
                  <w:tcW w:w="346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（2）尽量避免引入二氧化硫和氮氧化物大量排放的项目</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未来园区应优先引进大气污染程度较轻的企业，限制污染程度较重的传统企业，尤其提高二氧化硫和氮氧化物大量排放的企业的准入标准，同时注意园区的合理布局，确保乌拉特前旗城区的大气环境质量。</w:t>
                  </w:r>
                </w:p>
              </w:tc>
              <w:tc>
                <w:tcPr>
                  <w:tcW w:w="24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本项目使用清洁燃料天然气，二氧化硫和氮氧化物的排放量较小，不会对乌拉特前旗城区的大气环境造成显著影响。</w:t>
                  </w:r>
                </w:p>
              </w:tc>
              <w:tc>
                <w:tcPr>
                  <w:tcW w:w="8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符合</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vertAlign w:val="baseline"/>
                <w:lang w:val="en-US" w:eastAsia="zh-CN"/>
              </w:rPr>
              <w:t>本项目</w:t>
            </w:r>
            <w:r>
              <w:rPr>
                <w:rFonts w:hint="default" w:ascii="Times New Roman" w:hAnsi="Times New Roman" w:eastAsia="宋体" w:cs="Times New Roman"/>
                <w:b/>
                <w:bCs/>
                <w:color w:val="auto"/>
                <w:sz w:val="24"/>
                <w:szCs w:val="24"/>
                <w:highlight w:val="none"/>
                <w:lang w:val="en-US" w:eastAsia="zh-CN"/>
              </w:rPr>
              <w:t>与《内蒙古乌拉特前旗工业园区总体规划环境影响报告书》审查意见的符合性</w:t>
            </w:r>
            <w:r>
              <w:rPr>
                <w:rFonts w:hint="default" w:ascii="Times New Roman" w:hAnsi="Times New Roman" w:eastAsia="宋体" w:cs="Times New Roman"/>
                <w:b/>
                <w:bCs/>
                <w:color w:val="auto"/>
                <w:sz w:val="24"/>
                <w:szCs w:val="24"/>
                <w:highlight w:val="none"/>
                <w:vertAlign w:val="baseline"/>
                <w:lang w:val="en-US" w:eastAsia="zh-CN"/>
              </w:rPr>
              <w:t>分析</w:t>
            </w:r>
            <w:r>
              <w:rPr>
                <w:rFonts w:hint="default" w:ascii="Times New Roman" w:hAnsi="Times New Roman" w:eastAsia="宋体" w:cs="Times New Roman"/>
                <w:b/>
                <w:bCs/>
                <w:color w:val="auto"/>
                <w:sz w:val="24"/>
                <w:szCs w:val="24"/>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（1）审查意见要求</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内蒙古乌拉特前旗工业园区已取得自治区环境保护厅《关于内蒙古乌拉特前旗工业园区总体规划环境影响报告书的审查意见》（内环字〔2014〕74号）。</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kern w:val="0"/>
                <w:sz w:val="24"/>
                <w:szCs w:val="24"/>
                <w:highlight w:val="none"/>
                <w:lang w:val="en-US" w:eastAsia="zh-CN" w:bidi="ar"/>
              </w:rPr>
              <w:t>表1-2规划环境影响评价审查意见符合性分析表</w:t>
            </w:r>
          </w:p>
          <w:tbl>
            <w:tblPr>
              <w:tblStyle w:val="30"/>
              <w:tblW w:w="77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3570"/>
              <w:gridCol w:w="2444"/>
              <w:gridCol w:w="9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
                    </w:rPr>
                  </w:pPr>
                  <w:r>
                    <w:rPr>
                      <w:rFonts w:hint="default" w:ascii="Times New Roman" w:hAnsi="Times New Roman" w:eastAsia="宋体" w:cs="Times New Roman"/>
                      <w:b/>
                      <w:bCs/>
                      <w:color w:val="auto"/>
                      <w:kern w:val="0"/>
                      <w:sz w:val="21"/>
                      <w:szCs w:val="21"/>
                      <w:highlight w:val="none"/>
                      <w:vertAlign w:val="baseline"/>
                      <w:lang w:val="en-US" w:eastAsia="zh-CN" w:bidi="ar"/>
                    </w:rPr>
                    <w:t>序号</w:t>
                  </w:r>
                </w:p>
              </w:tc>
              <w:tc>
                <w:tcPr>
                  <w:tcW w:w="34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审查意见</w:t>
                  </w:r>
                </w:p>
              </w:tc>
              <w:tc>
                <w:tcPr>
                  <w:tcW w:w="23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
                    </w:rPr>
                  </w:pPr>
                  <w:r>
                    <w:rPr>
                      <w:rFonts w:hint="default" w:ascii="Times New Roman" w:hAnsi="Times New Roman" w:eastAsia="宋体" w:cs="Times New Roman"/>
                      <w:b/>
                      <w:bCs/>
                      <w:color w:val="auto"/>
                      <w:kern w:val="0"/>
                      <w:sz w:val="21"/>
                      <w:szCs w:val="21"/>
                      <w:highlight w:val="none"/>
                      <w:vertAlign w:val="baseline"/>
                      <w:lang w:val="en-US" w:eastAsia="zh-CN" w:bidi="ar"/>
                    </w:rPr>
                    <w:t>本项目情况</w:t>
                  </w:r>
                </w:p>
              </w:tc>
              <w:tc>
                <w:tcPr>
                  <w:tcW w:w="9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
                    </w:rPr>
                  </w:pPr>
                  <w:r>
                    <w:rPr>
                      <w:rFonts w:hint="default" w:ascii="Times New Roman" w:hAnsi="Times New Roman" w:eastAsia="宋体" w:cs="Times New Roman"/>
                      <w:b/>
                      <w:bCs/>
                      <w:color w:val="auto"/>
                      <w:sz w:val="21"/>
                      <w:szCs w:val="21"/>
                      <w:highlight w:val="none"/>
                      <w:lang w:eastAsia="zh-C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1</w:t>
                  </w:r>
                </w:p>
              </w:tc>
              <w:tc>
                <w:tcPr>
                  <w:tcW w:w="34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val="en-US" w:eastAsia="zh-CN" w:bidi="ar"/>
                    </w:rPr>
                    <w:t>（一）严格遵循对该园区环境保护的总体要求。园区的开发建设要服从于《内蒙古自治区以呼包颚为核心沿黄河沿交通干线经济带重点产业发展详细规划（2010年-2020年）》及乌拉特前旗城镇总体规划，并要与当地其他专项规划相协调。要按照循环经济的思想和清洁生产的原则，指导园区的建设。</w:t>
                  </w:r>
                </w:p>
              </w:tc>
              <w:tc>
                <w:tcPr>
                  <w:tcW w:w="23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lang w:eastAsia="zh-CN"/>
                    </w:rPr>
                    <w:t>本项目位于巴彦淖尔市乌拉特前旗工业园区，</w:t>
                  </w:r>
                  <w:r>
                    <w:rPr>
                      <w:rFonts w:hint="default" w:ascii="Times New Roman" w:hAnsi="Times New Roman" w:eastAsia="宋体" w:cs="Times New Roman"/>
                      <w:b w:val="0"/>
                      <w:bCs w:val="0"/>
                      <w:color w:val="auto"/>
                      <w:sz w:val="21"/>
                      <w:szCs w:val="21"/>
                      <w:highlight w:val="none"/>
                      <w:vertAlign w:val="baseline"/>
                      <w:lang w:val="en-US" w:eastAsia="zh-CN"/>
                    </w:rPr>
                    <w:t>土地性质为工业用地</w:t>
                  </w:r>
                  <w:r>
                    <w:rPr>
                      <w:rFonts w:hint="default" w:ascii="Times New Roman" w:hAnsi="Times New Roman" w:eastAsia="宋体" w:cs="Times New Roman"/>
                      <w:b w:val="0"/>
                      <w:bCs w:val="0"/>
                      <w:color w:val="auto"/>
                      <w:sz w:val="21"/>
                      <w:szCs w:val="21"/>
                      <w:highlight w:val="none"/>
                      <w:vertAlign w:val="baseline"/>
                      <w:lang w:eastAsia="zh-CN"/>
                    </w:rPr>
                    <w:t>，</w:t>
                  </w:r>
                  <w:r>
                    <w:rPr>
                      <w:rFonts w:hint="default" w:ascii="Times New Roman" w:hAnsi="Times New Roman" w:eastAsia="宋体" w:cs="Times New Roman"/>
                      <w:b w:val="0"/>
                      <w:bCs w:val="0"/>
                      <w:color w:val="auto"/>
                      <w:sz w:val="21"/>
                      <w:szCs w:val="21"/>
                      <w:highlight w:val="none"/>
                      <w:vertAlign w:val="baseline"/>
                      <w:lang w:val="en-US" w:eastAsia="zh-CN"/>
                    </w:rPr>
                    <w:t>本项目属于废弃资源综合利用业</w:t>
                  </w:r>
                  <w:r>
                    <w:rPr>
                      <w:rFonts w:hint="default" w:ascii="Times New Roman" w:hAnsi="Times New Roman" w:eastAsia="宋体" w:cs="Times New Roman"/>
                      <w:color w:val="auto"/>
                      <w:sz w:val="21"/>
                      <w:szCs w:val="21"/>
                      <w:highlight w:val="none"/>
                      <w:lang w:eastAsia="zh-CN"/>
                    </w:rPr>
                    <w:t>；项目建设符合园区总体规划。</w:t>
                  </w:r>
                </w:p>
              </w:tc>
              <w:tc>
                <w:tcPr>
                  <w:tcW w:w="9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2</w:t>
                  </w:r>
                </w:p>
              </w:tc>
              <w:tc>
                <w:tcPr>
                  <w:tcW w:w="34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val="en-US" w:eastAsia="zh-CN" w:bidi="ar"/>
                    </w:rPr>
                    <w:t>（二）合理确定产业规模。园区的产业发展规模应充分考虑资源条件、环境容量及用水、用地指标等制约因素，优化相关产业的结构及规模。</w:t>
                  </w:r>
                </w:p>
              </w:tc>
              <w:tc>
                <w:tcPr>
                  <w:tcW w:w="23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lang w:eastAsia="zh-CN"/>
                    </w:rPr>
                    <w:t>本项目用地为工业用地，项目建设符合园区总体规划；项目属于《产业结构调整指导目录（20</w:t>
                  </w:r>
                  <w:r>
                    <w:rPr>
                      <w:rFonts w:hint="default" w:ascii="Times New Roman" w:hAnsi="Times New Roman" w:eastAsia="宋体" w:cs="Times New Roman"/>
                      <w:color w:val="auto"/>
                      <w:sz w:val="21"/>
                      <w:szCs w:val="21"/>
                      <w:highlight w:val="none"/>
                      <w:lang w:val="en-US" w:eastAsia="zh-CN"/>
                    </w:rPr>
                    <w:t>24</w:t>
                  </w:r>
                  <w:r>
                    <w:rPr>
                      <w:rFonts w:hint="default" w:ascii="Times New Roman" w:hAnsi="Times New Roman" w:eastAsia="宋体" w:cs="Times New Roman"/>
                      <w:color w:val="auto"/>
                      <w:sz w:val="21"/>
                      <w:szCs w:val="21"/>
                      <w:highlight w:val="none"/>
                      <w:lang w:eastAsia="zh-CN"/>
                    </w:rPr>
                    <w:t>年本）》（国家发展和改革委员会令第</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eastAsia="zh-CN"/>
                    </w:rPr>
                    <w:t>号）鼓励类项目。</w:t>
                  </w:r>
                </w:p>
              </w:tc>
              <w:tc>
                <w:tcPr>
                  <w:tcW w:w="9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3</w:t>
                  </w:r>
                </w:p>
              </w:tc>
              <w:tc>
                <w:tcPr>
                  <w:tcW w:w="34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val="en-US" w:eastAsia="zh-CN" w:bidi="ar"/>
                    </w:rPr>
                    <w:t>（三）原则同意《报告书》提出的关于基础设施调整的意见。要按照“分质处理、梯级利用、循环使用”的原则，合理规划用、排水系统，园区企业应采用空冷等节水方式，减少高浓度含盐水产生量，反渗透装置水回收率不得低于95%，且处理后的高浓度含盐水应优先考虑综合利用。合理规划园区集中热源点，实现园区集中供热、供汽。加强园区固体废物管理，一般工业固体废物要立足综合利用，危险废物应集中送有资质的单位处理处置，基础设施未建成运行前，工业园区内新改扩建项目不能投产运行。</w:t>
                  </w:r>
                </w:p>
              </w:tc>
              <w:tc>
                <w:tcPr>
                  <w:tcW w:w="23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本项目无生产废水排放；生活污水排入厂区现有化粪池处理后，经园区污水管网进入乌拉特前旗工业园区污水处理厂。</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val="en-US" w:eastAsia="zh-CN" w:bidi="ar"/>
                    </w:rPr>
                    <w:t>固废均妥善处置，不外排。</w:t>
                  </w:r>
                </w:p>
              </w:tc>
              <w:tc>
                <w:tcPr>
                  <w:tcW w:w="9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4</w:t>
                  </w:r>
                </w:p>
              </w:tc>
              <w:tc>
                <w:tcPr>
                  <w:tcW w:w="34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四）要制定切实可行的环境风险应急预案，完善园区监测预警、应急防控和污染物集中处理设施建设，重点防范盐化工、煤焦化、冶金等产业的泄漏事故及重金属污染、地下水污染等事故。工业园区应建立三级应急救援体系，监督园区内企业落实环境风险防范措施，并组织定期对园区及周边土壤和地下水进行监测，防止发生环境污染事件。</w:t>
                  </w:r>
                </w:p>
              </w:tc>
              <w:tc>
                <w:tcPr>
                  <w:tcW w:w="23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项目建成后应按规定编制</w:t>
                  </w:r>
                  <w:r>
                    <w:rPr>
                      <w:rFonts w:hint="default" w:ascii="Times New Roman" w:hAnsi="Times New Roman" w:eastAsia="宋体" w:cs="Times New Roman"/>
                      <w:color w:val="auto"/>
                      <w:kern w:val="0"/>
                      <w:sz w:val="21"/>
                      <w:szCs w:val="21"/>
                      <w:highlight w:val="none"/>
                      <w:lang w:val="en-US" w:eastAsia="zh-CN" w:bidi="ar"/>
                    </w:rPr>
                    <w:t>环境风险应急预案，建立三级应急救援体系，落实相应环境风险防范措施。</w:t>
                  </w:r>
                </w:p>
              </w:tc>
              <w:tc>
                <w:tcPr>
                  <w:tcW w:w="9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5</w:t>
                  </w:r>
                </w:p>
              </w:tc>
              <w:tc>
                <w:tcPr>
                  <w:tcW w:w="34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（五）加强环境监管及日常环境质量监测。重点企业排污口要设置在线监测系统并与环保部门联网。严格大气环境防护距离、卫生防护距离、安全防护距离的管理，为园区健康可持续发展奠定基础。</w:t>
                  </w:r>
                </w:p>
              </w:tc>
              <w:tc>
                <w:tcPr>
                  <w:tcW w:w="23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本次环评提出环境监测因子、监测点位、监测频次，项目建成后应按规定定期进行监测；本项目无需设置</w:t>
                  </w:r>
                  <w:r>
                    <w:rPr>
                      <w:rFonts w:hint="default" w:ascii="Times New Roman" w:hAnsi="Times New Roman" w:eastAsia="宋体" w:cs="Times New Roman"/>
                      <w:color w:val="auto"/>
                      <w:kern w:val="0"/>
                      <w:sz w:val="21"/>
                      <w:szCs w:val="21"/>
                      <w:highlight w:val="none"/>
                      <w:lang w:val="en-US" w:eastAsia="zh-CN" w:bidi="ar"/>
                    </w:rPr>
                    <w:t>大气环境防护距离、卫生防护距离、安全防护距离。</w:t>
                  </w:r>
                </w:p>
              </w:tc>
              <w:tc>
                <w:tcPr>
                  <w:tcW w:w="9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符合</w:t>
                  </w:r>
                </w:p>
              </w:tc>
            </w:tr>
          </w:tbl>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lang w:eastAsia="zh-CN"/>
              </w:rPr>
              <w:t>因此，本项目建设符合《内蒙古乌拉特前旗工业园区总体规划环境影响报告书》及审查意见的要求。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8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其他符合性分析</w:t>
            </w:r>
          </w:p>
        </w:tc>
        <w:tc>
          <w:tcPr>
            <w:tcW w:w="7803" w:type="dxa"/>
            <w:gridSpan w:val="3"/>
            <w:vAlign w:val="center"/>
          </w:tcPr>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1、产业政策符合性</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val="0"/>
                <w:bCs w:val="0"/>
                <w:color w:val="auto"/>
                <w:sz w:val="24"/>
                <w:szCs w:val="24"/>
                <w:highlight w:val="none"/>
                <w:vertAlign w:val="baseline"/>
                <w:lang w:eastAsia="zh-CN"/>
              </w:rPr>
              <w:t>本项目</w:t>
            </w:r>
            <w:r>
              <w:rPr>
                <w:rFonts w:hint="default" w:ascii="Times New Roman" w:hAnsi="Times New Roman" w:eastAsia="宋体" w:cs="Times New Roman"/>
                <w:b w:val="0"/>
                <w:bCs w:val="0"/>
                <w:color w:val="auto"/>
                <w:sz w:val="24"/>
                <w:szCs w:val="24"/>
                <w:highlight w:val="none"/>
                <w:vertAlign w:val="baseline"/>
                <w:lang w:val="en-US" w:eastAsia="zh-CN"/>
              </w:rPr>
              <w:t>属于废弃资源综合利用业，</w:t>
            </w:r>
            <w:r>
              <w:rPr>
                <w:rFonts w:hint="default" w:ascii="Times New Roman" w:hAnsi="Times New Roman" w:eastAsia="宋体" w:cs="Times New Roman"/>
                <w:color w:val="auto"/>
                <w:highlight w:val="none"/>
              </w:rPr>
              <w:t>根据《产业结构调整指导目录（2024年本）》可知，</w:t>
            </w:r>
            <w:r>
              <w:rPr>
                <w:rFonts w:hint="default"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highlight w:val="none"/>
              </w:rPr>
              <w:t>属于“第一类鼓励类--8</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废弃物循环利用”</w:t>
            </w:r>
            <w:r>
              <w:rPr>
                <w:rFonts w:hint="default" w:ascii="Times New Roman" w:hAnsi="Times New Roman" w:eastAsia="宋体" w:cs="Times New Roman"/>
                <w:color w:val="auto"/>
                <w:highlight w:val="none"/>
                <w:lang w:eastAsia="zh-CN"/>
              </w:rPr>
              <w:t>；本项目使用中频炉为KGCX串联谐振中频感应炉，对照《产业结构调整指导目录（2024年本）》，不属于落后淘汰设备</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且本项目于2024年1月2日取得了乌拉特前旗发展和改革委员会出具的《项目备案告知书》，项目代码：2312-150823-04-01-972759。</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综上，本项目符合国家产业政策。</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2、建设项目选址合理性</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val="en-US" w:eastAsia="zh-CN"/>
              </w:rPr>
              <w:t>位于巴彦淖尔市乌拉特前旗工业园区</w:t>
            </w:r>
            <w:r>
              <w:rPr>
                <w:rFonts w:hint="default" w:ascii="Times New Roman" w:hAnsi="Times New Roman" w:eastAsia="宋体" w:cs="Times New Roman"/>
                <w:color w:val="auto"/>
                <w:highlight w:val="none"/>
              </w:rPr>
              <w:t>巴彦淖尔市农垦飞达铸业有限责任公司院内</w:t>
            </w:r>
            <w:r>
              <w:rPr>
                <w:rFonts w:hint="default" w:ascii="Times New Roman" w:hAnsi="Times New Roman" w:eastAsia="宋体" w:cs="Times New Roman"/>
                <w:color w:val="auto"/>
                <w:highlight w:val="none"/>
                <w:lang w:val="en-US" w:eastAsia="zh-CN"/>
              </w:rPr>
              <w:t>，厂区土地性质为工业用地，</w:t>
            </w:r>
            <w:r>
              <w:rPr>
                <w:rFonts w:hint="default" w:ascii="Times New Roman" w:hAnsi="Times New Roman" w:eastAsia="宋体" w:cs="Times New Roman"/>
                <w:color w:val="auto"/>
                <w:highlight w:val="none"/>
              </w:rPr>
              <w:t>租用</w:t>
            </w:r>
            <w:r>
              <w:rPr>
                <w:rFonts w:hint="default" w:ascii="Times New Roman" w:hAnsi="Times New Roman" w:eastAsia="宋体" w:cs="Times New Roman"/>
                <w:color w:val="auto"/>
                <w:highlight w:val="none"/>
                <w:lang w:val="en-US" w:eastAsia="zh-CN"/>
              </w:rPr>
              <w:t>院内1座</w:t>
            </w:r>
            <w:r>
              <w:rPr>
                <w:rFonts w:hint="default" w:ascii="Times New Roman" w:hAnsi="Times New Roman" w:eastAsia="宋体" w:cs="Times New Roman"/>
                <w:color w:val="auto"/>
                <w:highlight w:val="none"/>
                <w:lang w:eastAsia="zh-CN"/>
              </w:rPr>
              <w:t>现有生产厂房</w:t>
            </w:r>
            <w:r>
              <w:rPr>
                <w:rFonts w:hint="default" w:ascii="Times New Roman" w:hAnsi="Times New Roman" w:eastAsia="宋体" w:cs="Times New Roman"/>
                <w:color w:val="auto"/>
                <w:highlight w:val="none"/>
                <w:lang w:val="en-US" w:eastAsia="zh-CN"/>
              </w:rPr>
              <w:t>进行建设；本项目属于废弃资源综合利用业，符合乌拉特前旗工业园区用地规划和产业定位。</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本项目选址</w:t>
            </w:r>
            <w:r>
              <w:rPr>
                <w:rFonts w:hint="default" w:ascii="Times New Roman" w:hAnsi="Times New Roman" w:eastAsia="宋体" w:cs="Times New Roman"/>
                <w:color w:val="auto"/>
                <w:highlight w:val="none"/>
              </w:rPr>
              <w:t>满足工程地质条件和水文地质条件，供电、给排水、供暖、交通以及原材料运输等条件较为便利。</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项目周边无自然保护区、风景名胜区、生活饮用水水源保护区及其它需要特别保护的区域，无重大的环境制约因素。本项目产生的污染物均采取有效的处理和处置措施，经分析项目运营期对周围环境影响较小</w:t>
            </w:r>
            <w:r>
              <w:rPr>
                <w:rFonts w:hint="default" w:ascii="Times New Roman" w:hAnsi="Times New Roman" w:eastAsia="宋体" w:cs="Times New Roman"/>
                <w:color w:val="auto"/>
                <w:highlight w:val="none"/>
                <w:lang w:eastAsia="zh-CN"/>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综上</w:t>
            </w:r>
            <w:r>
              <w:rPr>
                <w:rFonts w:hint="default" w:ascii="Times New Roman" w:hAnsi="Times New Roman" w:eastAsia="宋体" w:cs="Times New Roman"/>
                <w:color w:val="auto"/>
                <w:highlight w:val="none"/>
              </w:rPr>
              <w:t>，本项目选址较为合理。</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3、与“三线一单”符合性分析</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（1）生态保护红线</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巴彦淖尔市人民政府办公室关于巴彦淖尔市2023年生态环境分区管控成果动态更新的通知》（巴政办字〔2023〕106号），巴彦淖尔市全市共划定环境管控单元256个，包括优先保护单元、重点管控单元、一般管控单元三类，实施分类管控。</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highlight w:val="none"/>
              </w:rPr>
              <w:t>位于内蒙古巴彦淖尔市乌拉特前旗工业园区内，</w:t>
            </w:r>
            <w:r>
              <w:rPr>
                <w:rFonts w:hint="default" w:ascii="Times New Roman" w:hAnsi="Times New Roman" w:eastAsia="宋体" w:cs="Times New Roman"/>
                <w:color w:val="auto"/>
                <w:highlight w:val="none"/>
                <w:lang w:val="en-US" w:eastAsia="zh-CN"/>
              </w:rPr>
              <w:t>属于</w:t>
            </w:r>
            <w:r>
              <w:rPr>
                <w:rFonts w:hint="default" w:ascii="Times New Roman" w:hAnsi="Times New Roman" w:eastAsia="宋体" w:cs="Times New Roman"/>
                <w:color w:val="auto"/>
                <w:highlight w:val="none"/>
              </w:rPr>
              <w:t>乌拉特前旗工业园区管控单元，管控单元编码为ZH15082320001，管控单元类别为重点管控单元，不在生态保护红线范围内。</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（2）环境质量底线</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根据《巴彦淖尔市环境质量状况公报（2022年）》，本项目所在地巴彦淖尔市乌拉特前旗2022年大气环境中6项污染物中SO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、CO和O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质量浓度均满足《环境空气质量标准》（GB3095-2012）二级标准限值，由此可判断乌拉特前旗为达标区；根据引用的特征因子监测数据可知，TSP质量浓度满足《环境空气质量标准》（GB3095-2012）二级标准限值。</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本项目产生的污染物均采取有效的处理和处置措施，本项目三废及噪声均得到有效处理，不会明显降低区域环境质量现状。</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（3）资源利用上线</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本项目运营过程中消耗一定量的电、水、天然气等，项目综合能耗当量值为</w:t>
            </w:r>
            <w:r>
              <w:rPr>
                <w:rFonts w:hint="default" w:ascii="Times New Roman" w:hAnsi="Times New Roman" w:eastAsia="宋体" w:cs="Times New Roman"/>
                <w:color w:val="auto"/>
                <w:highlight w:val="none"/>
                <w:lang w:val="en-US" w:eastAsia="zh-CN"/>
              </w:rPr>
              <w:t>3096.72</w:t>
            </w:r>
            <w:r>
              <w:rPr>
                <w:rFonts w:hint="default" w:ascii="Times New Roman" w:hAnsi="Times New Roman" w:eastAsia="宋体" w:cs="Times New Roman"/>
                <w:color w:val="auto"/>
                <w:highlight w:val="none"/>
              </w:rPr>
              <w:t>tce/a，项目综合能耗等价值为</w:t>
            </w:r>
            <w:r>
              <w:rPr>
                <w:rFonts w:hint="default" w:ascii="Times New Roman" w:hAnsi="Times New Roman" w:eastAsia="宋体" w:cs="Times New Roman"/>
                <w:color w:val="auto"/>
                <w:highlight w:val="none"/>
                <w:lang w:val="en-US" w:eastAsia="zh-CN"/>
              </w:rPr>
              <w:t>6087.61</w:t>
            </w:r>
            <w:r>
              <w:rPr>
                <w:rFonts w:hint="default" w:ascii="Times New Roman" w:hAnsi="Times New Roman" w:eastAsia="宋体" w:cs="Times New Roman"/>
                <w:color w:val="auto"/>
                <w:highlight w:val="none"/>
              </w:rPr>
              <w:t>tce/a；资源消耗量相对区域资源总量所占比例较少，不会突破资源利用上线，符合资源利用上线的要求。</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（4）生态环境准入清单</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根据查阅巴彦淖尔市环境管控单元图，</w:t>
            </w:r>
            <w:r>
              <w:rPr>
                <w:rFonts w:hint="default" w:ascii="Times New Roman" w:hAnsi="Times New Roman" w:eastAsia="宋体" w:cs="Times New Roman"/>
                <w:color w:val="auto"/>
                <w:highlight w:val="none"/>
              </w:rPr>
              <w:t>本项目厂区位于内蒙古巴彦淖尔市乌拉特前旗工业园区内，环境管控单元编码ZH15082320001，管控单元类别为重点管控单元，本项目生态环境准入清单符合性见下表。</w:t>
            </w:r>
          </w:p>
          <w:p>
            <w:pPr>
              <w:keepNext w:val="0"/>
              <w:keepLines w:val="0"/>
              <w:pageBreakBefore w:val="0"/>
              <w:widowControl/>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4787900" cy="3016250"/>
                  <wp:effectExtent l="0" t="0" r="12700" b="12700"/>
                  <wp:docPr id="16" name="图片 16" descr="0d6fa73a04fee5a7223ead2d3b9ac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d6fa73a04fee5a7223ead2d3b9accd"/>
                          <pic:cNvPicPr>
                            <a:picLocks noChangeAspect="1"/>
                          </pic:cNvPicPr>
                        </pic:nvPicPr>
                        <pic:blipFill>
                          <a:blip r:embed="rId20"/>
                          <a:stretch>
                            <a:fillRect/>
                          </a:stretch>
                        </pic:blipFill>
                        <pic:spPr>
                          <a:xfrm>
                            <a:off x="0" y="0"/>
                            <a:ext cx="4787900" cy="3016250"/>
                          </a:xfrm>
                          <a:prstGeom prst="rect">
                            <a:avLst/>
                          </a:prstGeom>
                        </pic:spPr>
                      </pic:pic>
                    </a:graphicData>
                  </a:graphic>
                </wp:inline>
              </w:drawing>
            </w:r>
          </w:p>
          <w:p>
            <w:pPr>
              <w:keepNext w:val="0"/>
              <w:keepLines w:val="0"/>
              <w:pageBreakBefore w:val="0"/>
              <w:widowControl w:val="0"/>
              <w:suppressLineNumbers w:val="0"/>
              <w:shd w:val="clear"/>
              <w:tabs>
                <w:tab w:val="left" w:pos="4252"/>
                <w:tab w:val="left" w:pos="6271"/>
              </w:tabs>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图1-1环境管控单元查询图</w:t>
            </w:r>
          </w:p>
          <w:p>
            <w:pPr>
              <w:keepNext w:val="0"/>
              <w:keepLines w:val="0"/>
              <w:pageBreakBefore w:val="0"/>
              <w:widowControl w:val="0"/>
              <w:suppressLineNumbers w:val="0"/>
              <w:shd w:val="clear"/>
              <w:tabs>
                <w:tab w:val="left" w:pos="4252"/>
                <w:tab w:val="left" w:pos="6271"/>
              </w:tabs>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kern w:val="0"/>
                <w:sz w:val="24"/>
                <w:szCs w:val="24"/>
                <w:highlight w:val="none"/>
                <w:lang w:val="en-US" w:eastAsia="zh-CN" w:bidi="ar"/>
              </w:rPr>
              <w:t>1-</w:t>
            </w: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巴彦淖尔市总体准入要求</w:t>
            </w:r>
            <w:r>
              <w:rPr>
                <w:rFonts w:hint="default" w:ascii="Times New Roman" w:hAnsi="Times New Roman" w:eastAsia="宋体" w:cs="Times New Roman"/>
                <w:b/>
                <w:bCs/>
                <w:color w:val="auto"/>
                <w:sz w:val="24"/>
                <w:szCs w:val="24"/>
                <w:highlight w:val="none"/>
                <w:lang w:eastAsia="zh-CN"/>
              </w:rPr>
              <w:t>符合性分析</w:t>
            </w:r>
            <w:r>
              <w:rPr>
                <w:rFonts w:hint="default" w:ascii="Times New Roman" w:hAnsi="Times New Roman" w:eastAsia="宋体" w:cs="Times New Roman"/>
                <w:b/>
                <w:bCs/>
                <w:color w:val="auto"/>
                <w:sz w:val="24"/>
                <w:szCs w:val="24"/>
                <w:highlight w:val="none"/>
              </w:rPr>
              <w:t>表</w:t>
            </w:r>
          </w:p>
          <w:tbl>
            <w:tblPr>
              <w:tblStyle w:val="29"/>
              <w:tblW w:w="77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5"/>
              <w:gridCol w:w="4226"/>
              <w:gridCol w:w="2171"/>
              <w:gridCol w:w="6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管控类型</w:t>
                  </w:r>
                </w:p>
              </w:tc>
              <w:tc>
                <w:tcPr>
                  <w:tcW w:w="4226" w:type="dxa"/>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管控要求</w:t>
                  </w:r>
                </w:p>
              </w:tc>
              <w:tc>
                <w:tcPr>
                  <w:tcW w:w="2171" w:type="dxa"/>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项目情况</w:t>
                  </w:r>
                </w:p>
              </w:tc>
              <w:tc>
                <w:tcPr>
                  <w:tcW w:w="658" w:type="dxa"/>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总体要求</w:t>
                  </w:r>
                </w:p>
              </w:tc>
              <w:tc>
                <w:tcPr>
                  <w:tcW w:w="4226" w:type="dxa"/>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1、根据《内蒙古自治区进一步规范化工行业项目建设的若干规定》，现有园区扩大面积的，要与黄河中上游流域巴彦淖尔段及主要支流岸线至少保持1公里距离。</w:t>
                  </w:r>
                </w:p>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新建、改建、扩建“两高”项目须符合生态环境保护法律法规和相关法定规划，满足重点污染物排放总量控制、碳排放达峰目标、生态环境准入清单、相关规划环评和相应行业建设项目环境准入条件、环评文件审批要求。新建、扩建石化、化工、焦化、有色金属冶炼、平板玻璃项目应布设在依法合规设立并经规划环评的产业园区。化工园区（集中区）外已认定为化工重点监控点的企业，在项目审批、建设和管理方面参照化工园区内企业执行。企业可按照化工项目建设管理有关规定，依法依规在厂区内或紧邻厂区新建、改扩建现有装备同类产品、产业链延链补链、循环经济利用、安全环保节能项目，但原则上不能新建上游产业。</w:t>
                  </w:r>
                </w:p>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为改善区域环境质量，严格控制“两高”项目新增主要污染物排放，确保环境影响报告书及其批复文件要求的主要污染物排放量区域削减措施落实到位。建设项目应满足区域、流域控制单元环境质量改善目标管理要求。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w:t>
                  </w:r>
                </w:p>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4、各类园区及建设项目选址应当符合当地国土空间规划。</w:t>
                  </w:r>
                </w:p>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畜禽养殖禁养区内不得新建、扩建和改建各类畜禽养殖场，限养区内严格限制新建和扩建各类规模化畜禽养殖场。适养区内现有的各类畜禽养殖场必须落实污染防治措施，对污水、废渣和恶臭应进行定期监测，确保排放的污染物达到《畜禽养殖业污染物排放标准》（GB18596）的限值要求，并符合污染物排放总量控制要求。禁养区范围内的已建成的畜禽养殖场（小区）和养殖专业户，由所在地人民政府负责责令限期搬迁、关闭或取缔。</w:t>
                  </w:r>
                </w:p>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建设对环境有影响的项目，建设单位应当根据国家关于建设项目环境保护分类管理的规定，按照对环境造成影响的程度，组织编制环境影响报告书、环境影响报告表或者填写环境影响登记表。严格落实排污许可管理要求，加强排污许可证实施监管，督促企业采取有效措施控制污染物排放，达到排污许可证规定的许可排放量要求。</w:t>
                  </w:r>
                </w:p>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7、入园项目需符合园区产业定位、布局、规划环评等；根据《内蒙古自治区“十四五”危险废物集中处置设施建设规划》，原则上限制新建、扩建危险废物焚烧、填埋、水泥窑协同等集中处置设施。</w:t>
                  </w:r>
                </w:p>
              </w:tc>
              <w:tc>
                <w:tcPr>
                  <w:tcW w:w="2171" w:type="dxa"/>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1、本项目不涉及新化工园区的布局和现有园区面积的扩大。</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2、本项目不属于“两高”项目；不属于石化、化工、焦化、有色金属冶炼、平板玻璃项目。</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3、根据《巴彦淖尔市环境质量状况公报（2022年）》，本项目所在地巴彦淖尔市乌拉特前旗为达标区；各污染物排放量较小，并且在采取相应环保措施后，各污染物均可达标排放，不会造成区域环境质量恶化。</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本项目位于巴彦淖尔市乌拉特前旗工业园区巴彦淖尔市农垦飞达铸业有限责任公司院内，厂区土地性质为工业用地，租用院内1座现有生产厂房进行建设；本项目属于废弃资源综合利用业，符合乌拉特前旗工业园区用地规划和产业定位。</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5、变更项目不属于畜禽养殖业。</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6、根据《建设项目环境影响评价分类管理名录（2021年版）》，本项目应编制环境影响报告表，根据预测，本项目各污染物均可达标排放。</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7、本项目不属于重污染企业，位于乌拉特前旗工业园区，并符合乌拉特前旗工业园区的产业定位和园区总体规划。</w:t>
                  </w:r>
                </w:p>
              </w:tc>
              <w:tc>
                <w:tcPr>
                  <w:tcW w:w="658" w:type="dxa"/>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bl>
          <w:p>
            <w:pPr>
              <w:keepNext w:val="0"/>
              <w:keepLines w:val="0"/>
              <w:pageBreakBefore w:val="0"/>
              <w:widowControl w:val="0"/>
              <w:suppressLineNumbers w:val="0"/>
              <w:shd w:val="clear"/>
              <w:tabs>
                <w:tab w:val="left" w:pos="4252"/>
                <w:tab w:val="left" w:pos="6271"/>
              </w:tabs>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1-4</w:t>
            </w:r>
            <w:r>
              <w:rPr>
                <w:rFonts w:hint="default" w:ascii="Times New Roman" w:hAnsi="Times New Roman" w:eastAsia="宋体" w:cs="Times New Roman"/>
                <w:b/>
                <w:bCs/>
                <w:color w:val="auto"/>
                <w:sz w:val="24"/>
                <w:szCs w:val="24"/>
                <w:highlight w:val="none"/>
              </w:rPr>
              <w:t>巴彦淖尔市生态环境准入清单符合性分析表</w:t>
            </w:r>
          </w:p>
          <w:tbl>
            <w:tblPr>
              <w:tblStyle w:val="29"/>
              <w:tblW w:w="77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525"/>
              <w:gridCol w:w="3720"/>
              <w:gridCol w:w="2188"/>
              <w:gridCol w:w="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9"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环境管控单元名称</w:t>
                  </w:r>
                </w:p>
              </w:tc>
              <w:tc>
                <w:tcPr>
                  <w:tcW w:w="4245" w:type="dxa"/>
                  <w:gridSpan w:val="2"/>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管控要求</w:t>
                  </w:r>
                </w:p>
              </w:tc>
              <w:tc>
                <w:tcPr>
                  <w:tcW w:w="2188"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本项目</w:t>
                  </w:r>
                  <w:r>
                    <w:rPr>
                      <w:rFonts w:hint="default" w:ascii="Times New Roman" w:hAnsi="Times New Roman" w:eastAsia="宋体" w:cs="Times New Roman"/>
                      <w:b/>
                      <w:bCs/>
                      <w:color w:val="auto"/>
                      <w:sz w:val="21"/>
                      <w:szCs w:val="21"/>
                      <w:highlight w:val="none"/>
                    </w:rPr>
                    <w:t>落实情况</w:t>
                  </w:r>
                </w:p>
              </w:tc>
              <w:tc>
                <w:tcPr>
                  <w:tcW w:w="638"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9" w:type="dxa"/>
                  <w:vMerge w:val="restart"/>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乌拉特前旗工业园区</w:t>
                  </w:r>
                  <w:r>
                    <w:rPr>
                      <w:rFonts w:hint="default" w:ascii="Times New Roman" w:hAnsi="Times New Roman" w:eastAsia="宋体" w:cs="Times New Roman"/>
                      <w:color w:val="auto"/>
                      <w:sz w:val="21"/>
                      <w:szCs w:val="21"/>
                      <w:highlight w:val="none"/>
                      <w:lang w:eastAsia="zh-CN"/>
                    </w:rPr>
                    <w:t>（编号为：</w:t>
                  </w:r>
                  <w:r>
                    <w:rPr>
                      <w:rFonts w:hint="default" w:ascii="Times New Roman" w:hAnsi="Times New Roman" w:eastAsia="宋体" w:cs="Times New Roman"/>
                      <w:color w:val="auto"/>
                      <w:sz w:val="21"/>
                      <w:szCs w:val="21"/>
                      <w:highlight w:val="none"/>
                    </w:rPr>
                    <w:t>ZH15080220001</w:t>
                  </w:r>
                  <w:r>
                    <w:rPr>
                      <w:rFonts w:hint="default" w:ascii="Times New Roman" w:hAnsi="Times New Roman" w:eastAsia="宋体" w:cs="Times New Roman"/>
                      <w:color w:val="auto"/>
                      <w:sz w:val="21"/>
                      <w:szCs w:val="21"/>
                      <w:highlight w:val="none"/>
                      <w:lang w:eastAsia="zh-CN"/>
                    </w:rPr>
                    <w:t>）</w:t>
                  </w:r>
                </w:p>
              </w:tc>
              <w:tc>
                <w:tcPr>
                  <w:tcW w:w="525"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空间布局约束</w:t>
                  </w:r>
                </w:p>
              </w:tc>
              <w:tc>
                <w:tcPr>
                  <w:tcW w:w="37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1、严格执行环境准入门槛，依法落实园区规划环评。对不符合园区产业定位、布局、规划环评等的项目一律不予批准。</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2、新建、改建、扩建项目，必须符合国家和自治区产业指导目录要求、行业技术标准以及规模、投资强度。</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3、新建、改建、扩建“两高”项目须符合生态环境保护法律法规和相关法定规划，满足重点污染物排放总量控制、</w:t>
                  </w:r>
                  <w:r>
                    <w:rPr>
                      <w:rFonts w:hint="default" w:ascii="Times New Roman" w:hAnsi="Times New Roman" w:eastAsia="宋体" w:cs="Times New Roman"/>
                      <w:color w:val="auto"/>
                      <w:sz w:val="21"/>
                      <w:szCs w:val="21"/>
                    </w:rPr>
                    <w:t>碳达峰、碳中和目标</w:t>
                  </w:r>
                  <w:r>
                    <w:rPr>
                      <w:rFonts w:hint="default" w:ascii="Times New Roman" w:hAnsi="Times New Roman" w:eastAsia="宋体" w:cs="Times New Roman"/>
                      <w:color w:val="auto"/>
                      <w:kern w:val="0"/>
                      <w:sz w:val="21"/>
                      <w:szCs w:val="21"/>
                      <w:lang w:bidi="ar"/>
                    </w:rPr>
                    <w:t>、生态环境准入清单、相关规划环评和相应行业建设项目环境准入条件、环评文件审批原则要求。</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4、积极推进“两高”项目环评开展试点工作，衔接落实有关区域和行业</w:t>
                  </w:r>
                  <w:r>
                    <w:rPr>
                      <w:rFonts w:hint="default" w:ascii="Times New Roman" w:hAnsi="Times New Roman" w:eastAsia="宋体" w:cs="Times New Roman"/>
                      <w:color w:val="auto"/>
                      <w:sz w:val="21"/>
                      <w:szCs w:val="21"/>
                    </w:rPr>
                    <w:t>碳达峰、碳中和</w:t>
                  </w:r>
                  <w:r>
                    <w:rPr>
                      <w:rFonts w:hint="default" w:ascii="Times New Roman" w:hAnsi="Times New Roman" w:eastAsia="宋体" w:cs="Times New Roman"/>
                      <w:color w:val="auto"/>
                      <w:kern w:val="0"/>
                      <w:sz w:val="21"/>
                      <w:szCs w:val="21"/>
                      <w:lang w:bidi="ar"/>
                    </w:rPr>
                    <w:t>行动方案、清洁能源替代、清洁运输、煤炭消费总量控制等政策要求。</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5、新建、改建、扩建“两高一低”项目，须符合《内蒙古自治区发展和改革委员会生态环境厅工业和信息化厅能源局关于印发&lt;内蒙古自治区坚决遏制“两高一低”项目盲目发展管控目录（2023年修订版）&gt;的通知》（内发改环资字〔2023〕1080号）相关要求</w:t>
                  </w:r>
                  <w:r>
                    <w:rPr>
                      <w:rFonts w:hint="default" w:ascii="Times New Roman" w:hAnsi="Times New Roman" w:eastAsia="宋体" w:cs="Times New Roman"/>
                      <w:color w:val="auto"/>
                      <w:sz w:val="21"/>
                      <w:szCs w:val="21"/>
                      <w:highlight w:val="none"/>
                    </w:rPr>
                    <w:t>。</w:t>
                  </w:r>
                </w:p>
              </w:tc>
              <w:tc>
                <w:tcPr>
                  <w:tcW w:w="2188" w:type="dxa"/>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1、本项目位于巴彦淖尔市乌拉特前旗工业园区，厂区土地性质为工业用地</w:t>
                  </w:r>
                  <w:r>
                    <w:rPr>
                      <w:rFonts w:hint="default" w:ascii="Times New Roman" w:hAnsi="Times New Roman" w:eastAsia="宋体" w:cs="Times New Roman"/>
                      <w:b w:val="0"/>
                      <w:bCs w:val="0"/>
                      <w:color w:val="auto"/>
                      <w:sz w:val="21"/>
                      <w:szCs w:val="21"/>
                      <w:highlight w:val="none"/>
                      <w:vertAlign w:val="baseline"/>
                      <w:lang w:eastAsia="zh-CN"/>
                    </w:rPr>
                    <w:t>，本项目属于废弃资源综合利用业，根据乌拉特前旗工业园区管委会出具的《关于内蒙古嘉宇新材料有限公司含硅材料综合利用项目已列入园区规划环评的说明》，</w:t>
                  </w:r>
                  <w:r>
                    <w:rPr>
                      <w:rFonts w:hint="default" w:ascii="Times New Roman" w:hAnsi="Times New Roman" w:eastAsia="宋体" w:cs="Times New Roman"/>
                      <w:color w:val="auto"/>
                      <w:sz w:val="21"/>
                      <w:szCs w:val="21"/>
                      <w:highlight w:val="none"/>
                      <w:lang w:val="en-US" w:eastAsia="zh-CN"/>
                    </w:rPr>
                    <w:t>符合园区产业定位、总体规划。</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本项目属于《产业结构调整指导目录（2024年本）》（国家发展和改革委员会令第7号）鼓励类项目。项目于2024年1月2日取得了乌拉特前旗发展和改革委员会出具的《项目备案告知书》，项目代码：2312-150823-04-01-972759，符合产业政策和市场准入条件。</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3、本项目不属于“两高”项目，符合园区产业定位、总体规划。</w:t>
                  </w:r>
                </w:p>
              </w:tc>
              <w:tc>
                <w:tcPr>
                  <w:tcW w:w="638"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9" w:type="dxa"/>
                  <w:vMerge w:val="continue"/>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525"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污染物排放管控</w:t>
                  </w:r>
                </w:p>
              </w:tc>
              <w:tc>
                <w:tcPr>
                  <w:tcW w:w="37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1、粉状物料堆场必须进行全封闭，块状物料必须配套抑尘设施。</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2、禁止新建每小时35蒸吨以下燃煤锅炉，新建锅炉大气污染物排放要符合相关要求。</w:t>
                  </w:r>
                </w:p>
                <w:p>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根据《化工园区建设标准和认定管理办法（试行）》（工信部联原[2021]220号）要求，化工园区应按照分类收集、分质处理的要求，配备专业化工生产废水集中处理设施（独立建设或依托骨干企业）及专管或明管输送的配套管网。工业园区的工业企业排放的废水应当按照国家有关规定进行预处理（或者委托具备处理能力的第三方进行集中处理），未达到工业园区集中处理设施（不含园区企业预处理一级集中处理设施）处理工艺要求的，不得排入工业园区污水集中处理设施。</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新建“两高”项目应按照《关于加强重点行业建设项目区域削减措施监督管理的通知》要求，依据区域环境质量改善目标，制定配套区域污染物削减方案，采取有效的污染物区域削减措施，腾出足够的环境容量。现有“两高”项目应依法制定并严格落实防治土壤与地下水污染的措施。推进水泥、焦化等行业超低排放改造。以电力、焦化、冶炼、钢铁等行业为重点，有序推进现有企业开展全流程智能化、清洁化、循环化、低碳化改造，促进传统产业绿色转型级，逐步淘汰落后产能。</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5、加强对废气特别是有毒及恶臭气体的收集和处置，严格控制挥发性有机物（VOCs）排放。</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6、以焦化制造、新材料、冶金等行业为重点，有序推进现有企业开展全流程智能化、清洁化、循环化、低碳化改造，促进传统产业绿色转型升级，逐步淘汰落后产能。推进焦化等行业超低排放改造。</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7、固体废物产生量大的化工园区应配套建设固体废物处置设施同时提高综合利用率。</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8、新建、改建、扩建重点行业建设项目遵循重点重金属污染物排放“等量替代”原则。建设单位在提交环境影响评价文件时应明确重点重金属污染物排放总量及来源。无明确具体总量来源的，各级生态环境部门不得批准相关环境影响评价文件。禁止新建用汞的电石法（聚）氯乙烯生产工艺项目。新建、扩建的重有色金属冶炼、电镀、制革企业优先布设在依法合规设立并经规划环评的产业园区</w:t>
                  </w:r>
                  <w:r>
                    <w:rPr>
                      <w:rFonts w:hint="default" w:ascii="Times New Roman" w:hAnsi="Times New Roman" w:eastAsia="宋体" w:cs="Times New Roman"/>
                      <w:color w:val="auto"/>
                      <w:sz w:val="21"/>
                      <w:szCs w:val="21"/>
                      <w:highlight w:val="none"/>
                    </w:rPr>
                    <w:t>。</w:t>
                  </w:r>
                </w:p>
              </w:tc>
              <w:tc>
                <w:tcPr>
                  <w:tcW w:w="2188" w:type="dxa"/>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本项目生产过程中，物料转运、储存过程中均在全封闭生产车间内进行。</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2、本项目不涉及</w:t>
                  </w:r>
                  <w:r>
                    <w:rPr>
                      <w:rFonts w:hint="default" w:ascii="Times New Roman" w:hAnsi="Times New Roman" w:eastAsia="宋体" w:cs="Times New Roman"/>
                      <w:color w:val="auto"/>
                      <w:sz w:val="21"/>
                      <w:szCs w:val="21"/>
                      <w:highlight w:val="none"/>
                    </w:rPr>
                    <w:t>燃煤锅炉</w:t>
                  </w:r>
                  <w:r>
                    <w:rPr>
                      <w:rFonts w:hint="default" w:ascii="Times New Roman" w:hAnsi="Times New Roman" w:eastAsia="宋体" w:cs="Times New Roman"/>
                      <w:color w:val="auto"/>
                      <w:sz w:val="21"/>
                      <w:szCs w:val="21"/>
                      <w:highlight w:val="none"/>
                      <w:lang w:eastAsia="zh-CN"/>
                    </w:rPr>
                    <w:t>的建设。</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kern w:val="0"/>
                      <w:sz w:val="21"/>
                      <w:szCs w:val="21"/>
                      <w:highlight w:val="none"/>
                      <w:lang w:val="en-US" w:eastAsia="zh-CN" w:bidi="ar"/>
                    </w:rPr>
                    <w:t>本项目无生产废水排放；生活污水排入厂区现有化粪池处理后，经园区污水管网进入乌拉特前旗工业园区污水处理厂。</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4、本</w:t>
                  </w:r>
                  <w:r>
                    <w:rPr>
                      <w:rFonts w:hint="default" w:ascii="Times New Roman" w:hAnsi="Times New Roman" w:eastAsia="宋体" w:cs="Times New Roman"/>
                      <w:color w:val="auto"/>
                      <w:sz w:val="21"/>
                      <w:szCs w:val="21"/>
                      <w:highlight w:val="none"/>
                    </w:rPr>
                    <w:t>项目不属于“两高”项目。</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5、本项目废气污染因子为颗粒物、二氧化硫、氮氧化物，不属于有毒及恶臭气体。</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6、本项目不属于</w:t>
                  </w:r>
                  <w:r>
                    <w:rPr>
                      <w:rFonts w:hint="default" w:ascii="Times New Roman" w:hAnsi="Times New Roman" w:eastAsia="宋体" w:cs="Times New Roman"/>
                      <w:color w:val="auto"/>
                      <w:sz w:val="21"/>
                      <w:szCs w:val="21"/>
                      <w:highlight w:val="none"/>
                    </w:rPr>
                    <w:t>焦化制造、新材料、冶金等</w:t>
                  </w:r>
                  <w:r>
                    <w:rPr>
                      <w:rFonts w:hint="default" w:ascii="Times New Roman" w:hAnsi="Times New Roman" w:eastAsia="宋体" w:cs="Times New Roman"/>
                      <w:color w:val="auto"/>
                      <w:sz w:val="21"/>
                      <w:szCs w:val="21"/>
                      <w:highlight w:val="none"/>
                      <w:lang w:eastAsia="zh-CN"/>
                    </w:rPr>
                    <w:t>行业。</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7、本项目运营期产生的固废处置情况如下：（1）废弃包装袋</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原辅材料产生废包装袋，属于一般工业固废，暂存于一般固废暂存间内，定期外售综合利用。</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（2）水膜除尘器收集的底泥，属于一般工业固废，暂存于一般固废暂存间内，作为原料进行二次烘干。</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（3）感应炉产生的废耐火材料，属于一般工业固废，暂存于一般固废暂存间内，定期由厂家回收综合利用。</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（4）感应炉产生的废电极，属于一般工业固废，暂存于一般固废暂存间内，定期由厂家回收综合利用。</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（5）感应炉产生的硅渣，属于一般工业固废，暂存于一般固废暂存间内，每个月清运一次，外售综合利用。</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（6）布袋除尘器收集的除尘灰，属于一般工业固废，暂存于一般固废暂存间内，定期外售综合利用。</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（7）设备维护过程产生的废润滑油，收集至PE桶中，属于危险废物，暂存于危废暂存间内，定期委托有资质单位处置。</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运营期生产固废均妥善处置，对环境影响较小</w:t>
                  </w:r>
                  <w:r>
                    <w:rPr>
                      <w:rFonts w:hint="default" w:ascii="Times New Roman" w:hAnsi="Times New Roman" w:eastAsia="宋体" w:cs="Times New Roman"/>
                      <w:color w:val="auto"/>
                      <w:sz w:val="21"/>
                      <w:szCs w:val="21"/>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lang w:val="en-US" w:eastAsia="zh-CN"/>
                    </w:rPr>
                    <w:t>8、本项目不</w:t>
                  </w:r>
                  <w:r>
                    <w:rPr>
                      <w:rFonts w:hint="default" w:ascii="Times New Roman" w:hAnsi="Times New Roman" w:eastAsia="宋体" w:cs="Times New Roman"/>
                      <w:color w:val="auto"/>
                      <w:sz w:val="21"/>
                      <w:szCs w:val="21"/>
                      <w:highlight w:val="none"/>
                    </w:rPr>
                    <w:t>排放重金属污染物</w:t>
                  </w:r>
                  <w:r>
                    <w:rPr>
                      <w:rFonts w:hint="default" w:ascii="Times New Roman" w:hAnsi="Times New Roman" w:eastAsia="宋体" w:cs="Times New Roman"/>
                      <w:color w:val="auto"/>
                      <w:sz w:val="21"/>
                      <w:szCs w:val="21"/>
                      <w:highlight w:val="none"/>
                      <w:lang w:eastAsia="zh-CN"/>
                    </w:rPr>
                    <w:t>。</w:t>
                  </w:r>
                </w:p>
              </w:tc>
              <w:tc>
                <w:tcPr>
                  <w:tcW w:w="638"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9" w:type="dxa"/>
                  <w:vMerge w:val="continue"/>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525"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环境风险防控</w:t>
                  </w:r>
                </w:p>
              </w:tc>
              <w:tc>
                <w:tcPr>
                  <w:tcW w:w="37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加强园区及入园企业环境应急设施整合共享，形成园区应急物资联动资源库，建立有效的拦截、降污、导流、暂存等工程措施，防止泄漏物、消防废水等进入园区外环境。建立园区环境应急监测机制，强化园区风险防控。制定园区环境风险事故防范和应急预案并定期更新。化学工业加强重大环境风险源的风险管控，构建区域环境风险联防联控机制，建立突发环境事故状态下的应急监测与人员疏散联动机制。</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2、依法严查向滩涂、坑塘、废弃矿井、渗坑渗井等非法排污的环境违法行为。</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3、实行排污许可重点管理的排污单位，应当依法安装、使用、维护污染物排放自动监测设备，并与生态环境主管部门的监控设备联网。</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rPr>
                    <w:t>4、规范项目台账，化工园区与城市建成区、人口密集区、重要设施等防护目标之间保持足够的安全防护距离，留有适当的缓冲带，加强日常环境风险监管</w:t>
                  </w:r>
                  <w:r>
                    <w:rPr>
                      <w:rFonts w:hint="default" w:ascii="Times New Roman" w:hAnsi="Times New Roman" w:eastAsia="宋体" w:cs="Times New Roman"/>
                      <w:color w:val="auto"/>
                      <w:sz w:val="21"/>
                      <w:szCs w:val="21"/>
                      <w:highlight w:val="none"/>
                    </w:rPr>
                    <w:t>。</w:t>
                  </w:r>
                </w:p>
              </w:tc>
              <w:tc>
                <w:tcPr>
                  <w:tcW w:w="2188" w:type="dxa"/>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1、园区配套设置了突发环境事件应急防控体系</w:t>
                  </w:r>
                  <w:r>
                    <w:rPr>
                      <w:rFonts w:hint="default" w:ascii="Times New Roman" w:hAnsi="Times New Roman" w:eastAsia="宋体" w:cs="Times New Roman"/>
                      <w:color w:val="auto"/>
                      <w:sz w:val="21"/>
                      <w:szCs w:val="21"/>
                      <w:highlight w:val="none"/>
                      <w:lang w:eastAsia="zh-CN"/>
                    </w:rPr>
                    <w:t>。</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2、本</w:t>
                  </w:r>
                  <w:r>
                    <w:rPr>
                      <w:rFonts w:hint="default" w:ascii="Times New Roman" w:hAnsi="Times New Roman" w:eastAsia="宋体" w:cs="Times New Roman"/>
                      <w:color w:val="auto"/>
                      <w:sz w:val="21"/>
                      <w:szCs w:val="21"/>
                      <w:lang w:val="en-US" w:eastAsia="zh-CN"/>
                    </w:rPr>
                    <w:t>项目不向外</w:t>
                  </w:r>
                  <w:r>
                    <w:rPr>
                      <w:rFonts w:hint="default" w:ascii="Times New Roman" w:hAnsi="Times New Roman" w:eastAsia="宋体" w:cs="Times New Roman"/>
                      <w:color w:val="auto"/>
                      <w:sz w:val="21"/>
                      <w:szCs w:val="21"/>
                    </w:rPr>
                    <w:t>非法排污</w:t>
                  </w:r>
                  <w:r>
                    <w:rPr>
                      <w:rFonts w:hint="default" w:ascii="Times New Roman" w:hAnsi="Times New Roman" w:eastAsia="宋体" w:cs="Times New Roman"/>
                      <w:color w:val="auto"/>
                      <w:sz w:val="21"/>
                      <w:szCs w:val="21"/>
                      <w:lang w:eastAsia="zh-CN"/>
                    </w:rPr>
                    <w:t>。</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3、本项目不属于排污许可重点管理的排污单位，无须设置自动监测设备。</w:t>
                  </w:r>
                </w:p>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4、企业运营期应编制环境突发事故应急预案</w:t>
                  </w:r>
                  <w:r>
                    <w:rPr>
                      <w:rFonts w:hint="default" w:ascii="Times New Roman" w:hAnsi="Times New Roman" w:eastAsia="宋体" w:cs="Times New Roman"/>
                      <w:color w:val="auto"/>
                      <w:sz w:val="21"/>
                      <w:szCs w:val="21"/>
                      <w:highlight w:val="none"/>
                    </w:rPr>
                    <w:t>。</w:t>
                  </w:r>
                </w:p>
              </w:tc>
              <w:tc>
                <w:tcPr>
                  <w:tcW w:w="638"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9" w:type="dxa"/>
                  <w:vMerge w:val="continue"/>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525"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资源利用效率要求</w:t>
                  </w:r>
                </w:p>
              </w:tc>
              <w:tc>
                <w:tcPr>
                  <w:tcW w:w="3720" w:type="dxa"/>
                  <w:tcBorders>
                    <w:tl2br w:val="nil"/>
                    <w:tr2bl w:val="nil"/>
                  </w:tcBorders>
                  <w:noWrap w:val="0"/>
                  <w:vAlign w:val="center"/>
                </w:tcPr>
                <w:p>
                  <w:pPr>
                    <w:keepNext w:val="0"/>
                    <w:keepLines w:val="0"/>
                    <w:pageBreakBefore w:val="0"/>
                    <w:widowControl/>
                    <w:suppressLineNumbers w:val="0"/>
                    <w:tabs>
                      <w:tab w:val="left" w:pos="312"/>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新建、改建、扩建的工业项目，禁止擅自使用地下水；食品、制药等项目取用地下水，须经有管理权限的水行政主管部门批准；具备使用非常规水源条件的园区，限期关闭企业生产用地下水自备水井；工业企业的设备冷却水、空调冷却水、锅炉冷凝水应当循环使用或者回收利用，不得直接排放。</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rPr>
                    <w:t>2、加强对已建成高污染、高耗水、高耗能项目的监管，有节能节水减排潜力的项目要升级改造，单位产品物耗、能耗、水耗等鼓励逐步达到清洁生产先进水平。</w:t>
                  </w:r>
                  <w:r>
                    <w:rPr>
                      <w:rFonts w:hint="default" w:ascii="Times New Roman" w:hAnsi="Times New Roman" w:eastAsia="宋体" w:cs="Times New Roman"/>
                      <w:color w:val="auto"/>
                      <w:kern w:val="0"/>
                      <w:sz w:val="21"/>
                      <w:szCs w:val="21"/>
                      <w:lang w:bidi="ar"/>
                    </w:rPr>
                    <w:t>节水设施应与主体工程同时设计、同时施工、同时投运</w:t>
                  </w:r>
                  <w:r>
                    <w:rPr>
                      <w:rFonts w:hint="default" w:ascii="Times New Roman" w:hAnsi="Times New Roman" w:eastAsia="宋体" w:cs="Times New Roman"/>
                      <w:color w:val="auto"/>
                      <w:sz w:val="21"/>
                      <w:szCs w:val="21"/>
                      <w:highlight w:val="none"/>
                    </w:rPr>
                    <w:t>。</w:t>
                  </w:r>
                </w:p>
              </w:tc>
              <w:tc>
                <w:tcPr>
                  <w:tcW w:w="2188" w:type="dxa"/>
                  <w:tcBorders>
                    <w:tl2br w:val="nil"/>
                    <w:tr2bl w:val="nil"/>
                  </w:tcBorders>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生产用水、生活用水采用园区供水管网统一供给</w:t>
                  </w:r>
                  <w:r>
                    <w:rPr>
                      <w:rFonts w:hint="default" w:ascii="Times New Roman" w:hAnsi="Times New Roman" w:eastAsia="宋体" w:cs="Times New Roman"/>
                      <w:color w:val="auto"/>
                      <w:sz w:val="21"/>
                      <w:szCs w:val="21"/>
                      <w:highlight w:val="none"/>
                      <w:lang w:eastAsia="zh-CN"/>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sz w:val="21"/>
                      <w:szCs w:val="21"/>
                      <w:highlight w:val="none"/>
                      <w:lang w:val="en-US" w:eastAsia="zh-CN"/>
                    </w:rPr>
                    <w:t>2、本项目不属于</w:t>
                  </w:r>
                  <w:r>
                    <w:rPr>
                      <w:rFonts w:hint="default" w:ascii="Times New Roman" w:hAnsi="Times New Roman" w:eastAsia="宋体" w:cs="Times New Roman"/>
                      <w:color w:val="auto"/>
                      <w:sz w:val="21"/>
                      <w:szCs w:val="21"/>
                      <w:highlight w:val="none"/>
                    </w:rPr>
                    <w:t>高污染、高耗水、高耗能项目</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生产废水循环使用，不外排</w:t>
                  </w:r>
                  <w:r>
                    <w:rPr>
                      <w:rFonts w:hint="default" w:ascii="Times New Roman" w:hAnsi="Times New Roman" w:eastAsia="宋体" w:cs="Times New Roman"/>
                      <w:color w:val="auto"/>
                      <w:sz w:val="21"/>
                      <w:szCs w:val="21"/>
                      <w:highlight w:val="none"/>
                    </w:rPr>
                    <w:t>。</w:t>
                  </w:r>
                </w:p>
              </w:tc>
              <w:tc>
                <w:tcPr>
                  <w:tcW w:w="638"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pPr>
              <w:keepNext w:val="0"/>
              <w:keepLines w:val="0"/>
              <w:pageBreakBefore w:val="0"/>
              <w:widowControl w:val="0"/>
              <w:suppressLineNumbers w:val="0"/>
              <w:shd w:val="clear"/>
              <w:tabs>
                <w:tab w:val="center" w:pos="4153"/>
                <w:tab w:val="right" w:pos="8306"/>
              </w:tabs>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根据《巴彦淖尔市人民政府办公室关于巴彦淖尔市2023年生态环境分区管控成果动态更新的通知》（巴政办字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2023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106号）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巴彦淖尔市全市共划定环境管控单元256个</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包括优先保护单元、重点管控单元、一般管控单元三类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实施分类管控</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suppressLineNumbers w:val="0"/>
              <w:shd w:val="clear"/>
              <w:tabs>
                <w:tab w:val="center" w:pos="4153"/>
                <w:tab w:val="right" w:pos="8306"/>
              </w:tabs>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本项目</w:t>
            </w:r>
            <w:r>
              <w:rPr>
                <w:rFonts w:hint="default" w:ascii="Times New Roman" w:hAnsi="Times New Roman" w:eastAsia="宋体" w:cs="Times New Roman"/>
                <w:color w:val="auto"/>
                <w:sz w:val="24"/>
                <w:szCs w:val="24"/>
                <w:highlight w:val="none"/>
              </w:rPr>
              <w:t>属于乌拉特前旗工业园区环境管控单元，管控单元类别为</w:t>
            </w:r>
            <w:r>
              <w:rPr>
                <w:rFonts w:hint="default" w:ascii="Times New Roman" w:hAnsi="Times New Roman" w:eastAsia="宋体" w:cs="Times New Roman"/>
                <w:color w:val="auto"/>
                <w:sz w:val="24"/>
                <w:szCs w:val="24"/>
                <w:highlight w:val="none"/>
                <w:lang w:eastAsia="zh-CN"/>
              </w:rPr>
              <w:t>重点管控单元</w:t>
            </w:r>
            <w:r>
              <w:rPr>
                <w:rFonts w:hint="default" w:ascii="Times New Roman" w:hAnsi="Times New Roman" w:eastAsia="宋体" w:cs="Times New Roman"/>
                <w:color w:val="auto"/>
                <w:sz w:val="24"/>
                <w:szCs w:val="24"/>
                <w:highlight w:val="none"/>
              </w:rPr>
              <w:t>，环境管控单元编码ZH15082320001，从空间布局约束、污染物排放管控、环境风险防控、资源利用效率要求等方面分析，</w:t>
            </w:r>
            <w:r>
              <w:rPr>
                <w:rFonts w:hint="default" w:ascii="Times New Roman" w:hAnsi="Times New Roman" w:eastAsia="宋体" w:cs="Times New Roman"/>
                <w:color w:val="auto"/>
                <w:sz w:val="24"/>
                <w:szCs w:val="24"/>
                <w:highlight w:val="none"/>
                <w:lang w:eastAsia="zh-CN"/>
              </w:rPr>
              <w:t>本项目配套设置</w:t>
            </w:r>
            <w:r>
              <w:rPr>
                <w:rFonts w:hint="default" w:ascii="Times New Roman" w:hAnsi="Times New Roman" w:eastAsia="宋体" w:cs="Times New Roman"/>
                <w:color w:val="auto"/>
                <w:sz w:val="24"/>
                <w:szCs w:val="24"/>
                <w:highlight w:val="none"/>
              </w:rPr>
              <w:t>环保措施，环境影响及环境风险可控。</w:t>
            </w:r>
          </w:p>
          <w:p>
            <w:pPr>
              <w:keepNext w:val="0"/>
              <w:keepLines w:val="0"/>
              <w:pageBreakBefore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szCs w:val="24"/>
                <w:highlight w:val="none"/>
              </w:rPr>
              <w:t>因此，</w:t>
            </w:r>
            <w:r>
              <w:rPr>
                <w:rFonts w:hint="default" w:ascii="Times New Roman" w:hAnsi="Times New Roman" w:eastAsia="宋体" w:cs="Times New Roman"/>
                <w:color w:val="auto"/>
                <w:sz w:val="24"/>
                <w:szCs w:val="24"/>
                <w:highlight w:val="none"/>
                <w:lang w:eastAsia="zh-CN"/>
              </w:rPr>
              <w:t>本项目</w:t>
            </w:r>
            <w:r>
              <w:rPr>
                <w:rFonts w:hint="default" w:ascii="Times New Roman" w:hAnsi="Times New Roman" w:eastAsia="宋体" w:cs="Times New Roman"/>
                <w:color w:val="auto"/>
                <w:sz w:val="24"/>
                <w:szCs w:val="24"/>
                <w:highlight w:val="none"/>
              </w:rPr>
              <w:t>符合三线一单管控要求</w:t>
            </w:r>
            <w:r>
              <w:rPr>
                <w:rFonts w:hint="default" w:ascii="Times New Roman" w:hAnsi="Times New Roman" w:eastAsia="宋体" w:cs="Times New Roman"/>
                <w:color w:val="auto"/>
                <w:sz w:val="24"/>
                <w:szCs w:val="24"/>
                <w:highlight w:val="none"/>
                <w:lang w:eastAsia="zh-CN"/>
              </w:rPr>
              <w:t>。</w:t>
            </w: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p>
        </w:tc>
      </w:tr>
    </w:tbl>
    <w:p>
      <w:pPr>
        <w:pStyle w:val="3"/>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rPr>
        <w:sectPr>
          <w:footerReference r:id="rId13" w:type="default"/>
          <w:pgSz w:w="11906" w:h="16838"/>
          <w:pgMar w:top="1440" w:right="1800" w:bottom="1440" w:left="1800" w:header="992" w:footer="992" w:gutter="0"/>
          <w:pgNumType w:start="1"/>
          <w:cols w:space="425" w:num="1"/>
          <w:docGrid w:type="lines" w:linePitch="312" w:charSpace="0"/>
        </w:sectPr>
      </w:pPr>
    </w:p>
    <w:p>
      <w:pPr>
        <w:pStyle w:val="3"/>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rPr>
      </w:pPr>
      <w:bookmarkStart w:id="2" w:name="_Toc163032409"/>
      <w:r>
        <w:rPr>
          <w:rFonts w:hint="default" w:ascii="Times New Roman" w:hAnsi="Times New Roman" w:eastAsia="宋体" w:cs="Times New Roman"/>
          <w:snapToGrid w:val="0"/>
          <w:color w:val="auto"/>
          <w:highlight w:val="none"/>
        </w:rPr>
        <w:t>二、建设项目工程分析</w:t>
      </w:r>
      <w:bookmarkEnd w:id="2"/>
    </w:p>
    <w:tbl>
      <w:tblPr>
        <w:tblStyle w:val="29"/>
        <w:tblW w:w="91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9"/>
        <w:gridCol w:w="850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7" w:hRule="atLeast"/>
          <w:jc w:val="center"/>
        </w:trPr>
        <w:tc>
          <w:tcPr>
            <w:tcW w:w="702" w:type="dxa"/>
            <w:vAlign w:val="center"/>
          </w:tcPr>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建设内容</w:t>
            </w:r>
          </w:p>
        </w:tc>
        <w:tc>
          <w:tcPr>
            <w:tcW w:w="8502" w:type="dxa"/>
          </w:tcPr>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1、项目建设内容及规模</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1.1项目基本情况</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（1）项目名称：内蒙古嘉宇新材料有限公司含硅材料综合利用项目；</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（2）建设性质：新建；</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（3）建设单位：内蒙古嘉宇新材料有限公司；</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（4）建设地点：本项目位于内蒙古自治区巴彦淖尔市乌拉特前旗工业园区飞达铸业公司院内，项目中心地理坐标：东经109°18′14.875″，北纬40°36′15.685″，项目具体地理位置见附图1；</w:t>
            </w: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sz w:val="24"/>
                <w:szCs w:val="24"/>
                <w:highlight w:val="none"/>
                <w:lang w:val="en-US" w:eastAsia="zh-CN"/>
              </w:rPr>
              <w:t>表2-1界址点坐标表</w:t>
            </w:r>
          </w:p>
          <w:tbl>
            <w:tblPr>
              <w:tblStyle w:val="30"/>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0"/>
              <w:gridCol w:w="1735"/>
              <w:gridCol w:w="1740"/>
              <w:gridCol w:w="1848"/>
              <w:gridCol w:w="17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eastAsia="zh-CN"/>
                    </w:rPr>
                    <w:t>点号</w:t>
                  </w:r>
                </w:p>
              </w:tc>
              <w:tc>
                <w:tcPr>
                  <w:tcW w:w="163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X</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Y</w:t>
                  </w:r>
                </w:p>
              </w:tc>
              <w:tc>
                <w:tcPr>
                  <w:tcW w:w="174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经度</w:t>
                  </w:r>
                </w:p>
              </w:tc>
              <w:tc>
                <w:tcPr>
                  <w:tcW w:w="165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J1</w:t>
                  </w:r>
                </w:p>
              </w:tc>
              <w:tc>
                <w:tcPr>
                  <w:tcW w:w="163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4497490.985</w:t>
                  </w:r>
                </w:p>
              </w:tc>
              <w:tc>
                <w:tcPr>
                  <w:tcW w:w="164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36610440.473</w:t>
                  </w:r>
                </w:p>
              </w:tc>
              <w:tc>
                <w:tcPr>
                  <w:tcW w:w="174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109°18′1</w:t>
                  </w:r>
                  <w:r>
                    <w:rPr>
                      <w:rFonts w:hint="default" w:ascii="Times New Roman" w:hAnsi="Times New Roman" w:eastAsia="宋体" w:cs="Times New Roman"/>
                      <w:color w:val="auto"/>
                      <w:sz w:val="21"/>
                      <w:szCs w:val="21"/>
                      <w:highlight w:val="none"/>
                      <w:lang w:val="en-US" w:eastAsia="zh-CN"/>
                    </w:rPr>
                    <w:t>7.54000</w:t>
                  </w:r>
                  <w:r>
                    <w:rPr>
                      <w:rFonts w:hint="default" w:ascii="Times New Roman" w:hAnsi="Times New Roman" w:eastAsia="宋体" w:cs="Times New Roman"/>
                      <w:color w:val="auto"/>
                      <w:sz w:val="21"/>
                      <w:szCs w:val="21"/>
                      <w:highlight w:val="none"/>
                    </w:rPr>
                    <w:t>″</w:t>
                  </w:r>
                </w:p>
              </w:tc>
              <w:tc>
                <w:tcPr>
                  <w:tcW w:w="165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40°36′1</w:t>
                  </w:r>
                  <w:r>
                    <w:rPr>
                      <w:rFonts w:hint="default" w:ascii="Times New Roman" w:hAnsi="Times New Roman" w:eastAsia="宋体" w:cs="Times New Roman"/>
                      <w:color w:val="auto"/>
                      <w:sz w:val="21"/>
                      <w:szCs w:val="21"/>
                      <w:highlight w:val="none"/>
                      <w:lang w:val="en-US" w:eastAsia="zh-CN"/>
                    </w:rPr>
                    <w:t>6.83000</w:t>
                  </w: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J2</w:t>
                  </w:r>
                </w:p>
              </w:tc>
              <w:tc>
                <w:tcPr>
                  <w:tcW w:w="163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4497414.155</w:t>
                  </w:r>
                </w:p>
              </w:tc>
              <w:tc>
                <w:tcPr>
                  <w:tcW w:w="164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36610315.330</w:t>
                  </w:r>
                </w:p>
              </w:tc>
              <w:tc>
                <w:tcPr>
                  <w:tcW w:w="174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109°18′1</w:t>
                  </w:r>
                  <w:r>
                    <w:rPr>
                      <w:rFonts w:hint="default" w:ascii="Times New Roman" w:hAnsi="Times New Roman" w:eastAsia="宋体" w:cs="Times New Roman"/>
                      <w:color w:val="auto"/>
                      <w:sz w:val="21"/>
                      <w:szCs w:val="21"/>
                      <w:highlight w:val="none"/>
                      <w:lang w:val="en-US" w:eastAsia="zh-CN"/>
                    </w:rPr>
                    <w:t>2.17000</w:t>
                  </w:r>
                  <w:r>
                    <w:rPr>
                      <w:rFonts w:hint="default" w:ascii="Times New Roman" w:hAnsi="Times New Roman" w:eastAsia="宋体" w:cs="Times New Roman"/>
                      <w:color w:val="auto"/>
                      <w:sz w:val="21"/>
                      <w:szCs w:val="21"/>
                      <w:highlight w:val="none"/>
                    </w:rPr>
                    <w:t>″</w:t>
                  </w:r>
                </w:p>
              </w:tc>
              <w:tc>
                <w:tcPr>
                  <w:tcW w:w="165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40°36′1</w:t>
                  </w:r>
                  <w:r>
                    <w:rPr>
                      <w:rFonts w:hint="default" w:ascii="Times New Roman" w:hAnsi="Times New Roman" w:eastAsia="宋体" w:cs="Times New Roman"/>
                      <w:color w:val="auto"/>
                      <w:sz w:val="21"/>
                      <w:szCs w:val="21"/>
                      <w:highlight w:val="none"/>
                      <w:lang w:val="en-US" w:eastAsia="zh-CN"/>
                    </w:rPr>
                    <w:t>4.40000</w:t>
                  </w: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J3</w:t>
                  </w:r>
                </w:p>
              </w:tc>
              <w:tc>
                <w:tcPr>
                  <w:tcW w:w="163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4497420.996</w:t>
                  </w:r>
                </w:p>
              </w:tc>
              <w:tc>
                <w:tcPr>
                  <w:tcW w:w="164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36610443.863</w:t>
                  </w:r>
                </w:p>
              </w:tc>
              <w:tc>
                <w:tcPr>
                  <w:tcW w:w="174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109°18′1</w:t>
                  </w:r>
                  <w:r>
                    <w:rPr>
                      <w:rFonts w:hint="default" w:ascii="Times New Roman" w:hAnsi="Times New Roman" w:eastAsia="宋体" w:cs="Times New Roman"/>
                      <w:color w:val="auto"/>
                      <w:sz w:val="21"/>
                      <w:szCs w:val="21"/>
                      <w:highlight w:val="none"/>
                      <w:lang w:val="en-US" w:eastAsia="zh-CN"/>
                    </w:rPr>
                    <w:t>7.64000</w:t>
                  </w:r>
                  <w:r>
                    <w:rPr>
                      <w:rFonts w:hint="default" w:ascii="Times New Roman" w:hAnsi="Times New Roman" w:eastAsia="宋体" w:cs="Times New Roman"/>
                      <w:color w:val="auto"/>
                      <w:sz w:val="21"/>
                      <w:szCs w:val="21"/>
                      <w:highlight w:val="none"/>
                    </w:rPr>
                    <w:t>″</w:t>
                  </w:r>
                </w:p>
              </w:tc>
              <w:tc>
                <w:tcPr>
                  <w:tcW w:w="165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40°36′1</w:t>
                  </w:r>
                  <w:r>
                    <w:rPr>
                      <w:rFonts w:hint="default" w:ascii="Times New Roman" w:hAnsi="Times New Roman" w:eastAsia="宋体" w:cs="Times New Roman"/>
                      <w:color w:val="auto"/>
                      <w:sz w:val="21"/>
                      <w:szCs w:val="21"/>
                      <w:highlight w:val="none"/>
                      <w:lang w:val="en-US" w:eastAsia="zh-CN"/>
                    </w:rPr>
                    <w:t>4.56000</w:t>
                  </w: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J4</w:t>
                  </w:r>
                </w:p>
              </w:tc>
              <w:tc>
                <w:tcPr>
                  <w:tcW w:w="163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4497481.045</w:t>
                  </w:r>
                </w:p>
              </w:tc>
              <w:tc>
                <w:tcPr>
                  <w:tcW w:w="164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36610311.047</w:t>
                  </w:r>
                </w:p>
              </w:tc>
              <w:tc>
                <w:tcPr>
                  <w:tcW w:w="174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109°18′1</w:t>
                  </w:r>
                  <w:r>
                    <w:rPr>
                      <w:rFonts w:hint="default" w:ascii="Times New Roman" w:hAnsi="Times New Roman" w:eastAsia="宋体" w:cs="Times New Roman"/>
                      <w:color w:val="auto"/>
                      <w:sz w:val="21"/>
                      <w:szCs w:val="21"/>
                      <w:highlight w:val="none"/>
                      <w:lang w:val="en-US" w:eastAsia="zh-CN"/>
                    </w:rPr>
                    <w:t>2.03000</w:t>
                  </w:r>
                  <w:r>
                    <w:rPr>
                      <w:rFonts w:hint="default" w:ascii="Times New Roman" w:hAnsi="Times New Roman" w:eastAsia="宋体" w:cs="Times New Roman"/>
                      <w:color w:val="auto"/>
                      <w:sz w:val="21"/>
                      <w:szCs w:val="21"/>
                      <w:highlight w:val="none"/>
                    </w:rPr>
                    <w:t>″</w:t>
                  </w:r>
                </w:p>
              </w:tc>
              <w:tc>
                <w:tcPr>
                  <w:tcW w:w="165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40°36′1</w:t>
                  </w:r>
                  <w:r>
                    <w:rPr>
                      <w:rFonts w:hint="default" w:ascii="Times New Roman" w:hAnsi="Times New Roman" w:eastAsia="宋体" w:cs="Times New Roman"/>
                      <w:color w:val="auto"/>
                      <w:sz w:val="21"/>
                      <w:szCs w:val="21"/>
                      <w:highlight w:val="none"/>
                      <w:lang w:val="en-US" w:eastAsia="zh-CN"/>
                    </w:rPr>
                    <w:t>6.57000</w:t>
                  </w:r>
                  <w:r>
                    <w:rPr>
                      <w:rFonts w:hint="default" w:ascii="Times New Roman" w:hAnsi="Times New Roman" w:eastAsia="宋体" w:cs="Times New Roman"/>
                      <w:color w:val="auto"/>
                      <w:sz w:val="21"/>
                      <w:szCs w:val="21"/>
                      <w:highlight w:val="none"/>
                    </w:rPr>
                    <w:t>″</w:t>
                  </w:r>
                </w:p>
              </w:tc>
            </w:tr>
          </w:tbl>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（5）项目投资：总投资3500万元，环保投资为</w:t>
            </w:r>
            <w:r>
              <w:rPr>
                <w:rFonts w:hint="default" w:ascii="Times New Roman" w:hAnsi="Times New Roman" w:eastAsia="宋体" w:cs="Times New Roman"/>
                <w:color w:val="auto"/>
                <w:highlight w:val="none"/>
                <w:lang w:eastAsia="zh-CN"/>
              </w:rPr>
              <w:t>136.52</w:t>
            </w:r>
            <w:r>
              <w:rPr>
                <w:rFonts w:hint="default" w:ascii="Times New Roman" w:hAnsi="Times New Roman" w:eastAsia="宋体" w:cs="Times New Roman"/>
                <w:color w:val="auto"/>
                <w:highlight w:val="none"/>
              </w:rPr>
              <w:t>万元，占总投资的</w:t>
            </w:r>
            <w:r>
              <w:rPr>
                <w:rFonts w:hint="default" w:ascii="Times New Roman" w:hAnsi="Times New Roman" w:eastAsia="宋体" w:cs="Times New Roman"/>
                <w:color w:val="auto"/>
                <w:highlight w:val="none"/>
                <w:lang w:eastAsia="zh-CN"/>
              </w:rPr>
              <w:t>3.9</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（6）厂区四邻关系：本项目东侧为空地，</w:t>
            </w:r>
            <w:r>
              <w:rPr>
                <w:rFonts w:hint="default" w:ascii="Times New Roman" w:hAnsi="Times New Roman" w:eastAsia="宋体" w:cs="Times New Roman"/>
                <w:color w:val="auto"/>
                <w:highlight w:val="none"/>
                <w:lang w:val="en-US" w:eastAsia="zh-CN"/>
              </w:rPr>
              <w:t>南侧为四通鼓风机制造有限公司，西侧为</w:t>
            </w:r>
            <w:r>
              <w:rPr>
                <w:rFonts w:hint="default" w:ascii="Times New Roman" w:hAnsi="Times New Roman" w:eastAsia="宋体" w:cs="Times New Roman"/>
                <w:color w:val="auto"/>
                <w:highlight w:val="none"/>
              </w:rPr>
              <w:t>农垦飞达铸业公司，</w:t>
            </w:r>
            <w:r>
              <w:rPr>
                <w:rFonts w:hint="default" w:ascii="Times New Roman" w:hAnsi="Times New Roman" w:eastAsia="宋体" w:cs="Times New Roman"/>
                <w:color w:val="auto"/>
                <w:highlight w:val="none"/>
                <w:lang w:val="en-US" w:eastAsia="zh-CN"/>
              </w:rPr>
              <w:t>北侧为硕业公司水泥制品厂，</w:t>
            </w:r>
            <w:r>
              <w:rPr>
                <w:rFonts w:hint="default" w:ascii="Times New Roman" w:hAnsi="Times New Roman" w:eastAsia="宋体" w:cs="Times New Roman"/>
                <w:color w:val="auto"/>
                <w:highlight w:val="none"/>
              </w:rPr>
              <w:t>四临关系图见附图2</w:t>
            </w:r>
            <w:r>
              <w:rPr>
                <w:rFonts w:hint="default" w:ascii="Times New Roman" w:hAnsi="Times New Roman" w:eastAsia="宋体" w:cs="Times New Roman"/>
                <w:color w:val="auto"/>
                <w:highlight w:val="none"/>
                <w:lang w:eastAsia="zh-CN"/>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（7）</w:t>
            </w:r>
            <w:r>
              <w:rPr>
                <w:rFonts w:hint="default" w:ascii="Times New Roman" w:hAnsi="Times New Roman" w:eastAsia="宋体" w:cs="Times New Roman"/>
                <w:color w:val="auto"/>
                <w:sz w:val="24"/>
                <w:szCs w:val="24"/>
                <w:highlight w:val="none"/>
                <w:lang w:eastAsia="zh-CN"/>
              </w:rPr>
              <w:t>厂区情况：本项目租赁</w:t>
            </w:r>
            <w:r>
              <w:rPr>
                <w:rFonts w:hint="default" w:ascii="Times New Roman" w:hAnsi="Times New Roman" w:eastAsia="宋体" w:cs="Times New Roman"/>
                <w:color w:val="auto"/>
                <w:highlight w:val="none"/>
              </w:rPr>
              <w:t>农垦飞达铸业公司</w:t>
            </w:r>
            <w:r>
              <w:rPr>
                <w:rFonts w:hint="default" w:ascii="Times New Roman" w:hAnsi="Times New Roman" w:eastAsia="宋体" w:cs="Times New Roman"/>
                <w:color w:val="auto"/>
                <w:sz w:val="24"/>
                <w:szCs w:val="24"/>
                <w:highlight w:val="none"/>
                <w:lang w:eastAsia="zh-CN"/>
              </w:rPr>
              <w:t>厂区进行建设，</w:t>
            </w:r>
            <w:r>
              <w:rPr>
                <w:rFonts w:hint="default" w:ascii="Times New Roman" w:hAnsi="Times New Roman" w:eastAsia="宋体" w:cs="Times New Roman"/>
                <w:color w:val="auto"/>
                <w:sz w:val="24"/>
                <w:szCs w:val="24"/>
                <w:highlight w:val="none"/>
                <w:lang w:val="en-US" w:eastAsia="zh-CN"/>
              </w:rPr>
              <w:t>项目区域</w:t>
            </w:r>
            <w:r>
              <w:rPr>
                <w:rFonts w:hint="default" w:ascii="Times New Roman" w:hAnsi="Times New Roman" w:eastAsia="宋体" w:cs="Times New Roman"/>
                <w:color w:val="auto"/>
                <w:sz w:val="24"/>
                <w:szCs w:val="24"/>
                <w:highlight w:val="none"/>
                <w:lang w:eastAsia="zh-CN"/>
              </w:rPr>
              <w:t>内</w:t>
            </w:r>
            <w:r>
              <w:rPr>
                <w:rFonts w:hint="default" w:ascii="Times New Roman" w:hAnsi="Times New Roman" w:eastAsia="宋体" w:cs="Times New Roman"/>
                <w:color w:val="auto"/>
                <w:sz w:val="24"/>
                <w:highlight w:val="none"/>
                <w:lang w:eastAsia="zh-CN"/>
              </w:rPr>
              <w:t>已建成1栋二层砖混结构办公楼、</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座钢结构生产厂房。该生产厂房于</w:t>
            </w:r>
            <w:r>
              <w:rPr>
                <w:rFonts w:hint="default" w:ascii="Times New Roman" w:hAnsi="Times New Roman" w:eastAsia="宋体" w:cs="Times New Roman"/>
                <w:color w:val="auto"/>
                <w:sz w:val="24"/>
                <w:highlight w:val="none"/>
                <w:lang w:val="en-US" w:eastAsia="zh-CN"/>
              </w:rPr>
              <w:t>2019年实施《内蒙古众盈再生资源有限公司年处理8万吨废旧轮胎项目》，为废旧轮胎处理项目，该项目2022年停产。目前，厂房内生产设备已拆除，生产厂房内均为空置状态，无原有环境问题。</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1.2项目建设规模</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建设规模为年处理含硅材料20000t，年产工业硅7000t。产品方案见下表2-2。</w:t>
            </w: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表2-</w:t>
            </w: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rPr>
              <w:t>产品方案一览表</w:t>
            </w:r>
          </w:p>
          <w:tbl>
            <w:tblPr>
              <w:tblStyle w:val="3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1777"/>
              <w:gridCol w:w="1462"/>
              <w:gridCol w:w="1500"/>
              <w:gridCol w:w="27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84" w:type="dxa"/>
                  <w:tcBorders>
                    <w:top w:val="single" w:color="auto" w:sz="4" w:space="0"/>
                    <w:left w:val="single" w:color="auto" w:sz="0"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序号</w:t>
                  </w:r>
                </w:p>
              </w:tc>
              <w:tc>
                <w:tcPr>
                  <w:tcW w:w="1692"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产品名称</w:t>
                  </w:r>
                </w:p>
              </w:tc>
              <w:tc>
                <w:tcPr>
                  <w:tcW w:w="1392"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单位</w:t>
                  </w:r>
                </w:p>
              </w:tc>
              <w:tc>
                <w:tcPr>
                  <w:tcW w:w="1428"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数量</w:t>
                  </w:r>
                </w:p>
              </w:tc>
              <w:tc>
                <w:tcPr>
                  <w:tcW w:w="2583" w:type="dxa"/>
                  <w:tcBorders>
                    <w:top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主要用途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4" w:type="dxa"/>
                  <w:tcBorders>
                    <w:left w:val="single" w:color="auto" w:sz="4" w:space="0"/>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1692" w:type="dxa"/>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工业硅</w:t>
                  </w:r>
                </w:p>
              </w:tc>
              <w:tc>
                <w:tcPr>
                  <w:tcW w:w="1392" w:type="dxa"/>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吨/年</w:t>
                  </w:r>
                </w:p>
              </w:tc>
              <w:tc>
                <w:tcPr>
                  <w:tcW w:w="1428" w:type="dxa"/>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7000</w:t>
                  </w:r>
                </w:p>
              </w:tc>
              <w:tc>
                <w:tcPr>
                  <w:tcW w:w="2583" w:type="dxa"/>
                  <w:tcBorders>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外销产品</w:t>
                  </w:r>
                </w:p>
              </w:tc>
            </w:tr>
          </w:tbl>
          <w:p>
            <w:pPr>
              <w:keepNext w:val="0"/>
              <w:keepLines w:val="0"/>
              <w:pageBreakBefore w:val="0"/>
              <w:widowControl/>
              <w:kinsoku/>
              <w:wordWrap/>
              <w:overflowPunct/>
              <w:topLinePunct w:val="0"/>
              <w:autoSpaceDE/>
              <w:autoSpaceDN/>
              <w:bidi w:val="0"/>
              <w:adjustRightInd/>
              <w:snapToGrid/>
              <w:ind w:left="0" w:leftChars="0" w:firstLine="480" w:firstLineChars="200"/>
              <w:jc w:val="left"/>
              <w:textAlignment w:val="auto"/>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根据《工业硅》（GB/T2881-2014）制定产品质量标准如下。本项目产品工业硅牌号Si4410、Si4210。</w:t>
            </w:r>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表2-</w:t>
            </w:r>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rPr>
              <w:t>工业硅产品质量</w:t>
            </w:r>
            <w:r>
              <w:rPr>
                <w:rFonts w:hint="default" w:ascii="Times New Roman" w:hAnsi="Times New Roman" w:eastAsia="宋体" w:cs="Times New Roman"/>
                <w:b/>
                <w:bCs/>
                <w:color w:val="auto"/>
                <w:highlight w:val="none"/>
                <w:lang w:val="en-US" w:eastAsia="zh-CN"/>
              </w:rPr>
              <w:t>要求</w:t>
            </w:r>
          </w:p>
          <w:tbl>
            <w:tblPr>
              <w:tblStyle w:val="64"/>
              <w:tblW w:w="827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167"/>
              <w:gridCol w:w="2398"/>
              <w:gridCol w:w="1568"/>
              <w:gridCol w:w="1530"/>
              <w:gridCol w:w="161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167" w:type="dxa"/>
                  <w:vMerge w:val="restart"/>
                  <w:tcBorders>
                    <w:top w:val="single" w:color="auto" w:sz="4" w:space="0"/>
                    <w:left w:val="single" w:color="auto" w:sz="0"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en-US"/>
                    </w:rPr>
                  </w:pPr>
                  <w:r>
                    <w:rPr>
                      <w:rFonts w:hint="default" w:ascii="Times New Roman" w:hAnsi="Times New Roman" w:eastAsia="宋体" w:cs="Times New Roman"/>
                      <w:b/>
                      <w:bCs/>
                      <w:color w:val="auto"/>
                      <w:sz w:val="21"/>
                      <w:szCs w:val="21"/>
                      <w:highlight w:val="none"/>
                      <w:lang w:eastAsia="en-US"/>
                    </w:rPr>
                    <w:t>牌号</w:t>
                  </w:r>
                </w:p>
              </w:tc>
              <w:tc>
                <w:tcPr>
                  <w:tcW w:w="7110"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化学成分（质量分数）/%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167"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p>
              </w:tc>
              <w:tc>
                <w:tcPr>
                  <w:tcW w:w="2398"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名义硅含量</w:t>
                  </w:r>
                  <w:r>
                    <w:rPr>
                      <w:rFonts w:hint="default" w:ascii="Times New Roman" w:hAnsi="Times New Roman" w:eastAsia="宋体" w:cs="Times New Roman"/>
                      <w:b/>
                      <w:bCs/>
                      <w:color w:val="auto"/>
                      <w:position w:val="7"/>
                      <w:sz w:val="21"/>
                      <w:szCs w:val="21"/>
                      <w:highlight w:val="none"/>
                      <w:lang w:eastAsia="zh-CN"/>
                    </w:rPr>
                    <w:t>a</w:t>
                  </w:r>
                  <w:r>
                    <w:rPr>
                      <w:rFonts w:hint="default" w:ascii="Times New Roman" w:hAnsi="Times New Roman" w:eastAsia="宋体" w:cs="Times New Roman"/>
                      <w:b/>
                      <w:bCs/>
                      <w:color w:val="auto"/>
                      <w:sz w:val="21"/>
                      <w:szCs w:val="21"/>
                      <w:highlight w:val="none"/>
                      <w:lang w:eastAsia="zh-CN"/>
                    </w:rPr>
                    <w:t>，不小于</w:t>
                  </w:r>
                </w:p>
              </w:tc>
              <w:tc>
                <w:tcPr>
                  <w:tcW w:w="4712"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主要杂质元素含量，不大于</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167"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p>
              </w:tc>
              <w:tc>
                <w:tcPr>
                  <w:tcW w:w="2398"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p>
              </w:tc>
              <w:tc>
                <w:tcPr>
                  <w:tcW w:w="156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en-US"/>
                    </w:rPr>
                  </w:pPr>
                  <w:r>
                    <w:rPr>
                      <w:rFonts w:hint="default" w:ascii="Times New Roman" w:hAnsi="Times New Roman" w:eastAsia="宋体" w:cs="Times New Roman"/>
                      <w:b/>
                      <w:bCs/>
                      <w:color w:val="auto"/>
                      <w:sz w:val="21"/>
                      <w:szCs w:val="21"/>
                      <w:highlight w:val="none"/>
                      <w:lang w:eastAsia="en-US"/>
                    </w:rPr>
                    <w:t>Fe</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en-US"/>
                    </w:rPr>
                  </w:pPr>
                  <w:r>
                    <w:rPr>
                      <w:rFonts w:hint="default" w:ascii="Times New Roman" w:hAnsi="Times New Roman" w:eastAsia="宋体" w:cs="Times New Roman"/>
                      <w:b/>
                      <w:bCs/>
                      <w:color w:val="auto"/>
                      <w:sz w:val="21"/>
                      <w:szCs w:val="21"/>
                      <w:highlight w:val="none"/>
                      <w:lang w:eastAsia="en-US"/>
                    </w:rPr>
                    <w:t>Al</w:t>
                  </w:r>
                </w:p>
              </w:tc>
              <w:tc>
                <w:tcPr>
                  <w:tcW w:w="161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en-US"/>
                    </w:rPr>
                  </w:pPr>
                  <w:r>
                    <w:rPr>
                      <w:rFonts w:hint="default" w:ascii="Times New Roman" w:hAnsi="Times New Roman" w:eastAsia="宋体" w:cs="Times New Roman"/>
                      <w:b/>
                      <w:bCs/>
                      <w:color w:val="auto"/>
                      <w:sz w:val="21"/>
                      <w:szCs w:val="21"/>
                      <w:highlight w:val="none"/>
                      <w:lang w:eastAsia="en-US"/>
                    </w:rPr>
                    <w:t>Ca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16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en-US" w:bidi="ar-SA"/>
                    </w:rPr>
                  </w:pPr>
                  <w:r>
                    <w:rPr>
                      <w:rFonts w:hint="default" w:ascii="Times New Roman" w:hAnsi="Times New Roman" w:eastAsia="宋体" w:cs="Times New Roman"/>
                      <w:color w:val="auto"/>
                      <w:sz w:val="21"/>
                      <w:szCs w:val="21"/>
                      <w:highlight w:val="none"/>
                      <w:lang w:eastAsia="en-US"/>
                    </w:rPr>
                    <w:t>Si4110</w:t>
                  </w:r>
                </w:p>
              </w:tc>
              <w:tc>
                <w:tcPr>
                  <w:tcW w:w="239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eastAsia="en-US"/>
                    </w:rPr>
                    <w:t>99.</w:t>
                  </w:r>
                  <w:r>
                    <w:rPr>
                      <w:rFonts w:hint="default" w:ascii="Times New Roman" w:hAnsi="Times New Roman" w:eastAsia="宋体" w:cs="Times New Roman"/>
                      <w:color w:val="auto"/>
                      <w:sz w:val="21"/>
                      <w:szCs w:val="21"/>
                      <w:highlight w:val="none"/>
                      <w:lang w:val="en-US" w:eastAsia="zh-CN"/>
                    </w:rPr>
                    <w:t>10</w:t>
                  </w:r>
                </w:p>
              </w:tc>
              <w:tc>
                <w:tcPr>
                  <w:tcW w:w="156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en-US" w:bidi="ar-SA"/>
                    </w:rPr>
                  </w:pPr>
                  <w:r>
                    <w:rPr>
                      <w:rFonts w:hint="default" w:ascii="Times New Roman" w:hAnsi="Times New Roman" w:eastAsia="宋体" w:cs="Times New Roman"/>
                      <w:color w:val="auto"/>
                      <w:sz w:val="21"/>
                      <w:szCs w:val="21"/>
                      <w:highlight w:val="none"/>
                      <w:lang w:eastAsia="en-US"/>
                    </w:rPr>
                    <w:t>0.40</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0.40</w:t>
                  </w:r>
                </w:p>
              </w:tc>
              <w:tc>
                <w:tcPr>
                  <w:tcW w:w="161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en-US" w:bidi="ar-SA"/>
                    </w:rPr>
                  </w:pPr>
                  <w:r>
                    <w:rPr>
                      <w:rFonts w:hint="default" w:ascii="Times New Roman" w:hAnsi="Times New Roman" w:eastAsia="宋体" w:cs="Times New Roman"/>
                      <w:color w:val="auto"/>
                      <w:sz w:val="21"/>
                      <w:szCs w:val="21"/>
                      <w:highlight w:val="none"/>
                      <w:lang w:eastAsia="en-US"/>
                    </w:rPr>
                    <w:t>0.10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16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en-US" w:bidi="ar-SA"/>
                    </w:rPr>
                  </w:pPr>
                  <w:r>
                    <w:rPr>
                      <w:rFonts w:hint="default" w:ascii="Times New Roman" w:hAnsi="Times New Roman" w:eastAsia="宋体" w:cs="Times New Roman"/>
                      <w:color w:val="auto"/>
                      <w:sz w:val="21"/>
                      <w:szCs w:val="21"/>
                      <w:highlight w:val="none"/>
                      <w:lang w:eastAsia="en-US"/>
                    </w:rPr>
                    <w:t>Si4210</w:t>
                  </w:r>
                </w:p>
              </w:tc>
              <w:tc>
                <w:tcPr>
                  <w:tcW w:w="239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eastAsia="en-US"/>
                    </w:rPr>
                    <w:t>99.</w:t>
                  </w:r>
                  <w:r>
                    <w:rPr>
                      <w:rFonts w:hint="default" w:ascii="Times New Roman" w:hAnsi="Times New Roman" w:eastAsia="宋体" w:cs="Times New Roman"/>
                      <w:color w:val="auto"/>
                      <w:sz w:val="21"/>
                      <w:szCs w:val="21"/>
                      <w:highlight w:val="none"/>
                      <w:lang w:val="en-US" w:eastAsia="zh-CN"/>
                    </w:rPr>
                    <w:t>69</w:t>
                  </w:r>
                </w:p>
              </w:tc>
              <w:tc>
                <w:tcPr>
                  <w:tcW w:w="156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en-US" w:bidi="ar-SA"/>
                    </w:rPr>
                  </w:pPr>
                  <w:r>
                    <w:rPr>
                      <w:rFonts w:hint="default" w:ascii="Times New Roman" w:hAnsi="Times New Roman" w:eastAsia="宋体" w:cs="Times New Roman"/>
                      <w:color w:val="auto"/>
                      <w:sz w:val="21"/>
                      <w:szCs w:val="21"/>
                      <w:highlight w:val="none"/>
                      <w:lang w:eastAsia="en-US"/>
                    </w:rPr>
                    <w:t>0.40</w:t>
                  </w:r>
                </w:p>
              </w:tc>
              <w:tc>
                <w:tcPr>
                  <w:tcW w:w="153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en-US" w:bidi="ar-SA"/>
                    </w:rPr>
                  </w:pPr>
                  <w:r>
                    <w:rPr>
                      <w:rFonts w:hint="default" w:ascii="Times New Roman" w:hAnsi="Times New Roman" w:eastAsia="宋体" w:cs="Times New Roman"/>
                      <w:color w:val="auto"/>
                      <w:sz w:val="21"/>
                      <w:szCs w:val="21"/>
                      <w:highlight w:val="none"/>
                      <w:lang w:eastAsia="en-US"/>
                    </w:rPr>
                    <w:t>0.20</w:t>
                  </w:r>
                </w:p>
              </w:tc>
              <w:tc>
                <w:tcPr>
                  <w:tcW w:w="161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en-US" w:bidi="ar-SA"/>
                    </w:rPr>
                  </w:pPr>
                  <w:r>
                    <w:rPr>
                      <w:rFonts w:hint="default" w:ascii="Times New Roman" w:hAnsi="Times New Roman" w:eastAsia="宋体" w:cs="Times New Roman"/>
                      <w:color w:val="auto"/>
                      <w:sz w:val="21"/>
                      <w:szCs w:val="21"/>
                      <w:highlight w:val="none"/>
                      <w:lang w:eastAsia="en-US"/>
                    </w:rPr>
                    <w:t>0.10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277"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position w:val="7"/>
                      <w:sz w:val="21"/>
                      <w:szCs w:val="21"/>
                      <w:highlight w:val="none"/>
                      <w:lang w:eastAsia="zh-CN"/>
                    </w:rPr>
                    <w:t>a</w:t>
                  </w:r>
                  <w:r>
                    <w:rPr>
                      <w:rFonts w:hint="default" w:ascii="Times New Roman" w:hAnsi="Times New Roman" w:eastAsia="宋体" w:cs="Times New Roman"/>
                      <w:color w:val="auto"/>
                      <w:sz w:val="21"/>
                      <w:szCs w:val="21"/>
                      <w:highlight w:val="none"/>
                      <w:lang w:eastAsia="zh-CN"/>
                    </w:rPr>
                    <w:t>名义硅含量应不低于100%减去铁、铝、钙元素含量总和的值。</w:t>
                  </w:r>
                </w:p>
              </w:tc>
            </w:tr>
          </w:tbl>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1.3项目建设内容</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项目总占地面积6000m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，总建筑面积为3711.82m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利用现有生产厂房进行建设，新建1条</w:t>
            </w:r>
            <w:r>
              <w:rPr>
                <w:rFonts w:hint="default" w:ascii="Times New Roman" w:hAnsi="Times New Roman" w:eastAsia="宋体" w:cs="Times New Roman"/>
                <w:color w:val="auto"/>
                <w:highlight w:val="none"/>
              </w:rPr>
              <w:t>含硅材料处理生产线</w:t>
            </w:r>
            <w:r>
              <w:rPr>
                <w:rFonts w:hint="default" w:ascii="Times New Roman" w:hAnsi="Times New Roman" w:eastAsia="宋体" w:cs="Times New Roman"/>
                <w:color w:val="auto"/>
                <w:highlight w:val="none"/>
                <w:lang w:eastAsia="zh-CN"/>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color w:val="auto"/>
                <w:highlight w:val="none"/>
              </w:rPr>
              <w:t>项目组成见下表2-</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表2-</w:t>
            </w:r>
            <w:r>
              <w:rPr>
                <w:rFonts w:hint="default"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rPr>
              <w:t>项目组成一览表</w:t>
            </w:r>
          </w:p>
          <w:tbl>
            <w:tblPr>
              <w:tblStyle w:val="29"/>
              <w:tblW w:w="82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07"/>
              <w:gridCol w:w="1007"/>
              <w:gridCol w:w="5229"/>
              <w:gridCol w:w="10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建设内容</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主体</w:t>
                  </w: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生产车间</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位于项目区北侧，占地面积3000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，单层钢结构，</w:t>
                  </w:r>
                  <w:r>
                    <w:rPr>
                      <w:rFonts w:hint="default" w:ascii="Times New Roman" w:hAnsi="Times New Roman" w:eastAsia="宋体" w:cs="Times New Roman"/>
                      <w:color w:val="auto"/>
                      <w:sz w:val="21"/>
                      <w:szCs w:val="21"/>
                      <w:highlight w:val="none"/>
                      <w:lang w:val="en-US" w:eastAsia="zh-CN"/>
                    </w:rPr>
                    <w:t>层高10m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主要建设1条含硅材料处理生产线。</w:t>
                  </w:r>
                  <w:r>
                    <w:rPr>
                      <w:rFonts w:hint="default" w:ascii="Times New Roman" w:hAnsi="Times New Roman" w:eastAsia="宋体" w:cs="Times New Roman"/>
                      <w:color w:val="auto"/>
                      <w:sz w:val="21"/>
                      <w:szCs w:val="21"/>
                      <w:highlight w:val="none"/>
                      <w:lang w:val="en-US" w:eastAsia="zh-CN"/>
                    </w:rPr>
                    <w:t>设置</w:t>
                  </w:r>
                  <w:r>
                    <w:rPr>
                      <w:rFonts w:hint="default" w:ascii="Times New Roman" w:hAnsi="Times New Roman" w:eastAsia="宋体" w:cs="Times New Roman"/>
                      <w:color w:val="auto"/>
                      <w:sz w:val="21"/>
                      <w:szCs w:val="21"/>
                      <w:highlight w:val="none"/>
                    </w:rPr>
                    <w:t>1台滚筒烘干机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3台3吨</w:t>
                  </w:r>
                  <w:r>
                    <w:rPr>
                      <w:rFonts w:hint="default" w:ascii="Times New Roman" w:hAnsi="Times New Roman" w:eastAsia="宋体" w:cs="Times New Roman"/>
                      <w:color w:val="auto"/>
                      <w:sz w:val="21"/>
                      <w:szCs w:val="21"/>
                      <w:highlight w:val="none"/>
                      <w:lang w:eastAsia="zh-CN"/>
                    </w:rPr>
                    <w:t>感应炉</w:t>
                  </w:r>
                  <w:r>
                    <w:rPr>
                      <w:rFonts w:hint="default" w:ascii="Times New Roman" w:hAnsi="Times New Roman" w:eastAsia="宋体" w:cs="Times New Roman"/>
                      <w:color w:val="auto"/>
                      <w:sz w:val="21"/>
                      <w:szCs w:val="21"/>
                      <w:highlight w:val="none"/>
                    </w:rPr>
                    <w:t>（2用1备）</w:t>
                  </w:r>
                  <w:r>
                    <w:rPr>
                      <w:rFonts w:hint="default" w:ascii="Times New Roman" w:hAnsi="Times New Roman" w:eastAsia="宋体" w:cs="Times New Roman"/>
                      <w:color w:val="auto"/>
                      <w:sz w:val="21"/>
                      <w:szCs w:val="21"/>
                      <w:highlight w:val="none"/>
                      <w:lang w:val="en-US" w:eastAsia="zh-CN"/>
                    </w:rPr>
                    <w:t>等，年处理20000t含硅材料。</w:t>
                  </w:r>
                </w:p>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地面采用混凝土硬化。</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厂房现有，生产设备新增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辅助</w:t>
                  </w: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办公楼</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位于项目区东侧，占地面积683.66</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层</w:t>
                  </w:r>
                  <w:r>
                    <w:rPr>
                      <w:rFonts w:hint="default" w:ascii="Times New Roman" w:hAnsi="Times New Roman" w:eastAsia="宋体" w:cs="Times New Roman"/>
                      <w:color w:val="auto"/>
                      <w:sz w:val="21"/>
                      <w:szCs w:val="21"/>
                      <w:highlight w:val="none"/>
                      <w:lang w:val="en-US" w:eastAsia="zh-CN"/>
                    </w:rPr>
                    <w:t>砖混</w:t>
                  </w:r>
                  <w:r>
                    <w:rPr>
                      <w:rFonts w:hint="default" w:ascii="Times New Roman" w:hAnsi="Times New Roman" w:eastAsia="宋体" w:cs="Times New Roman"/>
                      <w:color w:val="auto"/>
                      <w:sz w:val="21"/>
                      <w:szCs w:val="21"/>
                      <w:highlight w:val="none"/>
                    </w:rPr>
                    <w:t>结构，</w:t>
                  </w:r>
                  <w:r>
                    <w:rPr>
                      <w:rFonts w:hint="default" w:ascii="Times New Roman" w:hAnsi="Times New Roman" w:eastAsia="宋体" w:cs="Times New Roman"/>
                      <w:color w:val="auto"/>
                      <w:sz w:val="21"/>
                      <w:szCs w:val="21"/>
                      <w:highlight w:val="none"/>
                      <w:lang w:val="en-US" w:eastAsia="zh-CN"/>
                    </w:rPr>
                    <w:t>层高4m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用于工作人员办公。</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依托</w:t>
                  </w:r>
                  <w:r>
                    <w:rPr>
                      <w:rFonts w:hint="default" w:ascii="Times New Roman" w:hAnsi="Times New Roman" w:eastAsia="宋体" w:cs="Times New Roman"/>
                      <w:color w:val="auto"/>
                      <w:sz w:val="21"/>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储运</w:t>
                  </w: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原料库</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位于生产车间内，</w:t>
                  </w:r>
                  <w:r>
                    <w:rPr>
                      <w:rFonts w:hint="default" w:ascii="Times New Roman" w:hAnsi="Times New Roman" w:eastAsia="宋体" w:cs="Times New Roman"/>
                      <w:color w:val="auto"/>
                      <w:sz w:val="21"/>
                      <w:szCs w:val="21"/>
                      <w:highlight w:val="none"/>
                      <w:lang w:val="en-US" w:eastAsia="zh-CN"/>
                    </w:rPr>
                    <w:t>占地面积300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，全封闭</w:t>
                  </w:r>
                  <w:r>
                    <w:rPr>
                      <w:rFonts w:hint="default" w:ascii="Times New Roman" w:hAnsi="Times New Roman" w:eastAsia="宋体" w:cs="Times New Roman"/>
                      <w:color w:val="auto"/>
                      <w:sz w:val="21"/>
                      <w:szCs w:val="21"/>
                      <w:highlight w:val="none"/>
                      <w:lang w:val="en-US" w:eastAsia="zh-CN"/>
                    </w:rPr>
                    <w:t>钢结构</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层高8m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用于暂存原辅材料</w:t>
                  </w:r>
                  <w:r>
                    <w:rPr>
                      <w:rFonts w:hint="default" w:ascii="Times New Roman" w:hAnsi="Times New Roman" w:eastAsia="宋体" w:cs="Times New Roman"/>
                      <w:color w:val="auto"/>
                      <w:sz w:val="21"/>
                      <w:szCs w:val="21"/>
                      <w:highlight w:val="none"/>
                      <w:lang w:eastAsia="zh-CN"/>
                    </w:rPr>
                    <w:t>。</w:t>
                  </w:r>
                </w:p>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地面采用混凝土硬化</w:t>
                  </w:r>
                  <w:r>
                    <w:rPr>
                      <w:rFonts w:hint="default" w:ascii="Times New Roman" w:hAnsi="Times New Roman" w:eastAsia="宋体" w:cs="Times New Roman"/>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依托</w:t>
                  </w:r>
                  <w:r>
                    <w:rPr>
                      <w:rFonts w:hint="default" w:ascii="Times New Roman" w:hAnsi="Times New Roman" w:eastAsia="宋体" w:cs="Times New Roman"/>
                      <w:color w:val="auto"/>
                      <w:sz w:val="21"/>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成品库</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位于生产车间内，</w:t>
                  </w:r>
                  <w:r>
                    <w:rPr>
                      <w:rFonts w:hint="default" w:ascii="Times New Roman" w:hAnsi="Times New Roman" w:eastAsia="宋体" w:cs="Times New Roman"/>
                      <w:color w:val="auto"/>
                      <w:sz w:val="21"/>
                      <w:szCs w:val="21"/>
                      <w:highlight w:val="none"/>
                      <w:lang w:val="en-US" w:eastAsia="zh-CN"/>
                    </w:rPr>
                    <w:t>占地面积300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，全封闭</w:t>
                  </w:r>
                  <w:r>
                    <w:rPr>
                      <w:rFonts w:hint="default" w:ascii="Times New Roman" w:hAnsi="Times New Roman" w:eastAsia="宋体" w:cs="Times New Roman"/>
                      <w:color w:val="auto"/>
                      <w:sz w:val="21"/>
                      <w:szCs w:val="21"/>
                      <w:highlight w:val="none"/>
                      <w:lang w:val="en-US" w:eastAsia="zh-CN"/>
                    </w:rPr>
                    <w:t>钢结构</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层高8m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用于暂存产品。</w:t>
                  </w:r>
                </w:p>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地面采用混凝土硬化</w:t>
                  </w:r>
                  <w:r>
                    <w:rPr>
                      <w:rFonts w:hint="default" w:ascii="Times New Roman" w:hAnsi="Times New Roman" w:eastAsia="宋体" w:cs="Times New Roman"/>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依托</w:t>
                  </w:r>
                  <w:r>
                    <w:rPr>
                      <w:rFonts w:hint="default" w:ascii="Times New Roman" w:hAnsi="Times New Roman" w:eastAsia="宋体" w:cs="Times New Roman"/>
                      <w:color w:val="auto"/>
                      <w:sz w:val="21"/>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一般固废暂存间</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位于生产车间内，</w:t>
                  </w:r>
                  <w:r>
                    <w:rPr>
                      <w:rFonts w:hint="default" w:ascii="Times New Roman" w:hAnsi="Times New Roman" w:eastAsia="宋体" w:cs="Times New Roman"/>
                      <w:color w:val="auto"/>
                      <w:sz w:val="21"/>
                      <w:szCs w:val="21"/>
                      <w:highlight w:val="none"/>
                      <w:lang w:val="en-US" w:eastAsia="zh-CN"/>
                    </w:rPr>
                    <w:t>占地面积50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，全封闭</w:t>
                  </w:r>
                  <w:r>
                    <w:rPr>
                      <w:rFonts w:hint="default" w:ascii="Times New Roman" w:hAnsi="Times New Roman" w:eastAsia="宋体" w:cs="Times New Roman"/>
                      <w:color w:val="auto"/>
                      <w:sz w:val="21"/>
                      <w:szCs w:val="21"/>
                      <w:highlight w:val="none"/>
                      <w:lang w:val="en-US" w:eastAsia="zh-CN"/>
                    </w:rPr>
                    <w:t>钢结构</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层高8m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用于废包装物等</w:t>
                  </w:r>
                  <w:r>
                    <w:rPr>
                      <w:rFonts w:hint="default" w:ascii="Times New Roman" w:hAnsi="Times New Roman" w:eastAsia="宋体" w:cs="Times New Roman"/>
                      <w:color w:val="auto"/>
                      <w:sz w:val="21"/>
                      <w:szCs w:val="21"/>
                      <w:highlight w:val="none"/>
                      <w:lang w:val="en-US" w:eastAsia="zh-CN"/>
                    </w:rPr>
                    <w:t>一般工业固废</w:t>
                  </w:r>
                  <w:r>
                    <w:rPr>
                      <w:rFonts w:hint="default" w:ascii="Times New Roman" w:hAnsi="Times New Roman" w:eastAsia="宋体" w:cs="Times New Roman"/>
                      <w:color w:val="auto"/>
                      <w:sz w:val="21"/>
                      <w:szCs w:val="21"/>
                      <w:highlight w:val="none"/>
                    </w:rPr>
                    <w:t>的存放。</w:t>
                  </w:r>
                </w:p>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地面采用混凝土硬化</w:t>
                  </w:r>
                  <w:r>
                    <w:rPr>
                      <w:rFonts w:hint="default" w:ascii="Times New Roman" w:hAnsi="Times New Roman" w:eastAsia="宋体" w:cs="Times New Roman"/>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危废暂存间</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位于生产车间内，占地面积为10m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，全封闭</w:t>
                  </w:r>
                  <w:r>
                    <w:rPr>
                      <w:rFonts w:hint="default" w:ascii="Times New Roman" w:hAnsi="Times New Roman" w:eastAsia="宋体" w:cs="Times New Roman"/>
                      <w:color w:val="auto"/>
                      <w:sz w:val="21"/>
                      <w:szCs w:val="21"/>
                      <w:highlight w:val="none"/>
                      <w:lang w:val="en-US" w:eastAsia="zh-CN"/>
                    </w:rPr>
                    <w:t>钢结构</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层高4m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用于存放</w:t>
                  </w:r>
                  <w:r>
                    <w:rPr>
                      <w:rFonts w:hint="default" w:ascii="Times New Roman" w:hAnsi="Times New Roman" w:eastAsia="宋体" w:cs="Times New Roman"/>
                      <w:color w:val="auto"/>
                      <w:sz w:val="21"/>
                      <w:szCs w:val="21"/>
                      <w:highlight w:val="none"/>
                      <w:lang w:eastAsia="zh-CN"/>
                    </w:rPr>
                    <w:t>废润滑油，</w:t>
                  </w:r>
                  <w:r>
                    <w:rPr>
                      <w:rFonts w:hint="default" w:ascii="Times New Roman" w:hAnsi="Times New Roman" w:eastAsia="宋体" w:cs="Times New Roman"/>
                      <w:b w:val="0"/>
                      <w:bCs w:val="0"/>
                      <w:color w:val="auto"/>
                      <w:sz w:val="21"/>
                      <w:szCs w:val="21"/>
                      <w:highlight w:val="none"/>
                      <w:vertAlign w:val="baseline"/>
                      <w:lang w:val="en-US" w:eastAsia="zh-CN"/>
                    </w:rPr>
                    <w:t>采取密闭容器盛装</w:t>
                  </w:r>
                  <w:r>
                    <w:rPr>
                      <w:rFonts w:hint="default" w:ascii="Times New Roman" w:hAnsi="Times New Roman" w:eastAsia="宋体" w:cs="Times New Roman"/>
                      <w:color w:val="auto"/>
                      <w:sz w:val="21"/>
                      <w:szCs w:val="21"/>
                      <w:highlight w:val="none"/>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危废暂存间四周设置1条0.05×0.05m的导流槽，导流槽与集油池相连，若发生事故时，废润滑油通过导流槽进入0.2m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vertAlign w:val="baseline"/>
                      <w:lang w:val="en-US" w:eastAsia="zh-CN"/>
                    </w:rPr>
                    <w:t>的集油池。</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危废暂存间房西南侧设置1座容积为0.2m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vertAlign w:val="baseline"/>
                      <w:lang w:val="en-US" w:eastAsia="zh-CN"/>
                    </w:rPr>
                    <w:t>的集油池（集油池规格为0.5×0.5×0.8m），若发生事故时，废润滑油通过导流槽进入集油池。</w:t>
                  </w:r>
                </w:p>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vertAlign w:val="baseline"/>
                      <w:lang w:val="en-US" w:eastAsia="zh-CN"/>
                    </w:rPr>
                    <w:t>地面整体做防渗处理，包括地面、导流槽与集油池。防渗层整体基础采用C15混凝土垫层150mm厚+环氧砂浆20mm厚一层（内掺108胶）+高密度聚乙烯HDPE膜（2mm厚）一道+200mm厚C30抗渗混凝土+地面上整体涂刷环氧树脂地坪漆2遍，渗透系数≤1×10</w:t>
                  </w:r>
                  <w:r>
                    <w:rPr>
                      <w:rFonts w:hint="default" w:ascii="Times New Roman" w:hAnsi="Times New Roman" w:eastAsia="宋体" w:cs="Times New Roman"/>
                      <w:b w:val="0"/>
                      <w:bCs w:val="0"/>
                      <w:color w:val="auto"/>
                      <w:sz w:val="21"/>
                      <w:szCs w:val="21"/>
                      <w:highlight w:val="none"/>
                      <w:vertAlign w:val="superscript"/>
                      <w:lang w:val="en-US" w:eastAsia="zh-CN"/>
                    </w:rPr>
                    <w:t>-10</w:t>
                  </w:r>
                  <w:r>
                    <w:rPr>
                      <w:rFonts w:hint="default" w:ascii="Times New Roman" w:hAnsi="Times New Roman" w:eastAsia="宋体" w:cs="Times New Roman"/>
                      <w:b w:val="0"/>
                      <w:bCs w:val="0"/>
                      <w:color w:val="auto"/>
                      <w:sz w:val="21"/>
                      <w:szCs w:val="21"/>
                      <w:highlight w:val="none"/>
                      <w:vertAlign w:val="baseline"/>
                      <w:lang w:val="en-US" w:eastAsia="zh-CN"/>
                    </w:rPr>
                    <w:t>cm/s。</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w:t>
                  </w: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供水</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由园区供水管网供给。</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依托</w:t>
                  </w:r>
                  <w:r>
                    <w:rPr>
                      <w:rFonts w:hint="default" w:ascii="Times New Roman" w:hAnsi="Times New Roman" w:eastAsia="宋体" w:cs="Times New Roman"/>
                      <w:color w:val="auto"/>
                      <w:sz w:val="21"/>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排水</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生活污水排入厂区现有化粪池处理后，经园区污水管网进入乌拉特前旗工业园区污水处理厂。</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依托</w:t>
                  </w:r>
                  <w:r>
                    <w:rPr>
                      <w:rFonts w:hint="default" w:ascii="Times New Roman" w:hAnsi="Times New Roman" w:eastAsia="宋体" w:cs="Times New Roman"/>
                      <w:color w:val="auto"/>
                      <w:sz w:val="21"/>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水膜除尘器循环废水</w:t>
                  </w:r>
                  <w:r>
                    <w:rPr>
                      <w:rFonts w:hint="default" w:ascii="Times New Roman" w:hAnsi="Times New Roman" w:eastAsia="宋体" w:cs="Times New Roman"/>
                      <w:color w:val="auto"/>
                      <w:sz w:val="21"/>
                      <w:szCs w:val="21"/>
                      <w:highlight w:val="none"/>
                    </w:rPr>
                    <w:t>循环使用，不外排</w:t>
                  </w:r>
                  <w:r>
                    <w:rPr>
                      <w:rFonts w:hint="default" w:ascii="Times New Roman" w:hAnsi="Times New Roman" w:eastAsia="宋体" w:cs="Times New Roman"/>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感应炉循环冷却系统循环水排入冷却水箱（</w:t>
                  </w:r>
                  <w:r>
                    <w:rPr>
                      <w:rFonts w:hint="default" w:ascii="Times New Roman" w:hAnsi="Times New Roman" w:eastAsia="宋体" w:cs="Times New Roman"/>
                      <w:color w:val="auto"/>
                      <w:sz w:val="21"/>
                      <w:szCs w:val="21"/>
                      <w:highlight w:val="none"/>
                      <w:lang w:val="en-US" w:eastAsia="zh-CN"/>
                    </w:rPr>
                    <w:t>总容积为16m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eastAsia="zh-CN"/>
                    </w:rPr>
                    <w:t>）内，采用风扇制冷后循环使用，不外排；</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供电</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由园区供电管网供给。</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供热</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本项目冬季供暖由1台</w:t>
                  </w:r>
                  <w:r>
                    <w:rPr>
                      <w:rFonts w:hint="default" w:ascii="Times New Roman" w:hAnsi="Times New Roman" w:eastAsia="宋体" w:cs="Times New Roman"/>
                      <w:color w:val="auto"/>
                      <w:sz w:val="21"/>
                      <w:szCs w:val="21"/>
                      <w:highlight w:val="none"/>
                      <w:lang w:val="en-US" w:eastAsia="zh-CN"/>
                    </w:rPr>
                    <w:t>电空气能供暖设备</w:t>
                  </w:r>
                  <w:r>
                    <w:rPr>
                      <w:rFonts w:hint="default" w:ascii="Times New Roman" w:hAnsi="Times New Roman" w:eastAsia="宋体" w:cs="Times New Roman"/>
                      <w:color w:val="auto"/>
                      <w:sz w:val="21"/>
                      <w:szCs w:val="21"/>
                      <w:highlight w:val="none"/>
                    </w:rPr>
                    <w:t>提供。</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w:t>
                  </w: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1134"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废水</w:t>
                  </w:r>
                  <w:r>
                    <w:rPr>
                      <w:rFonts w:hint="default" w:ascii="Times New Roman" w:hAnsi="Times New Roman" w:eastAsia="宋体" w:cs="Times New Roman"/>
                      <w:color w:val="auto"/>
                      <w:sz w:val="21"/>
                      <w:szCs w:val="21"/>
                      <w:highlight w:val="none"/>
                      <w:lang w:val="en-US" w:eastAsia="zh-CN"/>
                    </w:rPr>
                    <w:t>治理</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生活污水排入厂区现有化粪池处理后，经园区污水管网进入乌拉特前旗工业园区污水处理厂。</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依托</w:t>
                  </w:r>
                  <w:r>
                    <w:rPr>
                      <w:rFonts w:hint="default" w:ascii="Times New Roman" w:hAnsi="Times New Roman" w:eastAsia="宋体" w:cs="Times New Roman"/>
                      <w:color w:val="auto"/>
                      <w:sz w:val="21"/>
                      <w:szCs w:val="21"/>
                      <w:highlight w:val="none"/>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水膜除尘器循环废水</w:t>
                  </w:r>
                  <w:r>
                    <w:rPr>
                      <w:rFonts w:hint="default" w:ascii="Times New Roman" w:hAnsi="Times New Roman" w:eastAsia="宋体" w:cs="Times New Roman"/>
                      <w:color w:val="auto"/>
                      <w:sz w:val="21"/>
                      <w:szCs w:val="21"/>
                      <w:highlight w:val="none"/>
                    </w:rPr>
                    <w:t>循环使用，不外排</w:t>
                  </w:r>
                  <w:r>
                    <w:rPr>
                      <w:rFonts w:hint="default" w:ascii="Times New Roman" w:hAnsi="Times New Roman" w:eastAsia="宋体" w:cs="Times New Roman"/>
                      <w:color w:val="auto"/>
                      <w:sz w:val="21"/>
                      <w:szCs w:val="21"/>
                      <w:highlight w:val="none"/>
                      <w:lang w:eastAsia="zh-CN"/>
                    </w:rPr>
                    <w:t>；</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感应炉循环冷却系统循环水排入冷却水箱内，采用风扇制冷后循环使用，不外排；</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r>
                    <w:rPr>
                      <w:rFonts w:hint="default" w:ascii="Times New Roman" w:hAnsi="Times New Roman" w:eastAsia="宋体" w:cs="Times New Roman"/>
                      <w:color w:val="auto"/>
                      <w:sz w:val="21"/>
                      <w:szCs w:val="21"/>
                      <w:highlight w:val="none"/>
                      <w:lang w:val="en-US" w:eastAsia="zh-CN"/>
                    </w:rPr>
                    <w:t>治理</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eastAsia="zh-CN"/>
                    </w:rPr>
                    <w:t>天然气燃烧废气</w:t>
                  </w:r>
                  <w:r>
                    <w:rPr>
                      <w:rFonts w:hint="default" w:ascii="Times New Roman" w:hAnsi="Times New Roman" w:eastAsia="宋体" w:cs="Times New Roman"/>
                      <w:color w:val="auto"/>
                      <w:sz w:val="21"/>
                      <w:szCs w:val="21"/>
                      <w:highlight w:val="none"/>
                      <w:lang w:val="en-US" w:eastAsia="zh-CN"/>
                    </w:rPr>
                    <w:t>和烘干废气合并后，经1台水膜除尘器处理后，由1根15m排气筒（DA001）排放。</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熔化废气和浇铸废气经集气罩收集后，经1台布袋除尘器处理后，由1根15m排气筒（DA002）排放。</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无组织废气经全封闭厂房</w:t>
                  </w:r>
                  <w:r>
                    <w:rPr>
                      <w:rFonts w:hint="default" w:ascii="Times New Roman" w:hAnsi="Times New Roman" w:eastAsia="宋体" w:cs="Times New Roman"/>
                      <w:color w:val="auto"/>
                      <w:sz w:val="21"/>
                      <w:szCs w:val="21"/>
                      <w:highlight w:val="none"/>
                      <w:lang w:val="en-US" w:eastAsia="zh-CN"/>
                    </w:rPr>
                    <w:t>沉降后，</w:t>
                  </w:r>
                  <w:r>
                    <w:rPr>
                      <w:rFonts w:hint="default" w:ascii="Times New Roman" w:hAnsi="Times New Roman" w:eastAsia="宋体" w:cs="Times New Roman"/>
                      <w:color w:val="auto"/>
                      <w:sz w:val="21"/>
                      <w:szCs w:val="21"/>
                      <w:highlight w:val="none"/>
                    </w:rPr>
                    <w:t>以无组织形式排放。</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r>
                    <w:rPr>
                      <w:rFonts w:hint="default" w:ascii="Times New Roman" w:hAnsi="Times New Roman" w:eastAsia="宋体" w:cs="Times New Roman"/>
                      <w:color w:val="auto"/>
                      <w:sz w:val="21"/>
                      <w:szCs w:val="21"/>
                      <w:highlight w:val="none"/>
                      <w:lang w:val="en-US" w:eastAsia="zh-CN"/>
                    </w:rPr>
                    <w:t>治理</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采用低噪声设备、厂房封闭、设备隔声</w:t>
                  </w:r>
                  <w:r>
                    <w:rPr>
                      <w:rFonts w:hint="default" w:ascii="Times New Roman" w:hAnsi="Times New Roman" w:eastAsia="宋体" w:cs="Times New Roman"/>
                      <w:color w:val="auto"/>
                      <w:sz w:val="21"/>
                      <w:szCs w:val="21"/>
                      <w:highlight w:val="none"/>
                      <w:lang w:eastAsia="zh-CN"/>
                    </w:rPr>
                    <w:t>减振</w:t>
                  </w:r>
                  <w:r>
                    <w:rPr>
                      <w:rFonts w:hint="default" w:ascii="Times New Roman" w:hAnsi="Times New Roman" w:eastAsia="宋体" w:cs="Times New Roman"/>
                      <w:color w:val="auto"/>
                      <w:sz w:val="21"/>
                      <w:szCs w:val="21"/>
                      <w:highlight w:val="none"/>
                    </w:rPr>
                    <w:t>。</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r>
                    <w:rPr>
                      <w:rFonts w:hint="default" w:ascii="Times New Roman" w:hAnsi="Times New Roman" w:eastAsia="宋体" w:cs="Times New Roman"/>
                      <w:color w:val="auto"/>
                      <w:sz w:val="21"/>
                      <w:szCs w:val="21"/>
                      <w:highlight w:val="none"/>
                      <w:lang w:val="en-US" w:eastAsia="zh-CN"/>
                    </w:rPr>
                    <w:t>治理</w:t>
                  </w: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原辅材料</w:t>
                  </w:r>
                  <w:r>
                    <w:rPr>
                      <w:rFonts w:hint="default" w:ascii="Times New Roman" w:hAnsi="Times New Roman" w:eastAsia="宋体" w:cs="Times New Roman"/>
                      <w:color w:val="auto"/>
                      <w:sz w:val="21"/>
                      <w:szCs w:val="21"/>
                      <w:highlight w:val="none"/>
                    </w:rPr>
                    <w:t>产生废包装袋</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属于一般工业固废，暂存于</w:t>
                  </w:r>
                  <w:r>
                    <w:rPr>
                      <w:rFonts w:hint="default" w:ascii="Times New Roman" w:hAnsi="Times New Roman" w:eastAsia="宋体" w:cs="Times New Roman"/>
                      <w:color w:val="auto"/>
                      <w:sz w:val="21"/>
                      <w:szCs w:val="21"/>
                      <w:highlight w:val="none"/>
                      <w:lang w:eastAsia="zh-CN"/>
                    </w:rPr>
                    <w:t>一般固废暂存间</w:t>
                  </w:r>
                  <w:r>
                    <w:rPr>
                      <w:rFonts w:hint="default" w:ascii="Times New Roman" w:hAnsi="Times New Roman" w:eastAsia="宋体" w:cs="Times New Roman"/>
                      <w:color w:val="auto"/>
                      <w:sz w:val="21"/>
                      <w:szCs w:val="21"/>
                      <w:highlight w:val="none"/>
                      <w:lang w:val="en-US" w:eastAsia="zh-CN"/>
                    </w:rPr>
                    <w:t>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定期</w:t>
                  </w:r>
                  <w:r>
                    <w:rPr>
                      <w:rFonts w:hint="default" w:ascii="Times New Roman" w:hAnsi="Times New Roman" w:eastAsia="宋体" w:cs="Times New Roman"/>
                      <w:color w:val="auto"/>
                      <w:sz w:val="21"/>
                      <w:szCs w:val="21"/>
                      <w:highlight w:val="none"/>
                    </w:rPr>
                    <w:t>外售综合利用。</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水膜除尘</w:t>
                  </w:r>
                  <w:r>
                    <w:rPr>
                      <w:rFonts w:hint="default" w:ascii="Times New Roman" w:hAnsi="Times New Roman" w:eastAsia="宋体" w:cs="Times New Roman"/>
                      <w:color w:val="auto"/>
                      <w:sz w:val="21"/>
                      <w:szCs w:val="21"/>
                      <w:highlight w:val="none"/>
                      <w:lang w:val="en-US" w:eastAsia="zh-CN"/>
                    </w:rPr>
                    <w:t>器收集的底泥</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属于一般工业固废，暂存于</w:t>
                  </w:r>
                  <w:r>
                    <w:rPr>
                      <w:rFonts w:hint="default" w:ascii="Times New Roman" w:hAnsi="Times New Roman" w:eastAsia="宋体" w:cs="Times New Roman"/>
                      <w:color w:val="auto"/>
                      <w:sz w:val="21"/>
                      <w:szCs w:val="21"/>
                      <w:highlight w:val="none"/>
                      <w:lang w:eastAsia="zh-CN"/>
                    </w:rPr>
                    <w:t>一般固废暂存间</w:t>
                  </w:r>
                  <w:r>
                    <w:rPr>
                      <w:rFonts w:hint="default" w:ascii="Times New Roman" w:hAnsi="Times New Roman" w:eastAsia="宋体" w:cs="Times New Roman"/>
                      <w:color w:val="auto"/>
                      <w:sz w:val="21"/>
                      <w:szCs w:val="21"/>
                      <w:highlight w:val="none"/>
                      <w:lang w:val="en-US" w:eastAsia="zh-CN"/>
                    </w:rPr>
                    <w:t>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作为原料进行二次烘干</w:t>
                  </w:r>
                  <w:r>
                    <w:rPr>
                      <w:rFonts w:hint="default" w:ascii="Times New Roman" w:hAnsi="Times New Roman" w:eastAsia="宋体" w:cs="Times New Roman"/>
                      <w:color w:val="auto"/>
                      <w:sz w:val="21"/>
                      <w:szCs w:val="21"/>
                      <w:highlight w:val="none"/>
                    </w:rPr>
                    <w:t>。</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感应炉产生的废耐火材料，属于一般工业固废，暂存于</w:t>
                  </w:r>
                  <w:r>
                    <w:rPr>
                      <w:rFonts w:hint="default" w:ascii="Times New Roman" w:hAnsi="Times New Roman" w:eastAsia="宋体" w:cs="Times New Roman"/>
                      <w:color w:val="auto"/>
                      <w:sz w:val="21"/>
                      <w:szCs w:val="21"/>
                      <w:highlight w:val="none"/>
                      <w:lang w:eastAsia="zh-CN"/>
                    </w:rPr>
                    <w:t>一般固废暂存间</w:t>
                  </w:r>
                  <w:r>
                    <w:rPr>
                      <w:rFonts w:hint="default" w:ascii="Times New Roman" w:hAnsi="Times New Roman" w:eastAsia="宋体" w:cs="Times New Roman"/>
                      <w:color w:val="auto"/>
                      <w:sz w:val="21"/>
                      <w:szCs w:val="21"/>
                      <w:highlight w:val="none"/>
                      <w:lang w:val="en-US" w:eastAsia="zh-CN"/>
                    </w:rPr>
                    <w:t>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定期由厂家回收综合利用。</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感应炉产生的</w:t>
                  </w:r>
                  <w:r>
                    <w:rPr>
                      <w:rFonts w:hint="default" w:ascii="Times New Roman" w:hAnsi="Times New Roman" w:eastAsia="宋体" w:cs="Times New Roman"/>
                      <w:color w:val="auto"/>
                      <w:sz w:val="21"/>
                      <w:szCs w:val="21"/>
                      <w:highlight w:val="none"/>
                    </w:rPr>
                    <w:t>废电极</w:t>
                  </w:r>
                  <w:r>
                    <w:rPr>
                      <w:rFonts w:hint="default" w:ascii="Times New Roman" w:hAnsi="Times New Roman" w:eastAsia="宋体" w:cs="Times New Roman"/>
                      <w:color w:val="auto"/>
                      <w:sz w:val="21"/>
                      <w:szCs w:val="21"/>
                      <w:highlight w:val="none"/>
                      <w:lang w:val="en-US" w:eastAsia="zh-CN"/>
                    </w:rPr>
                    <w:t>，属于一般工业固废，暂存于</w:t>
                  </w:r>
                  <w:r>
                    <w:rPr>
                      <w:rFonts w:hint="default" w:ascii="Times New Roman" w:hAnsi="Times New Roman" w:eastAsia="宋体" w:cs="Times New Roman"/>
                      <w:color w:val="auto"/>
                      <w:sz w:val="21"/>
                      <w:szCs w:val="21"/>
                      <w:highlight w:val="none"/>
                      <w:lang w:eastAsia="zh-CN"/>
                    </w:rPr>
                    <w:t>一般固废暂存间</w:t>
                  </w:r>
                  <w:r>
                    <w:rPr>
                      <w:rFonts w:hint="default" w:ascii="Times New Roman" w:hAnsi="Times New Roman" w:eastAsia="宋体" w:cs="Times New Roman"/>
                      <w:color w:val="auto"/>
                      <w:sz w:val="21"/>
                      <w:szCs w:val="21"/>
                      <w:highlight w:val="none"/>
                      <w:lang w:val="en-US" w:eastAsia="zh-CN"/>
                    </w:rPr>
                    <w:t>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定期由厂家回收综合利用。</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感应炉产生的硅渣，属于一般工业固废，暂存于</w:t>
                  </w:r>
                  <w:r>
                    <w:rPr>
                      <w:rFonts w:hint="default" w:ascii="Times New Roman" w:hAnsi="Times New Roman" w:eastAsia="宋体" w:cs="Times New Roman"/>
                      <w:color w:val="auto"/>
                      <w:sz w:val="21"/>
                      <w:szCs w:val="21"/>
                      <w:highlight w:val="none"/>
                      <w:lang w:eastAsia="zh-CN"/>
                    </w:rPr>
                    <w:t>一般固废暂存间</w:t>
                  </w:r>
                  <w:r>
                    <w:rPr>
                      <w:rFonts w:hint="default" w:ascii="Times New Roman" w:hAnsi="Times New Roman" w:eastAsia="宋体" w:cs="Times New Roman"/>
                      <w:color w:val="auto"/>
                      <w:sz w:val="21"/>
                      <w:szCs w:val="21"/>
                      <w:highlight w:val="none"/>
                      <w:lang w:val="en-US" w:eastAsia="zh-CN"/>
                    </w:rPr>
                    <w:t>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定期外售综合利用。</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布袋除尘器收集的除尘灰</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属于一般工业固废，暂存于</w:t>
                  </w:r>
                  <w:r>
                    <w:rPr>
                      <w:rFonts w:hint="default" w:ascii="Times New Roman" w:hAnsi="Times New Roman" w:eastAsia="宋体" w:cs="Times New Roman"/>
                      <w:color w:val="auto"/>
                      <w:sz w:val="21"/>
                      <w:szCs w:val="21"/>
                      <w:highlight w:val="none"/>
                      <w:lang w:eastAsia="zh-CN"/>
                    </w:rPr>
                    <w:t>一般固废暂存间</w:t>
                  </w:r>
                  <w:r>
                    <w:rPr>
                      <w:rFonts w:hint="default" w:ascii="Times New Roman" w:hAnsi="Times New Roman" w:eastAsia="宋体" w:cs="Times New Roman"/>
                      <w:color w:val="auto"/>
                      <w:sz w:val="21"/>
                      <w:szCs w:val="21"/>
                      <w:highlight w:val="none"/>
                      <w:lang w:val="en-US" w:eastAsia="zh-CN"/>
                    </w:rPr>
                    <w:t>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定期外售综合利用</w:t>
                  </w:r>
                  <w:r>
                    <w:rPr>
                      <w:rFonts w:hint="default" w:ascii="Times New Roman" w:hAnsi="Times New Roman" w:eastAsia="宋体" w:cs="Times New Roman"/>
                      <w:color w:val="auto"/>
                      <w:sz w:val="21"/>
                      <w:szCs w:val="21"/>
                      <w:highlight w:val="none"/>
                    </w:rPr>
                    <w:t>。</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设备维护过程产生的废润滑油，收集至PE桶中，属于危险废物，暂存于危废暂存间内，定期委托有资质单位处置。</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5812"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工作人员产生的生活垃圾，经垃圾桶收集后，定期委托环卫部门清运。</w:t>
                  </w:r>
                </w:p>
              </w:tc>
              <w:tc>
                <w:tcPr>
                  <w:tcW w:w="113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bl>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2、主要生产设备</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表2-</w:t>
            </w:r>
            <w:r>
              <w:rPr>
                <w:rFonts w:hint="default" w:ascii="Times New Roman" w:hAnsi="Times New Roman" w:eastAsia="宋体" w:cs="Times New Roman"/>
                <w:b/>
                <w:bCs/>
                <w:color w:val="auto"/>
                <w:highlight w:val="none"/>
                <w:lang w:val="en-US" w:eastAsia="zh-CN"/>
              </w:rPr>
              <w:t>5</w:t>
            </w:r>
            <w:r>
              <w:rPr>
                <w:rFonts w:hint="default" w:ascii="Times New Roman" w:hAnsi="Times New Roman" w:eastAsia="宋体" w:cs="Times New Roman"/>
                <w:b/>
                <w:bCs/>
                <w:color w:val="auto"/>
                <w:highlight w:val="none"/>
              </w:rPr>
              <w:t>主要设备一览表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0"/>
              <w:gridCol w:w="2557"/>
              <w:gridCol w:w="1859"/>
              <w:gridCol w:w="905"/>
              <w:gridCol w:w="17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top w:val="single" w:color="auto" w:sz="4" w:space="0"/>
                    <w:left w:val="single" w:color="auto" w:sz="0"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542" w:type="pct"/>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设备名称</w:t>
                  </w:r>
                </w:p>
              </w:tc>
              <w:tc>
                <w:tcPr>
                  <w:tcW w:w="1121" w:type="pct"/>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技术参数</w:t>
                  </w:r>
                </w:p>
              </w:tc>
              <w:tc>
                <w:tcPr>
                  <w:tcW w:w="546" w:type="pct"/>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单位</w:t>
                  </w:r>
                </w:p>
              </w:tc>
              <w:tc>
                <w:tcPr>
                  <w:tcW w:w="1030" w:type="pct"/>
                  <w:tcBorders>
                    <w:top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w:t>
                  </w:r>
                </w:p>
              </w:tc>
              <w:tc>
                <w:tcPr>
                  <w:tcW w:w="4239" w:type="pct"/>
                  <w:gridSpan w:val="4"/>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烘干工序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542"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上料输送机</w:t>
                  </w:r>
                </w:p>
              </w:tc>
              <w:tc>
                <w:tcPr>
                  <w:tcW w:w="112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p>
              </w:tc>
              <w:tc>
                <w:tcPr>
                  <w:tcW w:w="54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台</w:t>
                  </w:r>
                </w:p>
              </w:tc>
              <w:tc>
                <w:tcPr>
                  <w:tcW w:w="1030" w:type="pc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1542"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滚筒烘干机</w:t>
                  </w:r>
                </w:p>
              </w:tc>
              <w:tc>
                <w:tcPr>
                  <w:tcW w:w="112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1.5φ×10m</w:t>
                  </w:r>
                </w:p>
              </w:tc>
              <w:tc>
                <w:tcPr>
                  <w:tcW w:w="54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台</w:t>
                  </w:r>
                </w:p>
              </w:tc>
              <w:tc>
                <w:tcPr>
                  <w:tcW w:w="1030" w:type="pc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3</w:t>
                  </w:r>
                </w:p>
              </w:tc>
              <w:tc>
                <w:tcPr>
                  <w:tcW w:w="1542"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天然气燃烧器</w:t>
                  </w:r>
                </w:p>
              </w:tc>
              <w:tc>
                <w:tcPr>
                  <w:tcW w:w="112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4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台</w:t>
                  </w:r>
                </w:p>
              </w:tc>
              <w:tc>
                <w:tcPr>
                  <w:tcW w:w="1030" w:type="pc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4</w:t>
                  </w:r>
                </w:p>
              </w:tc>
              <w:tc>
                <w:tcPr>
                  <w:tcW w:w="1542"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bidi="ar-SA"/>
                    </w:rPr>
                    <w:t>下料输送机</w:t>
                  </w:r>
                </w:p>
              </w:tc>
              <w:tc>
                <w:tcPr>
                  <w:tcW w:w="112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4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台</w:t>
                  </w:r>
                </w:p>
              </w:tc>
              <w:tc>
                <w:tcPr>
                  <w:tcW w:w="1030" w:type="pc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542"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水膜除尘器</w:t>
                  </w:r>
                </w:p>
              </w:tc>
              <w:tc>
                <w:tcPr>
                  <w:tcW w:w="112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54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台</w:t>
                  </w:r>
                </w:p>
              </w:tc>
              <w:tc>
                <w:tcPr>
                  <w:tcW w:w="1030" w:type="pc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二</w:t>
                  </w:r>
                </w:p>
              </w:tc>
              <w:tc>
                <w:tcPr>
                  <w:tcW w:w="4239" w:type="pct"/>
                  <w:gridSpan w:val="4"/>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熔化工序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6</w:t>
                  </w:r>
                </w:p>
              </w:tc>
              <w:tc>
                <w:tcPr>
                  <w:tcW w:w="1542"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感应炉</w:t>
                  </w:r>
                </w:p>
              </w:tc>
              <w:tc>
                <w:tcPr>
                  <w:tcW w:w="112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KGCX-2500KW</w:t>
                  </w:r>
                </w:p>
              </w:tc>
              <w:tc>
                <w:tcPr>
                  <w:tcW w:w="54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台</w:t>
                  </w:r>
                </w:p>
              </w:tc>
              <w:tc>
                <w:tcPr>
                  <w:tcW w:w="1030" w:type="pc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3（2用1备）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7</w:t>
                  </w:r>
                </w:p>
              </w:tc>
              <w:tc>
                <w:tcPr>
                  <w:tcW w:w="1542"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逆流冷却器</w:t>
                  </w:r>
                </w:p>
              </w:tc>
              <w:tc>
                <w:tcPr>
                  <w:tcW w:w="112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p>
              </w:tc>
              <w:tc>
                <w:tcPr>
                  <w:tcW w:w="54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台</w:t>
                  </w:r>
                </w:p>
              </w:tc>
              <w:tc>
                <w:tcPr>
                  <w:tcW w:w="1030" w:type="pc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8</w:t>
                  </w:r>
                </w:p>
              </w:tc>
              <w:tc>
                <w:tcPr>
                  <w:tcW w:w="1542"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布袋除尘器</w:t>
                  </w:r>
                </w:p>
              </w:tc>
              <w:tc>
                <w:tcPr>
                  <w:tcW w:w="112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p>
              </w:tc>
              <w:tc>
                <w:tcPr>
                  <w:tcW w:w="54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台</w:t>
                  </w:r>
                </w:p>
              </w:tc>
              <w:tc>
                <w:tcPr>
                  <w:tcW w:w="1030" w:type="pc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三</w:t>
                  </w:r>
                </w:p>
              </w:tc>
              <w:tc>
                <w:tcPr>
                  <w:tcW w:w="4239" w:type="pct"/>
                  <w:gridSpan w:val="4"/>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浇铸分离工序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9</w:t>
                  </w:r>
                </w:p>
              </w:tc>
              <w:tc>
                <w:tcPr>
                  <w:tcW w:w="1542"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铸模</w:t>
                  </w:r>
                </w:p>
              </w:tc>
              <w:tc>
                <w:tcPr>
                  <w:tcW w:w="112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p>
              </w:tc>
              <w:tc>
                <w:tcPr>
                  <w:tcW w:w="54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台</w:t>
                  </w:r>
                </w:p>
              </w:tc>
              <w:tc>
                <w:tcPr>
                  <w:tcW w:w="1030" w:type="pc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10</w:t>
                  </w:r>
                </w:p>
              </w:tc>
              <w:tc>
                <w:tcPr>
                  <w:tcW w:w="1542"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硅水包</w:t>
                  </w:r>
                </w:p>
              </w:tc>
              <w:tc>
                <w:tcPr>
                  <w:tcW w:w="112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3t</w:t>
                  </w:r>
                </w:p>
              </w:tc>
              <w:tc>
                <w:tcPr>
                  <w:tcW w:w="54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个</w:t>
                  </w:r>
                </w:p>
              </w:tc>
              <w:tc>
                <w:tcPr>
                  <w:tcW w:w="1030" w:type="pc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11</w:t>
                  </w:r>
                </w:p>
              </w:tc>
              <w:tc>
                <w:tcPr>
                  <w:tcW w:w="1542"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冶金桥式起重机</w:t>
                  </w:r>
                </w:p>
              </w:tc>
              <w:tc>
                <w:tcPr>
                  <w:tcW w:w="112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10/5t</w:t>
                  </w:r>
                </w:p>
              </w:tc>
              <w:tc>
                <w:tcPr>
                  <w:tcW w:w="54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台</w:t>
                  </w:r>
                </w:p>
              </w:tc>
              <w:tc>
                <w:tcPr>
                  <w:tcW w:w="1030" w:type="pc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tcBorders>
                    <w:left w:val="single" w:color="auto" w:sz="4" w:space="0"/>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12</w:t>
                  </w:r>
                </w:p>
              </w:tc>
              <w:tc>
                <w:tcPr>
                  <w:tcW w:w="1542" w:type="pct"/>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空压机</w:t>
                  </w:r>
                </w:p>
              </w:tc>
              <w:tc>
                <w:tcPr>
                  <w:tcW w:w="1121" w:type="pct"/>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546" w:type="pct"/>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台</w:t>
                  </w:r>
                </w:p>
              </w:tc>
              <w:tc>
                <w:tcPr>
                  <w:tcW w:w="1030" w:type="pct"/>
                  <w:tcBorders>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r>
          </w:tbl>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highlight w:val="none"/>
              </w:rPr>
              <w:t>3、原辅材料消耗</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bCs/>
                <w:color w:val="auto"/>
                <w:highlight w:val="none"/>
              </w:rPr>
              <w:t>本项目的主要生产原料为废硅泥、造渣剂等，项目所收购的硅泥为一般固废，主要来源于呼市、包头等周边多晶硅、单晶硅企业，项目主要原辅材料消耗情况见表2-</w:t>
            </w:r>
            <w:r>
              <w:rPr>
                <w:rFonts w:hint="default" w:ascii="Times New Roman" w:hAnsi="Times New Roman" w:eastAsia="宋体" w:cs="Times New Roman"/>
                <w:bCs/>
                <w:color w:val="auto"/>
                <w:highlight w:val="none"/>
                <w:lang w:val="en-US" w:eastAsia="zh-CN"/>
              </w:rPr>
              <w:t>6</w:t>
            </w:r>
            <w:r>
              <w:rPr>
                <w:rFonts w:hint="default" w:ascii="Times New Roman" w:hAnsi="Times New Roman" w:eastAsia="宋体" w:cs="Times New Roman"/>
                <w:bCs/>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表2-</w:t>
            </w:r>
            <w:r>
              <w:rPr>
                <w:rFonts w:hint="default" w:ascii="Times New Roman" w:hAnsi="Times New Roman" w:eastAsia="宋体" w:cs="Times New Roman"/>
                <w:b/>
                <w:bCs/>
                <w:color w:val="auto"/>
                <w:highlight w:val="none"/>
                <w:lang w:val="en-US" w:eastAsia="zh-CN"/>
              </w:rPr>
              <w:t>6</w:t>
            </w:r>
            <w:r>
              <w:rPr>
                <w:rFonts w:hint="default" w:ascii="Times New Roman" w:hAnsi="Times New Roman" w:eastAsia="宋体" w:cs="Times New Roman"/>
                <w:b/>
                <w:bCs/>
                <w:color w:val="auto"/>
                <w:highlight w:val="none"/>
              </w:rPr>
              <w:t>原辅材料消耗一览表</w:t>
            </w:r>
          </w:p>
          <w:tbl>
            <w:tblPr>
              <w:tblStyle w:val="29"/>
              <w:tblW w:w="5000" w:type="pct"/>
              <w:tblInd w:w="-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47"/>
              <w:gridCol w:w="1216"/>
              <w:gridCol w:w="689"/>
              <w:gridCol w:w="830"/>
              <w:gridCol w:w="3078"/>
              <w:gridCol w:w="651"/>
              <w:gridCol w:w="10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45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734"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41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单位</w:t>
                  </w:r>
                </w:p>
              </w:tc>
              <w:tc>
                <w:tcPr>
                  <w:tcW w:w="50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消耗量</w:t>
                  </w:r>
                </w:p>
              </w:tc>
              <w:tc>
                <w:tcPr>
                  <w:tcW w:w="1858"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主要成分</w:t>
                  </w:r>
                </w:p>
              </w:tc>
              <w:tc>
                <w:tcPr>
                  <w:tcW w:w="393"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包装</w:t>
                  </w:r>
                </w:p>
              </w:tc>
              <w:tc>
                <w:tcPr>
                  <w:tcW w:w="645"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734"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废硅泥（主要为切片硅泥）</w:t>
                  </w:r>
                </w:p>
              </w:tc>
              <w:tc>
                <w:tcPr>
                  <w:tcW w:w="41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50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20000</w:t>
                  </w:r>
                </w:p>
              </w:tc>
              <w:tc>
                <w:tcPr>
                  <w:tcW w:w="1858"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粒径0.2～2.0mm，干基Si含量70%-80%，含水率约</w:t>
                  </w:r>
                  <w:r>
                    <w:rPr>
                      <w:rFonts w:hint="default" w:ascii="Times New Roman" w:hAnsi="Times New Roman" w:eastAsia="宋体" w:cs="Times New Roman"/>
                      <w:color w:val="auto"/>
                      <w:sz w:val="21"/>
                      <w:szCs w:val="21"/>
                      <w:highlight w:val="none"/>
                      <w:lang w:eastAsia="zh-CN"/>
                    </w:rPr>
                    <w:t>45%-55%</w:t>
                  </w:r>
                </w:p>
              </w:tc>
              <w:tc>
                <w:tcPr>
                  <w:tcW w:w="393"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袋装</w:t>
                  </w:r>
                </w:p>
              </w:tc>
              <w:tc>
                <w:tcPr>
                  <w:tcW w:w="645"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晶态硅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734"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造渣剂</w:t>
                  </w:r>
                </w:p>
              </w:tc>
              <w:tc>
                <w:tcPr>
                  <w:tcW w:w="41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t/a</w:t>
                  </w:r>
                </w:p>
              </w:tc>
              <w:tc>
                <w:tcPr>
                  <w:tcW w:w="50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28</w:t>
                  </w:r>
                </w:p>
              </w:tc>
              <w:tc>
                <w:tcPr>
                  <w:tcW w:w="1858"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CaO</w:t>
                  </w:r>
                </w:p>
              </w:tc>
              <w:tc>
                <w:tcPr>
                  <w:tcW w:w="393"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袋装</w:t>
                  </w:r>
                </w:p>
              </w:tc>
              <w:tc>
                <w:tcPr>
                  <w:tcW w:w="645"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w:t>
                  </w:r>
                </w:p>
              </w:tc>
              <w:tc>
                <w:tcPr>
                  <w:tcW w:w="734"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石墨电极</w:t>
                  </w:r>
                </w:p>
              </w:tc>
              <w:tc>
                <w:tcPr>
                  <w:tcW w:w="41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t/a</w:t>
                  </w:r>
                </w:p>
              </w:tc>
              <w:tc>
                <w:tcPr>
                  <w:tcW w:w="50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1858"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石墨</w:t>
                  </w:r>
                </w:p>
              </w:tc>
              <w:tc>
                <w:tcPr>
                  <w:tcW w:w="393"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箱装</w:t>
                  </w:r>
                </w:p>
              </w:tc>
              <w:tc>
                <w:tcPr>
                  <w:tcW w:w="645"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5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4</w:t>
                  </w:r>
                </w:p>
              </w:tc>
              <w:tc>
                <w:tcPr>
                  <w:tcW w:w="734"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耐火材料</w:t>
                  </w:r>
                </w:p>
              </w:tc>
              <w:tc>
                <w:tcPr>
                  <w:tcW w:w="416"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t/a</w:t>
                  </w:r>
                </w:p>
              </w:tc>
              <w:tc>
                <w:tcPr>
                  <w:tcW w:w="501"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415</w:t>
                  </w:r>
                </w:p>
              </w:tc>
              <w:tc>
                <w:tcPr>
                  <w:tcW w:w="1858"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耐火性≥1580℃</w:t>
                  </w:r>
                </w:p>
              </w:tc>
              <w:tc>
                <w:tcPr>
                  <w:tcW w:w="393"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袋装</w:t>
                  </w:r>
                </w:p>
              </w:tc>
              <w:tc>
                <w:tcPr>
                  <w:tcW w:w="645" w:type="pc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r>
          </w:tbl>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原辅材料介绍：</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硅泥：</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硅属于类金属元素，可以溶于碱金属氢氧化物溶液中，产生（偏）硅酸盐和氢气。加热下能同单质的卤素、氮、碳等非金属作用，也能同某些金属如Mg、Ca、Fe、Pt等作用生成硅化物。不溶于一般无机酸中，可溶于碱溶液中，并有氢气放出，形成相应的碱金属硅酸盐溶液，于</w:t>
            </w:r>
            <w:r>
              <w:rPr>
                <w:rFonts w:hint="default" w:ascii="Times New Roman" w:hAnsi="Times New Roman" w:eastAsia="宋体" w:cs="Times New Roman"/>
                <w:color w:val="auto"/>
                <w:highlight w:val="none"/>
                <w:lang w:eastAsia="zh-CN"/>
              </w:rPr>
              <w:t>炽热</w:t>
            </w:r>
            <w:r>
              <w:rPr>
                <w:rFonts w:hint="default" w:ascii="Times New Roman" w:hAnsi="Times New Roman" w:eastAsia="宋体" w:cs="Times New Roman"/>
                <w:color w:val="auto"/>
                <w:highlight w:val="none"/>
              </w:rPr>
              <w:t>温度下，与水蒸气能发生作用。</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本项目所收购的硅泥主要来源于呼市、包头等周边多晶硅、单晶硅企业</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对照《国家危险废物名录（2021年版）》，硅泥不属于危险废物</w:t>
            </w:r>
            <w:r>
              <w:rPr>
                <w:rFonts w:hint="default" w:ascii="Times New Roman" w:hAnsi="Times New Roman" w:eastAsia="宋体" w:cs="Times New Roman"/>
                <w:color w:val="auto"/>
                <w:highlight w:val="none"/>
                <w:lang w:eastAsia="zh-CN"/>
              </w:rPr>
              <w:t>，为一般固废</w:t>
            </w:r>
            <w:r>
              <w:rPr>
                <w:rFonts w:hint="default" w:ascii="Times New Roman" w:hAnsi="Times New Roman" w:eastAsia="宋体" w:cs="Times New Roman"/>
                <w:color w:val="auto"/>
                <w:highlight w:val="none"/>
              </w:rPr>
              <w:t>。项目硅泥由供货单位采用吨袋包装后运输入厂。</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硅泥组分见下表：</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表2-</w:t>
            </w:r>
            <w:r>
              <w:rPr>
                <w:rFonts w:hint="default" w:ascii="Times New Roman" w:hAnsi="Times New Roman" w:eastAsia="宋体" w:cs="Times New Roman"/>
                <w:b/>
                <w:bCs/>
                <w:color w:val="auto"/>
                <w:highlight w:val="none"/>
                <w:lang w:val="en-US" w:eastAsia="zh-CN"/>
              </w:rPr>
              <w:t>7</w:t>
            </w:r>
            <w:r>
              <w:rPr>
                <w:rFonts w:hint="default" w:ascii="Times New Roman" w:hAnsi="Times New Roman" w:eastAsia="宋体" w:cs="Times New Roman"/>
                <w:b/>
                <w:bCs/>
                <w:color w:val="auto"/>
                <w:highlight w:val="none"/>
              </w:rPr>
              <w:t>硅泥主要成分一览表（干基）</w:t>
            </w:r>
          </w:p>
          <w:tbl>
            <w:tblPr>
              <w:tblStyle w:val="64"/>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658"/>
              <w:gridCol w:w="1298"/>
              <w:gridCol w:w="2512"/>
              <w:gridCol w:w="658"/>
              <w:gridCol w:w="1298"/>
              <w:gridCol w:w="186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40" w:hRule="atLeast"/>
                <w:jc w:val="center"/>
              </w:trPr>
              <w:tc>
                <w:tcPr>
                  <w:tcW w:w="397" w:type="pct"/>
                  <w:tcBorders>
                    <w:top w:val="single" w:color="auto" w:sz="4" w:space="0"/>
                    <w:left w:val="single" w:color="auto" w:sz="0"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en-US"/>
                    </w:rPr>
                  </w:pPr>
                  <w:r>
                    <w:rPr>
                      <w:rFonts w:hint="default" w:ascii="Times New Roman" w:hAnsi="Times New Roman" w:eastAsia="宋体" w:cs="Times New Roman"/>
                      <w:b/>
                      <w:bCs/>
                      <w:color w:val="auto"/>
                      <w:sz w:val="21"/>
                      <w:szCs w:val="21"/>
                      <w:highlight w:val="none"/>
                      <w:lang w:eastAsia="en-US"/>
                    </w:rPr>
                    <w:t>序号</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en-US"/>
                    </w:rPr>
                  </w:pPr>
                  <w:r>
                    <w:rPr>
                      <w:rFonts w:hint="default" w:ascii="Times New Roman" w:hAnsi="Times New Roman" w:eastAsia="宋体" w:cs="Times New Roman"/>
                      <w:b/>
                      <w:bCs/>
                      <w:color w:val="auto"/>
                      <w:sz w:val="21"/>
                      <w:szCs w:val="21"/>
                      <w:highlight w:val="none"/>
                      <w:lang w:eastAsia="en-US"/>
                    </w:rPr>
                    <w:t>成分名称</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en-US"/>
                    </w:rPr>
                  </w:pPr>
                  <w:r>
                    <w:rPr>
                      <w:rFonts w:hint="default" w:ascii="Times New Roman" w:hAnsi="Times New Roman" w:eastAsia="宋体" w:cs="Times New Roman"/>
                      <w:b/>
                      <w:bCs/>
                      <w:color w:val="auto"/>
                      <w:sz w:val="21"/>
                      <w:szCs w:val="21"/>
                      <w:highlight w:val="none"/>
                      <w:lang w:eastAsia="en-US"/>
                    </w:rPr>
                    <w:t>检测结果（ppm）</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en-US"/>
                    </w:rPr>
                  </w:pPr>
                  <w:r>
                    <w:rPr>
                      <w:rFonts w:hint="default" w:ascii="Times New Roman" w:hAnsi="Times New Roman" w:eastAsia="宋体" w:cs="Times New Roman"/>
                      <w:b/>
                      <w:bCs/>
                      <w:color w:val="auto"/>
                      <w:sz w:val="21"/>
                      <w:szCs w:val="21"/>
                      <w:highlight w:val="none"/>
                      <w:lang w:eastAsia="en-US"/>
                    </w:rPr>
                    <w:t>序号</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en-US"/>
                    </w:rPr>
                  </w:pPr>
                  <w:r>
                    <w:rPr>
                      <w:rFonts w:hint="default" w:ascii="Times New Roman" w:hAnsi="Times New Roman" w:eastAsia="宋体" w:cs="Times New Roman"/>
                      <w:b/>
                      <w:bCs/>
                      <w:color w:val="auto"/>
                      <w:sz w:val="21"/>
                      <w:szCs w:val="21"/>
                      <w:highlight w:val="none"/>
                      <w:lang w:eastAsia="en-US"/>
                    </w:rPr>
                    <w:t>成分名称</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en-US"/>
                    </w:rPr>
                  </w:pPr>
                  <w:r>
                    <w:rPr>
                      <w:rFonts w:hint="default" w:ascii="Times New Roman" w:hAnsi="Times New Roman" w:eastAsia="宋体" w:cs="Times New Roman"/>
                      <w:b/>
                      <w:bCs/>
                      <w:color w:val="auto"/>
                      <w:sz w:val="21"/>
                      <w:szCs w:val="21"/>
                      <w:highlight w:val="none"/>
                      <w:lang w:eastAsia="en-US"/>
                    </w:rPr>
                    <w:t>检测结果（ppm）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1</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Si</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972574</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29</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Be</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2</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Al</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1683</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30</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Sn</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3</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Fe</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122</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31</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Ta</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4</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Ca</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2318</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32</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Ge</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36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5</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Na</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1135</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33</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W</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6.1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6</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Mg</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964</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34</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Mo</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7</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K</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542</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35</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Tl</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8</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Ti</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87</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36</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I</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9</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Mn</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165</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37</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Cd</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10</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Ba</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63</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38</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Hg</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11</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Sr</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57</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39</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Ag</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12</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Zr</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84</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40</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Se</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13</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V</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26</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41</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Pd</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14</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Cr</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20</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42</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Bi</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0.4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15</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Rb</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43</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Pt</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16</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Ni</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82</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44</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Au</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17</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Zn</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60</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45</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Ru</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18</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Ce</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46</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Rh</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19</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Cu</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27</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47</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Te</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20</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5"/>
                      <w:sz w:val="21"/>
                      <w:szCs w:val="21"/>
                      <w:highlight w:val="none"/>
                      <w:lang w:eastAsia="en-US"/>
                    </w:rPr>
                    <w:t>Nd</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w w:val="95"/>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48</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Ir</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21</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Y</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w w:val="95"/>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49</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Re</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22</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5"/>
                      <w:sz w:val="21"/>
                      <w:szCs w:val="21"/>
                      <w:highlight w:val="none"/>
                      <w:lang w:eastAsia="en-US"/>
                    </w:rPr>
                    <w:t>Co</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6.3</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50</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B</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79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23</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5"/>
                      <w:sz w:val="21"/>
                      <w:szCs w:val="21"/>
                      <w:highlight w:val="none"/>
                      <w:lang w:eastAsia="en-US"/>
                    </w:rPr>
                    <w:t>Sc</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w w:val="95"/>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51</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9"/>
                      <w:sz w:val="21"/>
                      <w:szCs w:val="21"/>
                      <w:highlight w:val="none"/>
                      <w:lang w:eastAsia="en-US"/>
                    </w:rPr>
                    <w:t>P</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24</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Li</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12</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52</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Ga</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43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25</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5"/>
                      <w:sz w:val="21"/>
                      <w:szCs w:val="21"/>
                      <w:highlight w:val="none"/>
                      <w:lang w:eastAsia="en-US"/>
                    </w:rPr>
                    <w:t>Nb</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0.01</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53</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As</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26</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5"/>
                      <w:sz w:val="21"/>
                      <w:szCs w:val="21"/>
                      <w:highlight w:val="none"/>
                      <w:lang w:eastAsia="en-US"/>
                    </w:rPr>
                    <w:t>Pb</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5.4</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54</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In</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27</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5"/>
                      <w:sz w:val="21"/>
                      <w:szCs w:val="21"/>
                      <w:highlight w:val="none"/>
                      <w:lang w:eastAsia="en-US"/>
                    </w:rPr>
                    <w:t>Cs</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w w:val="95"/>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55</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Sb</w:t>
                  </w: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sz w:val="21"/>
                      <w:szCs w:val="21"/>
                      <w:highlight w:val="none"/>
                      <w:lang w:eastAsia="en-US"/>
                    </w:rPr>
                    <w:t>28</w:t>
                  </w: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r>
                    <w:rPr>
                      <w:rFonts w:hint="default" w:ascii="Times New Roman" w:hAnsi="Times New Roman" w:eastAsia="宋体" w:cs="Times New Roman"/>
                      <w:color w:val="auto"/>
                      <w:w w:val="95"/>
                      <w:sz w:val="21"/>
                      <w:szCs w:val="21"/>
                      <w:highlight w:val="none"/>
                      <w:lang w:eastAsia="en-US"/>
                    </w:rPr>
                    <w:t>Hf</w:t>
                  </w:r>
                </w:p>
              </w:tc>
              <w:tc>
                <w:tcPr>
                  <w:tcW w:w="1515"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w w:val="95"/>
                      <w:sz w:val="21"/>
                      <w:szCs w:val="21"/>
                      <w:highlight w:val="none"/>
                      <w:lang w:eastAsia="en-US"/>
                    </w:rPr>
                    <w:t>&lt;</w:t>
                  </w:r>
                  <w:r>
                    <w:rPr>
                      <w:rFonts w:hint="default" w:ascii="Times New Roman" w:hAnsi="Times New Roman" w:eastAsia="宋体" w:cs="Times New Roman"/>
                      <w:color w:val="auto"/>
                      <w:sz w:val="21"/>
                      <w:szCs w:val="21"/>
                      <w:highlight w:val="none"/>
                      <w:lang w:eastAsia="zh-CN"/>
                    </w:rPr>
                    <w:t>0.01</w:t>
                  </w:r>
                </w:p>
              </w:tc>
              <w:tc>
                <w:tcPr>
                  <w:tcW w:w="397"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p>
              </w:tc>
              <w:tc>
                <w:tcPr>
                  <w:tcW w:w="783"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p>
              </w:tc>
              <w:tc>
                <w:tcPr>
                  <w:tcW w:w="1124" w:type="pct"/>
                  <w:tcBorders>
                    <w:top w:val="single" w:color="auto" w:sz="4" w:space="0"/>
                    <w:left w:val="single" w:color="auto" w:sz="4" w:space="0"/>
                    <w:bottom w:val="single" w:color="auto" w:sz="4" w:space="0"/>
                    <w:right w:val="single" w:color="auto" w:sz="4" w:space="0"/>
                  </w:tcBorders>
                  <w:vAlign w:val="center"/>
                </w:tcPr>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en-US"/>
                    </w:rPr>
                  </w:pPr>
                </w:p>
              </w:tc>
            </w:tr>
          </w:tbl>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color w:val="auto"/>
                <w:highlight w:val="none"/>
              </w:rPr>
              <w:drawing>
                <wp:inline distT="0" distB="0" distL="0" distR="0">
                  <wp:extent cx="5255895" cy="3469640"/>
                  <wp:effectExtent l="0" t="0" r="1905" b="16510"/>
                  <wp:docPr id="20135702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570264" name="图片 1"/>
                          <pic:cNvPicPr>
                            <a:picLocks noChangeAspect="1"/>
                          </pic:cNvPicPr>
                        </pic:nvPicPr>
                        <pic:blipFill>
                          <a:blip r:embed="rId21"/>
                          <a:stretch>
                            <a:fillRect/>
                          </a:stretch>
                        </pic:blipFill>
                        <pic:spPr>
                          <a:xfrm>
                            <a:off x="0" y="0"/>
                            <a:ext cx="5255895" cy="3469640"/>
                          </a:xfrm>
                          <a:prstGeom prst="rect">
                            <a:avLst/>
                          </a:prstGeom>
                        </pic:spPr>
                      </pic:pic>
                    </a:graphicData>
                  </a:graphic>
                </wp:inline>
              </w:drawing>
            </w:r>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图2-1</w:t>
            </w:r>
            <w:r>
              <w:rPr>
                <w:rFonts w:hint="default" w:ascii="Times New Roman" w:hAnsi="Times New Roman" w:eastAsia="宋体" w:cs="Times New Roman"/>
                <w:b/>
                <w:bCs/>
                <w:color w:val="auto"/>
                <w:highlight w:val="none"/>
                <w:lang w:val="en-US" w:eastAsia="zh-CN"/>
              </w:rPr>
              <w:t>硅</w:t>
            </w:r>
            <w:r>
              <w:rPr>
                <w:rFonts w:hint="default" w:ascii="Times New Roman" w:hAnsi="Times New Roman" w:eastAsia="宋体" w:cs="Times New Roman"/>
                <w:b/>
                <w:bCs/>
                <w:color w:val="auto"/>
                <w:highlight w:val="none"/>
              </w:rPr>
              <w:t>泥现状图</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w:t>
            </w:r>
            <w:r>
              <w:rPr>
                <w:rFonts w:hint="default" w:ascii="Times New Roman" w:hAnsi="Times New Roman" w:eastAsia="宋体" w:cs="Times New Roman"/>
                <w:b w:val="0"/>
                <w:bCs/>
                <w:color w:val="auto"/>
                <w:highlight w:val="none"/>
                <w:lang w:val="en-US" w:eastAsia="zh-CN"/>
              </w:rPr>
              <w:t>2</w:t>
            </w:r>
            <w:r>
              <w:rPr>
                <w:rFonts w:hint="default" w:ascii="Times New Roman" w:hAnsi="Times New Roman" w:eastAsia="宋体" w:cs="Times New Roman"/>
                <w:b w:val="0"/>
                <w:bCs/>
                <w:color w:val="auto"/>
                <w:highlight w:val="none"/>
                <w:lang w:eastAsia="zh-CN"/>
              </w:rPr>
              <w:t>）</w:t>
            </w:r>
            <w:r>
              <w:rPr>
                <w:rFonts w:hint="default" w:ascii="Times New Roman" w:hAnsi="Times New Roman" w:eastAsia="宋体" w:cs="Times New Roman"/>
                <w:b w:val="0"/>
                <w:bCs/>
                <w:color w:val="auto"/>
                <w:highlight w:val="none"/>
              </w:rPr>
              <w:t>造渣剂</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本项目使用造渣剂主要成分为CaO，外观呈粉状，灰黑色，略湿润，包装为25kg/袋，塑料袋密封。</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4、能源消耗</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能源消耗情况见下表2-</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表2-</w:t>
            </w:r>
            <w:r>
              <w:rPr>
                <w:rFonts w:hint="default" w:ascii="Times New Roman" w:hAnsi="Times New Roman" w:eastAsia="宋体" w:cs="Times New Roman"/>
                <w:b/>
                <w:bCs/>
                <w:color w:val="auto"/>
                <w:highlight w:val="none"/>
                <w:lang w:val="en-US" w:eastAsia="zh-CN"/>
              </w:rPr>
              <w:t>8</w:t>
            </w:r>
            <w:r>
              <w:rPr>
                <w:rFonts w:hint="default" w:ascii="Times New Roman" w:hAnsi="Times New Roman" w:eastAsia="宋体" w:cs="Times New Roman"/>
                <w:b/>
                <w:bCs/>
                <w:color w:val="auto"/>
                <w:highlight w:val="none"/>
              </w:rPr>
              <w:t>能源消耗情况一览表</w:t>
            </w:r>
          </w:p>
          <w:tbl>
            <w:tblPr>
              <w:tblStyle w:val="30"/>
              <w:tblW w:w="827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1116"/>
              <w:gridCol w:w="1464"/>
              <w:gridCol w:w="1104"/>
              <w:gridCol w:w="37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5" w:type="dxa"/>
                  <w:tcBorders>
                    <w:top w:val="single" w:color="auto" w:sz="4" w:space="0"/>
                    <w:left w:val="single" w:color="auto" w:sz="0"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序号</w:t>
                  </w:r>
                </w:p>
              </w:tc>
              <w:tc>
                <w:tcPr>
                  <w:tcW w:w="1116"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名称</w:t>
                  </w:r>
                </w:p>
              </w:tc>
              <w:tc>
                <w:tcPr>
                  <w:tcW w:w="1464"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用量</w:t>
                  </w:r>
                </w:p>
              </w:tc>
              <w:tc>
                <w:tcPr>
                  <w:tcW w:w="1104"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单位</w:t>
                  </w:r>
                </w:p>
              </w:tc>
              <w:tc>
                <w:tcPr>
                  <w:tcW w:w="3765" w:type="dxa"/>
                  <w:tcBorders>
                    <w:top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5" w:type="dxa"/>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1116"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水</w:t>
                  </w:r>
                </w:p>
              </w:tc>
              <w:tc>
                <w:tcPr>
                  <w:tcW w:w="146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3510</w:t>
                  </w:r>
                </w:p>
              </w:tc>
              <w:tc>
                <w:tcPr>
                  <w:tcW w:w="110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w:t>
                  </w:r>
                  <w:r>
                    <w:rPr>
                      <w:rFonts w:hint="default" w:ascii="Times New Roman" w:hAnsi="Times New Roman" w:eastAsia="宋体" w:cs="Times New Roman"/>
                      <w:color w:val="auto"/>
                      <w:sz w:val="21"/>
                      <w:szCs w:val="20"/>
                      <w:highlight w:val="none"/>
                      <w:vertAlign w:val="superscript"/>
                    </w:rPr>
                    <w:t>3</w:t>
                  </w:r>
                  <w:r>
                    <w:rPr>
                      <w:rFonts w:hint="default" w:ascii="Times New Roman" w:hAnsi="Times New Roman" w:eastAsia="宋体" w:cs="Times New Roman"/>
                      <w:color w:val="auto"/>
                      <w:sz w:val="21"/>
                      <w:szCs w:val="20"/>
                      <w:highlight w:val="none"/>
                    </w:rPr>
                    <w:t>/a</w:t>
                  </w:r>
                </w:p>
              </w:tc>
              <w:tc>
                <w:tcPr>
                  <w:tcW w:w="3765" w:type="dxa"/>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由园区供水管网供给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5" w:type="dxa"/>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w:t>
                  </w:r>
                </w:p>
              </w:tc>
              <w:tc>
                <w:tcPr>
                  <w:tcW w:w="1116"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电</w:t>
                  </w:r>
                </w:p>
              </w:tc>
              <w:tc>
                <w:tcPr>
                  <w:tcW w:w="146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eastAsia="zh-CN"/>
                    </w:rPr>
                  </w:pPr>
                  <w:r>
                    <w:rPr>
                      <w:rFonts w:hint="default" w:ascii="Times New Roman" w:hAnsi="Times New Roman" w:eastAsia="宋体" w:cs="Times New Roman"/>
                      <w:color w:val="auto"/>
                      <w:sz w:val="21"/>
                      <w:szCs w:val="20"/>
                      <w:highlight w:val="none"/>
                      <w:lang w:eastAsia="zh-CN"/>
                    </w:rPr>
                    <w:t>1624.60</w:t>
                  </w:r>
                </w:p>
              </w:tc>
              <w:tc>
                <w:tcPr>
                  <w:tcW w:w="110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万kWh/a</w:t>
                  </w:r>
                </w:p>
              </w:tc>
              <w:tc>
                <w:tcPr>
                  <w:tcW w:w="3765" w:type="dxa"/>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由园区供电管网供给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5" w:type="dxa"/>
                  <w:tcBorders>
                    <w:left w:val="single" w:color="auto" w:sz="4" w:space="0"/>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w:t>
                  </w:r>
                </w:p>
              </w:tc>
              <w:tc>
                <w:tcPr>
                  <w:tcW w:w="1116" w:type="dxa"/>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天然气</w:t>
                  </w:r>
                </w:p>
              </w:tc>
              <w:tc>
                <w:tcPr>
                  <w:tcW w:w="1464" w:type="dxa"/>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eastAsia="zh-CN"/>
                    </w:rPr>
                  </w:pPr>
                  <w:r>
                    <w:rPr>
                      <w:rFonts w:hint="default" w:ascii="Times New Roman" w:hAnsi="Times New Roman" w:eastAsia="宋体" w:cs="Times New Roman"/>
                      <w:color w:val="auto"/>
                      <w:sz w:val="21"/>
                      <w:szCs w:val="16"/>
                      <w:highlight w:val="none"/>
                      <w:lang w:eastAsia="zh-CN"/>
                    </w:rPr>
                    <w:t>97.08</w:t>
                  </w:r>
                </w:p>
              </w:tc>
              <w:tc>
                <w:tcPr>
                  <w:tcW w:w="1104" w:type="dxa"/>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16"/>
                      <w:highlight w:val="none"/>
                    </w:rPr>
                    <w:t>万m</w:t>
                  </w:r>
                  <w:r>
                    <w:rPr>
                      <w:rFonts w:hint="default" w:ascii="Times New Roman" w:hAnsi="Times New Roman" w:eastAsia="宋体" w:cs="Times New Roman"/>
                      <w:color w:val="auto"/>
                      <w:sz w:val="21"/>
                      <w:szCs w:val="16"/>
                      <w:highlight w:val="none"/>
                      <w:vertAlign w:val="superscript"/>
                    </w:rPr>
                    <w:t>3</w:t>
                  </w:r>
                  <w:r>
                    <w:rPr>
                      <w:rFonts w:hint="default" w:ascii="Times New Roman" w:hAnsi="Times New Roman" w:eastAsia="宋体" w:cs="Times New Roman"/>
                      <w:color w:val="auto"/>
                      <w:sz w:val="21"/>
                      <w:szCs w:val="16"/>
                      <w:highlight w:val="none"/>
                    </w:rPr>
                    <w:t>/a</w:t>
                  </w:r>
                </w:p>
              </w:tc>
              <w:tc>
                <w:tcPr>
                  <w:tcW w:w="3765" w:type="dxa"/>
                  <w:tcBorders>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园区</w:t>
                  </w:r>
                  <w:r>
                    <w:rPr>
                      <w:rFonts w:hint="default" w:ascii="Times New Roman" w:hAnsi="Times New Roman" w:eastAsia="宋体" w:cs="Times New Roman"/>
                      <w:color w:val="auto"/>
                      <w:sz w:val="21"/>
                      <w:szCs w:val="20"/>
                      <w:highlight w:val="none"/>
                      <w:lang w:val="en-US" w:eastAsia="zh-CN"/>
                    </w:rPr>
                    <w:t>天然气管道</w:t>
                  </w:r>
                  <w:r>
                    <w:rPr>
                      <w:rFonts w:hint="default" w:ascii="Times New Roman" w:hAnsi="Times New Roman" w:eastAsia="宋体" w:cs="Times New Roman"/>
                      <w:color w:val="auto"/>
                      <w:sz w:val="21"/>
                      <w:szCs w:val="20"/>
                      <w:highlight w:val="none"/>
                    </w:rPr>
                    <w:t>供给</w:t>
                  </w:r>
                </w:p>
              </w:tc>
            </w:tr>
          </w:tbl>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表2-</w:t>
            </w:r>
            <w:r>
              <w:rPr>
                <w:rFonts w:hint="default" w:ascii="Times New Roman" w:hAnsi="Times New Roman" w:eastAsia="宋体" w:cs="Times New Roman"/>
                <w:b/>
                <w:bCs/>
                <w:color w:val="auto"/>
                <w:highlight w:val="none"/>
                <w:lang w:val="en-US" w:eastAsia="zh-CN"/>
              </w:rPr>
              <w:t>9</w:t>
            </w:r>
            <w:r>
              <w:rPr>
                <w:rFonts w:hint="default" w:ascii="Times New Roman" w:hAnsi="Times New Roman" w:eastAsia="宋体" w:cs="Times New Roman"/>
                <w:b/>
                <w:bCs/>
                <w:color w:val="auto"/>
                <w:highlight w:val="none"/>
              </w:rPr>
              <w:t>天然气组成成分表</w:t>
            </w:r>
          </w:p>
          <w:tbl>
            <w:tblPr>
              <w:tblStyle w:val="29"/>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6"/>
              <w:gridCol w:w="2258"/>
              <w:gridCol w:w="2487"/>
              <w:gridCol w:w="22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top w:val="single" w:color="auto" w:sz="4" w:space="0"/>
                    <w:left w:val="single" w:color="auto" w:sz="0"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color w:val="auto"/>
                      <w:sz w:val="21"/>
                      <w:highlight w:val="none"/>
                      <w:lang w:val="en-US" w:eastAsia="zh-CN"/>
                    </w:rPr>
                  </w:pPr>
                  <w:r>
                    <w:rPr>
                      <w:rFonts w:hint="default" w:ascii="Times New Roman" w:hAnsi="Times New Roman" w:eastAsia="宋体" w:cs="Times New Roman"/>
                      <w:b/>
                      <w:color w:val="auto"/>
                      <w:sz w:val="21"/>
                      <w:highlight w:val="none"/>
                      <w:lang w:val="en-US" w:eastAsia="zh-CN"/>
                    </w:rPr>
                    <w:t>分析项目</w:t>
                  </w:r>
                </w:p>
              </w:tc>
              <w:tc>
                <w:tcPr>
                  <w:tcW w:w="2258" w:type="dxa"/>
                  <w:tcBorders>
                    <w:top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color w:val="auto"/>
                      <w:sz w:val="21"/>
                      <w:highlight w:val="none"/>
                      <w:lang w:val="en-US" w:eastAsia="zh-CN"/>
                    </w:rPr>
                  </w:pPr>
                  <w:r>
                    <w:rPr>
                      <w:rFonts w:hint="default" w:ascii="Times New Roman" w:hAnsi="Times New Roman" w:eastAsia="宋体" w:cs="Times New Roman"/>
                      <w:b/>
                      <w:color w:val="auto"/>
                      <w:sz w:val="21"/>
                      <w:highlight w:val="none"/>
                      <w:lang w:val="en-US" w:eastAsia="zh-CN"/>
                    </w:rPr>
                    <w:t>烃类</w:t>
                  </w:r>
                </w:p>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color w:val="auto"/>
                      <w:sz w:val="21"/>
                      <w:highlight w:val="none"/>
                    </w:rPr>
                  </w:pPr>
                  <w:r>
                    <w:rPr>
                      <w:rFonts w:hint="default" w:ascii="Times New Roman" w:hAnsi="Times New Roman" w:eastAsia="宋体" w:cs="Times New Roman"/>
                      <w:b/>
                      <w:color w:val="auto"/>
                      <w:sz w:val="21"/>
                      <w:highlight w:val="none"/>
                      <w:lang w:val="en-US" w:eastAsia="zh-CN"/>
                    </w:rPr>
                    <w:t>（</w:t>
                  </w:r>
                  <w:r>
                    <w:rPr>
                      <w:rFonts w:hint="default" w:ascii="Times New Roman" w:hAnsi="Times New Roman" w:eastAsia="宋体" w:cs="Times New Roman"/>
                      <w:b/>
                      <w:color w:val="auto"/>
                      <w:sz w:val="21"/>
                      <w:highlight w:val="none"/>
                    </w:rPr>
                    <w:t>摩尔</w:t>
                  </w:r>
                  <w:r>
                    <w:rPr>
                      <w:rFonts w:hint="default" w:ascii="Times New Roman" w:hAnsi="Times New Roman" w:eastAsia="宋体" w:cs="Times New Roman"/>
                      <w:b/>
                      <w:color w:val="auto"/>
                      <w:sz w:val="21"/>
                      <w:highlight w:val="none"/>
                      <w:lang w:val="en-US" w:eastAsia="zh-CN"/>
                    </w:rPr>
                    <w:t>分数</w:t>
                  </w:r>
                  <w:r>
                    <w:rPr>
                      <w:rFonts w:hint="default" w:ascii="Times New Roman" w:hAnsi="Times New Roman" w:eastAsia="宋体" w:cs="Times New Roman"/>
                      <w:b/>
                      <w:color w:val="auto"/>
                      <w:sz w:val="21"/>
                      <w:highlight w:val="none"/>
                    </w:rPr>
                    <w:t>%</w:t>
                  </w:r>
                  <w:r>
                    <w:rPr>
                      <w:rFonts w:hint="default" w:ascii="Times New Roman" w:hAnsi="Times New Roman" w:eastAsia="宋体" w:cs="Times New Roman"/>
                      <w:b/>
                      <w:color w:val="auto"/>
                      <w:sz w:val="21"/>
                      <w:highlight w:val="none"/>
                      <w:lang w:val="en-US" w:eastAsia="zh-CN"/>
                    </w:rPr>
                    <w:t>）</w:t>
                  </w:r>
                </w:p>
              </w:tc>
              <w:tc>
                <w:tcPr>
                  <w:tcW w:w="2487" w:type="dxa"/>
                  <w:tcBorders>
                    <w:top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color w:val="auto"/>
                      <w:sz w:val="21"/>
                      <w:highlight w:val="none"/>
                    </w:rPr>
                  </w:pPr>
                  <w:r>
                    <w:rPr>
                      <w:rFonts w:hint="default" w:ascii="Times New Roman" w:hAnsi="Times New Roman" w:eastAsia="宋体" w:cs="Times New Roman"/>
                      <w:b/>
                      <w:color w:val="auto"/>
                      <w:sz w:val="21"/>
                      <w:highlight w:val="none"/>
                      <w:lang w:val="en-US" w:eastAsia="zh-CN"/>
                    </w:rPr>
                    <w:t>分析项目</w:t>
                  </w:r>
                </w:p>
              </w:tc>
              <w:tc>
                <w:tcPr>
                  <w:tcW w:w="2246" w:type="dxa"/>
                  <w:tcBorders>
                    <w:top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color w:val="auto"/>
                      <w:sz w:val="21"/>
                      <w:highlight w:val="none"/>
                      <w:lang w:val="en-US" w:eastAsia="zh-CN"/>
                    </w:rPr>
                  </w:pPr>
                  <w:r>
                    <w:rPr>
                      <w:rFonts w:hint="default" w:ascii="Times New Roman" w:hAnsi="Times New Roman" w:eastAsia="宋体" w:cs="Times New Roman"/>
                      <w:b/>
                      <w:color w:val="auto"/>
                      <w:sz w:val="21"/>
                      <w:highlight w:val="none"/>
                      <w:lang w:val="en-US" w:eastAsia="zh-CN"/>
                    </w:rPr>
                    <w:t>非烃类</w:t>
                  </w:r>
                </w:p>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color w:val="auto"/>
                      <w:sz w:val="21"/>
                      <w:highlight w:val="none"/>
                    </w:rPr>
                  </w:pPr>
                  <w:r>
                    <w:rPr>
                      <w:rFonts w:hint="default" w:ascii="Times New Roman" w:hAnsi="Times New Roman" w:eastAsia="宋体" w:cs="Times New Roman"/>
                      <w:b/>
                      <w:color w:val="auto"/>
                      <w:sz w:val="21"/>
                      <w:highlight w:val="none"/>
                      <w:lang w:val="en-US" w:eastAsia="zh-CN"/>
                    </w:rPr>
                    <w:t>（</w:t>
                  </w:r>
                  <w:r>
                    <w:rPr>
                      <w:rFonts w:hint="default" w:ascii="Times New Roman" w:hAnsi="Times New Roman" w:eastAsia="宋体" w:cs="Times New Roman"/>
                      <w:b/>
                      <w:color w:val="auto"/>
                      <w:sz w:val="21"/>
                      <w:highlight w:val="none"/>
                    </w:rPr>
                    <w:t>摩尔</w:t>
                  </w:r>
                  <w:r>
                    <w:rPr>
                      <w:rFonts w:hint="default" w:ascii="Times New Roman" w:hAnsi="Times New Roman" w:eastAsia="宋体" w:cs="Times New Roman"/>
                      <w:b/>
                      <w:color w:val="auto"/>
                      <w:sz w:val="21"/>
                      <w:highlight w:val="none"/>
                      <w:lang w:val="en-US" w:eastAsia="zh-CN"/>
                    </w:rPr>
                    <w:t>分数</w:t>
                  </w:r>
                  <w:r>
                    <w:rPr>
                      <w:rFonts w:hint="default" w:ascii="Times New Roman" w:hAnsi="Times New Roman" w:eastAsia="宋体" w:cs="Times New Roman"/>
                      <w:b/>
                      <w:color w:val="auto"/>
                      <w:sz w:val="21"/>
                      <w:highlight w:val="none"/>
                    </w:rPr>
                    <w:t>%</w:t>
                  </w:r>
                  <w:r>
                    <w:rPr>
                      <w:rFonts w:hint="default" w:ascii="Times New Roman" w:hAnsi="Times New Roman" w:eastAsia="宋体" w:cs="Times New Roman"/>
                      <w:b/>
                      <w:color w:val="auto"/>
                      <w:sz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left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rPr>
                    <w:t>CH</w:t>
                  </w:r>
                  <w:r>
                    <w:rPr>
                      <w:rFonts w:hint="default" w:ascii="Times New Roman" w:hAnsi="Times New Roman" w:eastAsia="宋体" w:cs="Times New Roman"/>
                      <w:bCs/>
                      <w:color w:val="auto"/>
                      <w:sz w:val="21"/>
                      <w:highlight w:val="none"/>
                      <w:vertAlign w:val="subscript"/>
                      <w:lang w:val="en-US" w:eastAsia="zh-CN"/>
                    </w:rPr>
                    <w:t>4</w:t>
                  </w:r>
                </w:p>
              </w:tc>
              <w:tc>
                <w:tcPr>
                  <w:tcW w:w="2258"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96.6157</w:t>
                  </w:r>
                </w:p>
              </w:tc>
              <w:tc>
                <w:tcPr>
                  <w:tcW w:w="2487"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He</w:t>
                  </w:r>
                </w:p>
              </w:tc>
              <w:tc>
                <w:tcPr>
                  <w:tcW w:w="2246" w:type="dxa"/>
                  <w:tcBorders>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0.0321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left w:val="single" w:color="auto" w:sz="4" w:space="0"/>
                  </w:tcBorders>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rPr>
                  </w:pPr>
                  <w:r>
                    <w:rPr>
                      <w:rFonts w:hint="default" w:ascii="Times New Roman" w:hAnsi="Times New Roman" w:eastAsia="宋体" w:cs="Times New Roman"/>
                      <w:bCs/>
                      <w:color w:val="auto"/>
                      <w:sz w:val="21"/>
                      <w:highlight w:val="none"/>
                    </w:rPr>
                    <w:t>C</w:t>
                  </w:r>
                  <w:r>
                    <w:rPr>
                      <w:rFonts w:hint="default" w:ascii="Times New Roman" w:hAnsi="Times New Roman" w:eastAsia="宋体" w:cs="Times New Roman"/>
                      <w:bCs/>
                      <w:color w:val="auto"/>
                      <w:sz w:val="21"/>
                      <w:highlight w:val="none"/>
                      <w:vertAlign w:val="subscript"/>
                      <w:lang w:val="en-US" w:eastAsia="zh-CN"/>
                    </w:rPr>
                    <w:t>2</w:t>
                  </w:r>
                  <w:r>
                    <w:rPr>
                      <w:rFonts w:hint="default" w:ascii="Times New Roman" w:hAnsi="Times New Roman" w:eastAsia="宋体" w:cs="Times New Roman"/>
                      <w:bCs/>
                      <w:color w:val="auto"/>
                      <w:sz w:val="21"/>
                      <w:highlight w:val="none"/>
                    </w:rPr>
                    <w:t>H</w:t>
                  </w:r>
                  <w:r>
                    <w:rPr>
                      <w:rFonts w:hint="default" w:ascii="Times New Roman" w:hAnsi="Times New Roman" w:eastAsia="宋体" w:cs="Times New Roman"/>
                      <w:bCs/>
                      <w:color w:val="auto"/>
                      <w:sz w:val="21"/>
                      <w:highlight w:val="none"/>
                      <w:vertAlign w:val="subscript"/>
                      <w:lang w:val="en-US" w:eastAsia="zh-CN"/>
                    </w:rPr>
                    <w:t>6</w:t>
                  </w:r>
                </w:p>
              </w:tc>
              <w:tc>
                <w:tcPr>
                  <w:tcW w:w="2258"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1.1404</w:t>
                  </w:r>
                </w:p>
              </w:tc>
              <w:tc>
                <w:tcPr>
                  <w:tcW w:w="2487"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H</w:t>
                  </w:r>
                  <w:r>
                    <w:rPr>
                      <w:rFonts w:hint="default" w:ascii="Times New Roman" w:hAnsi="Times New Roman" w:eastAsia="宋体" w:cs="Times New Roman"/>
                      <w:bCs/>
                      <w:color w:val="auto"/>
                      <w:sz w:val="21"/>
                      <w:highlight w:val="none"/>
                      <w:vertAlign w:val="subscript"/>
                      <w:lang w:val="en-US" w:eastAsia="zh-CN"/>
                    </w:rPr>
                    <w:t>2</w:t>
                  </w:r>
                </w:p>
              </w:tc>
              <w:tc>
                <w:tcPr>
                  <w:tcW w:w="2246" w:type="dxa"/>
                  <w:tcBorders>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left w:val="single" w:color="auto" w:sz="4" w:space="0"/>
                  </w:tcBorders>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rPr>
                  </w:pPr>
                  <w:r>
                    <w:rPr>
                      <w:rFonts w:hint="default" w:ascii="Times New Roman" w:hAnsi="Times New Roman" w:eastAsia="宋体" w:cs="Times New Roman"/>
                      <w:bCs/>
                      <w:color w:val="auto"/>
                      <w:sz w:val="21"/>
                      <w:highlight w:val="none"/>
                    </w:rPr>
                    <w:t>C</w:t>
                  </w:r>
                  <w:r>
                    <w:rPr>
                      <w:rFonts w:hint="default" w:ascii="Times New Roman" w:hAnsi="Times New Roman" w:eastAsia="宋体" w:cs="Times New Roman"/>
                      <w:bCs/>
                      <w:color w:val="auto"/>
                      <w:sz w:val="21"/>
                      <w:highlight w:val="none"/>
                      <w:vertAlign w:val="subscript"/>
                      <w:lang w:val="en-US" w:eastAsia="zh-CN"/>
                    </w:rPr>
                    <w:t>3</w:t>
                  </w:r>
                  <w:r>
                    <w:rPr>
                      <w:rFonts w:hint="default" w:ascii="Times New Roman" w:hAnsi="Times New Roman" w:eastAsia="宋体" w:cs="Times New Roman"/>
                      <w:bCs/>
                      <w:color w:val="auto"/>
                      <w:sz w:val="21"/>
                      <w:highlight w:val="none"/>
                    </w:rPr>
                    <w:t>H</w:t>
                  </w:r>
                  <w:r>
                    <w:rPr>
                      <w:rFonts w:hint="default" w:ascii="Times New Roman" w:hAnsi="Times New Roman" w:eastAsia="宋体" w:cs="Times New Roman"/>
                      <w:bCs/>
                      <w:color w:val="auto"/>
                      <w:sz w:val="21"/>
                      <w:highlight w:val="none"/>
                      <w:vertAlign w:val="subscript"/>
                      <w:lang w:val="en-US" w:eastAsia="zh-CN"/>
                    </w:rPr>
                    <w:t>8</w:t>
                  </w:r>
                </w:p>
              </w:tc>
              <w:tc>
                <w:tcPr>
                  <w:tcW w:w="2258"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0.1554</w:t>
                  </w:r>
                </w:p>
              </w:tc>
              <w:tc>
                <w:tcPr>
                  <w:tcW w:w="2487"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N</w:t>
                  </w:r>
                  <w:r>
                    <w:rPr>
                      <w:rFonts w:hint="default" w:ascii="Times New Roman" w:hAnsi="Times New Roman" w:eastAsia="宋体" w:cs="Times New Roman"/>
                      <w:bCs/>
                      <w:color w:val="auto"/>
                      <w:sz w:val="21"/>
                      <w:highlight w:val="none"/>
                      <w:vertAlign w:val="subscript"/>
                      <w:lang w:val="en-US" w:eastAsia="zh-CN"/>
                    </w:rPr>
                    <w:t>2</w:t>
                  </w:r>
                </w:p>
              </w:tc>
              <w:tc>
                <w:tcPr>
                  <w:tcW w:w="2246" w:type="dxa"/>
                  <w:tcBorders>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0.5243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left w:val="single" w:color="auto" w:sz="4" w:space="0"/>
                  </w:tcBorders>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rPr>
                  </w:pPr>
                  <w:r>
                    <w:rPr>
                      <w:rFonts w:hint="default" w:ascii="Times New Roman" w:hAnsi="Times New Roman" w:eastAsia="宋体" w:cs="Times New Roman"/>
                      <w:bCs/>
                      <w:color w:val="auto"/>
                      <w:sz w:val="21"/>
                      <w:highlight w:val="none"/>
                      <w:lang w:val="en-US" w:eastAsia="zh-CN"/>
                    </w:rPr>
                    <w:t>i</w:t>
                  </w:r>
                  <w:r>
                    <w:rPr>
                      <w:rFonts w:hint="default" w:ascii="Times New Roman" w:hAnsi="Times New Roman" w:eastAsia="宋体" w:cs="Times New Roman"/>
                      <w:bCs/>
                      <w:color w:val="auto"/>
                      <w:sz w:val="21"/>
                      <w:highlight w:val="none"/>
                    </w:rPr>
                    <w:t>C</w:t>
                  </w:r>
                  <w:r>
                    <w:rPr>
                      <w:rFonts w:hint="default" w:ascii="Times New Roman" w:hAnsi="Times New Roman" w:eastAsia="宋体" w:cs="Times New Roman"/>
                      <w:bCs/>
                      <w:color w:val="auto"/>
                      <w:sz w:val="21"/>
                      <w:highlight w:val="none"/>
                      <w:vertAlign w:val="subscript"/>
                      <w:lang w:val="en-US" w:eastAsia="zh-CN"/>
                    </w:rPr>
                    <w:t>4</w:t>
                  </w:r>
                  <w:r>
                    <w:rPr>
                      <w:rFonts w:hint="default" w:ascii="Times New Roman" w:hAnsi="Times New Roman" w:eastAsia="宋体" w:cs="Times New Roman"/>
                      <w:bCs/>
                      <w:color w:val="auto"/>
                      <w:sz w:val="21"/>
                      <w:highlight w:val="none"/>
                    </w:rPr>
                    <w:t>H</w:t>
                  </w:r>
                  <w:r>
                    <w:rPr>
                      <w:rFonts w:hint="default" w:ascii="Times New Roman" w:hAnsi="Times New Roman" w:eastAsia="宋体" w:cs="Times New Roman"/>
                      <w:bCs/>
                      <w:color w:val="auto"/>
                      <w:sz w:val="21"/>
                      <w:highlight w:val="none"/>
                      <w:vertAlign w:val="subscript"/>
                      <w:lang w:val="en-US" w:eastAsia="zh-CN"/>
                    </w:rPr>
                    <w:t>10</w:t>
                  </w:r>
                </w:p>
              </w:tc>
              <w:tc>
                <w:tcPr>
                  <w:tcW w:w="2258"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0.0311</w:t>
                  </w:r>
                </w:p>
              </w:tc>
              <w:tc>
                <w:tcPr>
                  <w:tcW w:w="2487" w:type="dxa"/>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CO</w:t>
                  </w:r>
                  <w:r>
                    <w:rPr>
                      <w:rFonts w:hint="default" w:ascii="Times New Roman" w:hAnsi="Times New Roman" w:eastAsia="宋体" w:cs="Times New Roman"/>
                      <w:bCs/>
                      <w:color w:val="auto"/>
                      <w:sz w:val="21"/>
                      <w:highlight w:val="none"/>
                      <w:vertAlign w:val="subscript"/>
                      <w:lang w:val="en-US" w:eastAsia="zh-CN"/>
                    </w:rPr>
                    <w:t>2</w:t>
                  </w:r>
                  <w:r>
                    <w:rPr>
                      <w:rFonts w:hint="default" w:ascii="Times New Roman" w:hAnsi="Times New Roman" w:eastAsia="宋体" w:cs="Times New Roman"/>
                      <w:bCs/>
                      <w:color w:val="auto"/>
                      <w:sz w:val="21"/>
                      <w:highlight w:val="none"/>
                      <w:lang w:val="en-US" w:eastAsia="zh-CN"/>
                    </w:rPr>
                    <w:t>（≤3.0%）</w:t>
                  </w:r>
                </w:p>
              </w:tc>
              <w:tc>
                <w:tcPr>
                  <w:tcW w:w="2246" w:type="dxa"/>
                  <w:tcBorders>
                    <w:right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1.4500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286" w:type="dxa"/>
                  <w:tcBorders>
                    <w:left w:val="single" w:color="auto" w:sz="4" w:space="0"/>
                  </w:tcBorders>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rPr>
                  </w:pPr>
                  <w:r>
                    <w:rPr>
                      <w:rFonts w:hint="default" w:ascii="Times New Roman" w:hAnsi="Times New Roman" w:eastAsia="宋体" w:cs="Times New Roman"/>
                      <w:bCs/>
                      <w:color w:val="auto"/>
                      <w:sz w:val="21"/>
                      <w:highlight w:val="none"/>
                      <w:lang w:val="en-US" w:eastAsia="zh-CN"/>
                    </w:rPr>
                    <w:t>n</w:t>
                  </w:r>
                  <w:r>
                    <w:rPr>
                      <w:rFonts w:hint="default" w:ascii="Times New Roman" w:hAnsi="Times New Roman" w:eastAsia="宋体" w:cs="Times New Roman"/>
                      <w:bCs/>
                      <w:color w:val="auto"/>
                      <w:sz w:val="21"/>
                      <w:highlight w:val="none"/>
                    </w:rPr>
                    <w:t>C</w:t>
                  </w:r>
                  <w:r>
                    <w:rPr>
                      <w:rFonts w:hint="default" w:ascii="Times New Roman" w:hAnsi="Times New Roman" w:eastAsia="宋体" w:cs="Times New Roman"/>
                      <w:bCs/>
                      <w:color w:val="auto"/>
                      <w:sz w:val="21"/>
                      <w:highlight w:val="none"/>
                      <w:vertAlign w:val="subscript"/>
                      <w:lang w:val="en-US" w:eastAsia="zh-CN"/>
                    </w:rPr>
                    <w:t>4</w:t>
                  </w:r>
                  <w:r>
                    <w:rPr>
                      <w:rFonts w:hint="default" w:ascii="Times New Roman" w:hAnsi="Times New Roman" w:eastAsia="宋体" w:cs="Times New Roman"/>
                      <w:bCs/>
                      <w:color w:val="auto"/>
                      <w:sz w:val="21"/>
                      <w:highlight w:val="none"/>
                    </w:rPr>
                    <w:t>H</w:t>
                  </w:r>
                  <w:r>
                    <w:rPr>
                      <w:rFonts w:hint="default" w:ascii="Times New Roman" w:hAnsi="Times New Roman" w:eastAsia="宋体" w:cs="Times New Roman"/>
                      <w:bCs/>
                      <w:color w:val="auto"/>
                      <w:sz w:val="21"/>
                      <w:highlight w:val="none"/>
                      <w:vertAlign w:val="subscript"/>
                      <w:lang w:val="en-US" w:eastAsia="zh-CN"/>
                    </w:rPr>
                    <w:t>10</w:t>
                  </w:r>
                </w:p>
              </w:tc>
              <w:tc>
                <w:tcPr>
                  <w:tcW w:w="2258"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0.0283</w:t>
                  </w:r>
                </w:p>
              </w:tc>
              <w:tc>
                <w:tcPr>
                  <w:tcW w:w="2487" w:type="dxa"/>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H</w:t>
                  </w:r>
                  <w:r>
                    <w:rPr>
                      <w:rFonts w:hint="default" w:ascii="Times New Roman" w:hAnsi="Times New Roman" w:eastAsia="宋体" w:cs="Times New Roman"/>
                      <w:bCs/>
                      <w:color w:val="auto"/>
                      <w:sz w:val="21"/>
                      <w:highlight w:val="none"/>
                      <w:vertAlign w:val="subscript"/>
                      <w:lang w:val="en-US" w:eastAsia="zh-CN"/>
                    </w:rPr>
                    <w:t>2</w:t>
                  </w:r>
                  <w:r>
                    <w:rPr>
                      <w:rFonts w:hint="default" w:ascii="Times New Roman" w:hAnsi="Times New Roman" w:eastAsia="宋体" w:cs="Times New Roman"/>
                      <w:bCs/>
                      <w:color w:val="auto"/>
                      <w:sz w:val="21"/>
                      <w:highlight w:val="none"/>
                      <w:lang w:val="en-US" w:eastAsia="zh-CN"/>
                    </w:rPr>
                    <w:t>S（mg/m</w:t>
                  </w:r>
                  <w:r>
                    <w:rPr>
                      <w:rFonts w:hint="default" w:ascii="Times New Roman" w:hAnsi="Times New Roman" w:eastAsia="宋体" w:cs="Times New Roman"/>
                      <w:bCs/>
                      <w:color w:val="auto"/>
                      <w:sz w:val="21"/>
                      <w:highlight w:val="none"/>
                      <w:vertAlign w:val="superscript"/>
                      <w:lang w:val="en-US" w:eastAsia="zh-CN"/>
                    </w:rPr>
                    <w:t>3</w:t>
                  </w:r>
                  <w:r>
                    <w:rPr>
                      <w:rFonts w:hint="default" w:ascii="Times New Roman" w:hAnsi="Times New Roman" w:eastAsia="宋体" w:cs="Times New Roman"/>
                      <w:bCs/>
                      <w:color w:val="auto"/>
                      <w:sz w:val="21"/>
                      <w:highlight w:val="none"/>
                      <w:lang w:val="en-US" w:eastAsia="zh-CN"/>
                    </w:rPr>
                    <w:t>）</w:t>
                  </w:r>
                </w:p>
              </w:tc>
              <w:tc>
                <w:tcPr>
                  <w:tcW w:w="2246" w:type="dxa"/>
                  <w:tcBorders>
                    <w:right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1.03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left w:val="single" w:color="auto" w:sz="4" w:space="0"/>
                  </w:tcBorders>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rPr>
                  </w:pPr>
                  <w:r>
                    <w:rPr>
                      <w:rFonts w:hint="default" w:ascii="Times New Roman" w:hAnsi="Times New Roman" w:eastAsia="宋体" w:cs="Times New Roman"/>
                      <w:bCs/>
                      <w:color w:val="auto"/>
                      <w:sz w:val="21"/>
                      <w:highlight w:val="none"/>
                      <w:lang w:val="en-US" w:eastAsia="zh-CN"/>
                    </w:rPr>
                    <w:t>i</w:t>
                  </w:r>
                  <w:r>
                    <w:rPr>
                      <w:rFonts w:hint="default" w:ascii="Times New Roman" w:hAnsi="Times New Roman" w:eastAsia="宋体" w:cs="Times New Roman"/>
                      <w:bCs/>
                      <w:color w:val="auto"/>
                      <w:sz w:val="21"/>
                      <w:highlight w:val="none"/>
                    </w:rPr>
                    <w:t>C</w:t>
                  </w:r>
                  <w:r>
                    <w:rPr>
                      <w:rFonts w:hint="default" w:ascii="Times New Roman" w:hAnsi="Times New Roman" w:eastAsia="宋体" w:cs="Times New Roman"/>
                      <w:bCs/>
                      <w:color w:val="auto"/>
                      <w:sz w:val="21"/>
                      <w:highlight w:val="none"/>
                      <w:vertAlign w:val="subscript"/>
                      <w:lang w:val="en-US" w:eastAsia="zh-CN"/>
                    </w:rPr>
                    <w:t>5</w:t>
                  </w:r>
                  <w:r>
                    <w:rPr>
                      <w:rFonts w:hint="default" w:ascii="Times New Roman" w:hAnsi="Times New Roman" w:eastAsia="宋体" w:cs="Times New Roman"/>
                      <w:bCs/>
                      <w:color w:val="auto"/>
                      <w:sz w:val="21"/>
                      <w:highlight w:val="none"/>
                    </w:rPr>
                    <w:t>H</w:t>
                  </w:r>
                  <w:r>
                    <w:rPr>
                      <w:rFonts w:hint="default" w:ascii="Times New Roman" w:hAnsi="Times New Roman" w:eastAsia="宋体" w:cs="Times New Roman"/>
                      <w:bCs/>
                      <w:color w:val="auto"/>
                      <w:sz w:val="21"/>
                      <w:highlight w:val="none"/>
                      <w:vertAlign w:val="subscript"/>
                      <w:lang w:val="en-US" w:eastAsia="zh-CN"/>
                    </w:rPr>
                    <w:t>12</w:t>
                  </w:r>
                </w:p>
              </w:tc>
              <w:tc>
                <w:tcPr>
                  <w:tcW w:w="2258"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0.0143</w:t>
                  </w:r>
                </w:p>
              </w:tc>
              <w:tc>
                <w:tcPr>
                  <w:tcW w:w="2487" w:type="dxa"/>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H</w:t>
                  </w:r>
                  <w:r>
                    <w:rPr>
                      <w:rFonts w:hint="default" w:ascii="Times New Roman" w:hAnsi="Times New Roman" w:eastAsia="宋体" w:cs="Times New Roman"/>
                      <w:bCs/>
                      <w:color w:val="auto"/>
                      <w:sz w:val="21"/>
                      <w:highlight w:val="none"/>
                      <w:vertAlign w:val="subscript"/>
                      <w:lang w:val="en-US" w:eastAsia="zh-CN"/>
                    </w:rPr>
                    <w:t>2</w:t>
                  </w:r>
                  <w:r>
                    <w:rPr>
                      <w:rFonts w:hint="default" w:ascii="Times New Roman" w:hAnsi="Times New Roman" w:eastAsia="宋体" w:cs="Times New Roman"/>
                      <w:bCs/>
                      <w:color w:val="auto"/>
                      <w:sz w:val="21"/>
                      <w:highlight w:val="none"/>
                      <w:lang w:val="en-US" w:eastAsia="zh-CN"/>
                    </w:rPr>
                    <w:t>O</w:t>
                  </w:r>
                </w:p>
              </w:tc>
              <w:tc>
                <w:tcPr>
                  <w:tcW w:w="2246" w:type="dxa"/>
                  <w:tcBorders>
                    <w:right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left w:val="single" w:color="auto" w:sz="4" w:space="0"/>
                  </w:tcBorders>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rPr>
                  </w:pPr>
                  <w:r>
                    <w:rPr>
                      <w:rFonts w:hint="default" w:ascii="Times New Roman" w:hAnsi="Times New Roman" w:eastAsia="宋体" w:cs="Times New Roman"/>
                      <w:bCs/>
                      <w:color w:val="auto"/>
                      <w:sz w:val="21"/>
                      <w:highlight w:val="none"/>
                      <w:lang w:val="en-US" w:eastAsia="zh-CN"/>
                    </w:rPr>
                    <w:t>n</w:t>
                  </w:r>
                  <w:r>
                    <w:rPr>
                      <w:rFonts w:hint="default" w:ascii="Times New Roman" w:hAnsi="Times New Roman" w:eastAsia="宋体" w:cs="Times New Roman"/>
                      <w:bCs/>
                      <w:color w:val="auto"/>
                      <w:sz w:val="21"/>
                      <w:highlight w:val="none"/>
                    </w:rPr>
                    <w:t>C</w:t>
                  </w:r>
                  <w:r>
                    <w:rPr>
                      <w:rFonts w:hint="default" w:ascii="Times New Roman" w:hAnsi="Times New Roman" w:eastAsia="宋体" w:cs="Times New Roman"/>
                      <w:bCs/>
                      <w:color w:val="auto"/>
                      <w:sz w:val="21"/>
                      <w:highlight w:val="none"/>
                      <w:vertAlign w:val="subscript"/>
                      <w:lang w:val="en-US" w:eastAsia="zh-CN"/>
                    </w:rPr>
                    <w:t>5</w:t>
                  </w:r>
                  <w:r>
                    <w:rPr>
                      <w:rFonts w:hint="default" w:ascii="Times New Roman" w:hAnsi="Times New Roman" w:eastAsia="宋体" w:cs="Times New Roman"/>
                      <w:bCs/>
                      <w:color w:val="auto"/>
                      <w:sz w:val="21"/>
                      <w:highlight w:val="none"/>
                    </w:rPr>
                    <w:t>H</w:t>
                  </w:r>
                  <w:r>
                    <w:rPr>
                      <w:rFonts w:hint="default" w:ascii="Times New Roman" w:hAnsi="Times New Roman" w:eastAsia="宋体" w:cs="Times New Roman"/>
                      <w:bCs/>
                      <w:color w:val="auto"/>
                      <w:sz w:val="21"/>
                      <w:highlight w:val="none"/>
                      <w:vertAlign w:val="subscript"/>
                      <w:lang w:val="en-US" w:eastAsia="zh-CN"/>
                    </w:rPr>
                    <w:t>12</w:t>
                  </w:r>
                </w:p>
              </w:tc>
              <w:tc>
                <w:tcPr>
                  <w:tcW w:w="2258"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0.0061</w:t>
                  </w:r>
                </w:p>
              </w:tc>
              <w:tc>
                <w:tcPr>
                  <w:tcW w:w="2487" w:type="dxa"/>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O</w:t>
                  </w:r>
                  <w:r>
                    <w:rPr>
                      <w:rFonts w:hint="default" w:ascii="Times New Roman" w:hAnsi="Times New Roman" w:eastAsia="宋体" w:cs="Times New Roman"/>
                      <w:bCs/>
                      <w:color w:val="auto"/>
                      <w:sz w:val="21"/>
                      <w:highlight w:val="none"/>
                      <w:vertAlign w:val="subscript"/>
                      <w:lang w:val="en-US" w:eastAsia="zh-CN"/>
                    </w:rPr>
                    <w:t>2</w:t>
                  </w:r>
                </w:p>
              </w:tc>
              <w:tc>
                <w:tcPr>
                  <w:tcW w:w="2246" w:type="dxa"/>
                  <w:tcBorders>
                    <w:right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left w:val="single" w:color="auto" w:sz="4" w:space="0"/>
                  </w:tcBorders>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C</w:t>
                  </w:r>
                  <w:r>
                    <w:rPr>
                      <w:rFonts w:hint="default" w:ascii="Times New Roman" w:hAnsi="Times New Roman" w:eastAsia="宋体" w:cs="Times New Roman"/>
                      <w:bCs/>
                      <w:color w:val="auto"/>
                      <w:sz w:val="21"/>
                      <w:highlight w:val="none"/>
                      <w:vertAlign w:val="subscript"/>
                      <w:lang w:val="en-US" w:eastAsia="zh-CN"/>
                    </w:rPr>
                    <w:t>6</w:t>
                  </w:r>
                  <w:r>
                    <w:rPr>
                      <w:rFonts w:hint="default" w:ascii="Times New Roman" w:hAnsi="Times New Roman" w:eastAsia="宋体" w:cs="Times New Roman"/>
                      <w:bCs/>
                      <w:color w:val="auto"/>
                      <w:sz w:val="21"/>
                      <w:highlight w:val="none"/>
                      <w:vertAlign w:val="superscript"/>
                      <w:lang w:val="en-US" w:eastAsia="zh-CN"/>
                    </w:rPr>
                    <w:t>+</w:t>
                  </w:r>
                </w:p>
              </w:tc>
              <w:tc>
                <w:tcPr>
                  <w:tcW w:w="2258"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0.0023</w:t>
                  </w:r>
                </w:p>
              </w:tc>
              <w:tc>
                <w:tcPr>
                  <w:tcW w:w="2487" w:type="dxa"/>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总硫（以S计）（mg/m</w:t>
                  </w:r>
                  <w:r>
                    <w:rPr>
                      <w:rFonts w:hint="default" w:ascii="Times New Roman" w:hAnsi="Times New Roman" w:eastAsia="宋体" w:cs="Times New Roman"/>
                      <w:bCs/>
                      <w:color w:val="auto"/>
                      <w:sz w:val="21"/>
                      <w:highlight w:val="none"/>
                      <w:vertAlign w:val="superscript"/>
                      <w:lang w:val="en-US" w:eastAsia="zh-CN"/>
                    </w:rPr>
                    <w:t>3</w:t>
                  </w:r>
                  <w:r>
                    <w:rPr>
                      <w:rFonts w:hint="default" w:ascii="Times New Roman" w:hAnsi="Times New Roman" w:eastAsia="宋体" w:cs="Times New Roman"/>
                      <w:bCs/>
                      <w:color w:val="auto"/>
                      <w:sz w:val="21"/>
                      <w:highlight w:val="none"/>
                      <w:lang w:val="en-US" w:eastAsia="zh-CN"/>
                    </w:rPr>
                    <w:t>）</w:t>
                  </w:r>
                </w:p>
              </w:tc>
              <w:tc>
                <w:tcPr>
                  <w:tcW w:w="2246" w:type="dxa"/>
                  <w:tcBorders>
                    <w:right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left w:val="single" w:color="auto" w:sz="4" w:space="0"/>
                  </w:tcBorders>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总烃</w:t>
                  </w:r>
                </w:p>
              </w:tc>
              <w:tc>
                <w:tcPr>
                  <w:tcW w:w="2258"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97.9936</w:t>
                  </w:r>
                </w:p>
              </w:tc>
              <w:tc>
                <w:tcPr>
                  <w:tcW w:w="2487" w:type="dxa"/>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非烃类</w:t>
                  </w:r>
                </w:p>
              </w:tc>
              <w:tc>
                <w:tcPr>
                  <w:tcW w:w="2246" w:type="dxa"/>
                  <w:tcBorders>
                    <w:right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6" w:type="dxa"/>
                  <w:tcBorders>
                    <w:left w:val="single" w:color="auto" w:sz="4" w:space="0"/>
                  </w:tcBorders>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相对密度</w:t>
                  </w:r>
                </w:p>
              </w:tc>
              <w:tc>
                <w:tcPr>
                  <w:tcW w:w="2258"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0.5792</w:t>
                  </w:r>
                </w:p>
              </w:tc>
              <w:tc>
                <w:tcPr>
                  <w:tcW w:w="2487" w:type="dxa"/>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密度（kg/m</w:t>
                  </w:r>
                  <w:r>
                    <w:rPr>
                      <w:rFonts w:hint="default" w:ascii="Times New Roman" w:hAnsi="Times New Roman" w:eastAsia="宋体" w:cs="Times New Roman"/>
                      <w:bCs/>
                      <w:color w:val="auto"/>
                      <w:sz w:val="21"/>
                      <w:highlight w:val="none"/>
                      <w:vertAlign w:val="superscript"/>
                      <w:lang w:val="en-US" w:eastAsia="zh-CN"/>
                    </w:rPr>
                    <w:t>3</w:t>
                  </w:r>
                  <w:r>
                    <w:rPr>
                      <w:rFonts w:hint="default" w:ascii="Times New Roman" w:hAnsi="Times New Roman" w:eastAsia="宋体" w:cs="Times New Roman"/>
                      <w:bCs/>
                      <w:color w:val="auto"/>
                      <w:sz w:val="21"/>
                      <w:highlight w:val="none"/>
                      <w:lang w:val="en-US" w:eastAsia="zh-CN"/>
                    </w:rPr>
                    <w:t>）</w:t>
                  </w:r>
                </w:p>
              </w:tc>
              <w:tc>
                <w:tcPr>
                  <w:tcW w:w="2246" w:type="dxa"/>
                  <w:tcBorders>
                    <w:right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0.6976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44" w:type="dxa"/>
                  <w:gridSpan w:val="2"/>
                  <w:tcBorders>
                    <w:left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rPr>
                  </w:pPr>
                  <w:r>
                    <w:rPr>
                      <w:rFonts w:hint="default" w:ascii="Times New Roman" w:hAnsi="Times New Roman" w:eastAsia="宋体" w:cs="Times New Roman"/>
                      <w:bCs/>
                      <w:color w:val="auto"/>
                      <w:sz w:val="21"/>
                      <w:highlight w:val="none"/>
                      <w:lang w:val="en-US" w:eastAsia="zh-CN"/>
                    </w:rPr>
                    <w:t>高位发热量（MJ/m</w:t>
                  </w:r>
                  <w:r>
                    <w:rPr>
                      <w:rFonts w:hint="default" w:ascii="Times New Roman" w:hAnsi="Times New Roman" w:eastAsia="宋体" w:cs="Times New Roman"/>
                      <w:bCs/>
                      <w:color w:val="auto"/>
                      <w:sz w:val="21"/>
                      <w:highlight w:val="none"/>
                      <w:vertAlign w:val="superscript"/>
                      <w:lang w:val="en-US" w:eastAsia="zh-CN"/>
                    </w:rPr>
                    <w:t>3</w:t>
                  </w:r>
                  <w:r>
                    <w:rPr>
                      <w:rFonts w:hint="default" w:ascii="Times New Roman" w:hAnsi="Times New Roman" w:eastAsia="宋体" w:cs="Times New Roman"/>
                      <w:bCs/>
                      <w:color w:val="auto"/>
                      <w:sz w:val="21"/>
                      <w:highlight w:val="none"/>
                      <w:lang w:val="en-US" w:eastAsia="zh-CN"/>
                    </w:rPr>
                    <w:t>）（≥34.0）</w:t>
                  </w:r>
                </w:p>
              </w:tc>
              <w:tc>
                <w:tcPr>
                  <w:tcW w:w="4733" w:type="dxa"/>
                  <w:gridSpan w:val="2"/>
                  <w:tcBorders>
                    <w:right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36.85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44" w:type="dxa"/>
                  <w:gridSpan w:val="2"/>
                  <w:tcBorders>
                    <w:left w:val="single" w:color="auto" w:sz="4" w:space="0"/>
                    <w:bottom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rPr>
                  </w:pPr>
                  <w:r>
                    <w:rPr>
                      <w:rFonts w:hint="default" w:ascii="Times New Roman" w:hAnsi="Times New Roman" w:eastAsia="宋体" w:cs="Times New Roman"/>
                      <w:bCs/>
                      <w:color w:val="auto"/>
                      <w:sz w:val="21"/>
                      <w:highlight w:val="none"/>
                      <w:lang w:val="en-US" w:eastAsia="zh-CN"/>
                    </w:rPr>
                    <w:t>低位发热量（MJ/m</w:t>
                  </w:r>
                  <w:r>
                    <w:rPr>
                      <w:rFonts w:hint="default" w:ascii="Times New Roman" w:hAnsi="Times New Roman" w:eastAsia="宋体" w:cs="Times New Roman"/>
                      <w:bCs/>
                      <w:color w:val="auto"/>
                      <w:sz w:val="21"/>
                      <w:highlight w:val="none"/>
                      <w:vertAlign w:val="superscript"/>
                      <w:lang w:val="en-US" w:eastAsia="zh-CN"/>
                    </w:rPr>
                    <w:t>3</w:t>
                  </w:r>
                  <w:r>
                    <w:rPr>
                      <w:rFonts w:hint="default" w:ascii="Times New Roman" w:hAnsi="Times New Roman" w:eastAsia="宋体" w:cs="Times New Roman"/>
                      <w:bCs/>
                      <w:color w:val="auto"/>
                      <w:sz w:val="21"/>
                      <w:highlight w:val="none"/>
                      <w:lang w:val="en-US" w:eastAsia="zh-CN"/>
                    </w:rPr>
                    <w:t>）</w:t>
                  </w:r>
                </w:p>
              </w:tc>
              <w:tc>
                <w:tcPr>
                  <w:tcW w:w="4733" w:type="dxa"/>
                  <w:gridSpan w:val="2"/>
                  <w:tcBorders>
                    <w:bottom w:val="single" w:color="auto" w:sz="4" w:space="0"/>
                    <w:right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sz w:val="21"/>
                      <w:highlight w:val="none"/>
                      <w:lang w:val="en-US" w:eastAsia="zh-CN"/>
                    </w:rPr>
                  </w:pPr>
                  <w:r>
                    <w:rPr>
                      <w:rFonts w:hint="default" w:ascii="Times New Roman" w:hAnsi="Times New Roman" w:eastAsia="宋体" w:cs="Times New Roman"/>
                      <w:bCs/>
                      <w:color w:val="auto"/>
                      <w:sz w:val="21"/>
                      <w:highlight w:val="none"/>
                      <w:lang w:val="en-US" w:eastAsia="zh-CN"/>
                    </w:rPr>
                    <w:t>33.21</w:t>
                  </w:r>
                </w:p>
              </w:tc>
            </w:tr>
          </w:tbl>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5、劳动定员及工作制度</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本项目劳动定员为</w:t>
            </w:r>
            <w:r>
              <w:rPr>
                <w:rFonts w:hint="default" w:ascii="Times New Roman" w:hAnsi="Times New Roman" w:eastAsia="宋体" w:cs="Times New Roman"/>
                <w:bCs/>
                <w:color w:val="auto"/>
                <w:highlight w:val="none"/>
                <w:lang w:val="en-US" w:eastAsia="zh-CN"/>
              </w:rPr>
              <w:t>50</w:t>
            </w:r>
            <w:r>
              <w:rPr>
                <w:rFonts w:hint="default" w:ascii="Times New Roman" w:hAnsi="Times New Roman" w:eastAsia="宋体" w:cs="Times New Roman"/>
                <w:bCs/>
                <w:color w:val="auto"/>
                <w:highlight w:val="none"/>
              </w:rPr>
              <w:t>人，全年工作300天，实行三班两倒，每班工作8h，全天工作24h，全年工作时间为7200h。</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6、公用工程</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6.1给水</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本项目用水由园区供水管网供给。用水</w:t>
            </w:r>
            <w:r>
              <w:rPr>
                <w:rFonts w:hint="default" w:ascii="Times New Roman" w:hAnsi="Times New Roman" w:eastAsia="宋体" w:cs="Times New Roman"/>
                <w:color w:val="auto"/>
                <w:highlight w:val="none"/>
                <w:lang w:val="en-US" w:eastAsia="zh-CN"/>
              </w:rPr>
              <w:t>环节</w:t>
            </w:r>
            <w:r>
              <w:rPr>
                <w:rFonts w:hint="default" w:ascii="Times New Roman" w:hAnsi="Times New Roman" w:eastAsia="宋体" w:cs="Times New Roman"/>
                <w:color w:val="auto"/>
                <w:highlight w:val="none"/>
              </w:rPr>
              <w:t>主要</w:t>
            </w:r>
            <w:r>
              <w:rPr>
                <w:rFonts w:hint="default" w:ascii="Times New Roman" w:hAnsi="Times New Roman" w:eastAsia="宋体" w:cs="Times New Roman"/>
                <w:color w:val="auto"/>
                <w:highlight w:val="none"/>
                <w:lang w:val="en-US" w:eastAsia="zh-CN"/>
              </w:rPr>
              <w:t>为</w:t>
            </w:r>
            <w:r>
              <w:rPr>
                <w:rFonts w:hint="default" w:ascii="Times New Roman" w:hAnsi="Times New Roman" w:eastAsia="宋体" w:cs="Times New Roman"/>
                <w:color w:val="auto"/>
                <w:highlight w:val="none"/>
              </w:rPr>
              <w:t>生活用水、</w:t>
            </w:r>
            <w:r>
              <w:rPr>
                <w:rFonts w:hint="default" w:ascii="Times New Roman" w:hAnsi="Times New Roman" w:eastAsia="宋体" w:cs="Times New Roman"/>
                <w:color w:val="auto"/>
                <w:highlight w:val="none"/>
                <w:lang w:eastAsia="zh-CN"/>
              </w:rPr>
              <w:t>水膜除尘器补水</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感应炉循环冷却系统补水</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（1）生活用水</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根据《内蒙古自治区行业用水定额》（</w:t>
            </w:r>
            <w:r>
              <w:rPr>
                <w:rFonts w:hint="default" w:ascii="Times New Roman" w:hAnsi="Times New Roman" w:eastAsia="宋体" w:cs="Times New Roman"/>
                <w:color w:val="auto"/>
                <w:highlight w:val="none"/>
                <w:lang w:eastAsia="zh-CN"/>
              </w:rPr>
              <w:t>DB15/T385-2020</w:t>
            </w:r>
            <w:r>
              <w:rPr>
                <w:rFonts w:hint="default" w:ascii="Times New Roman" w:hAnsi="Times New Roman" w:eastAsia="宋体" w:cs="Times New Roman"/>
                <w:color w:val="auto"/>
                <w:highlight w:val="none"/>
              </w:rPr>
              <w:t>），生活用水定额为</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0L/人</w:t>
            </w:r>
            <w:r>
              <w:rPr>
                <w:rFonts w:hint="default" w:ascii="Times New Roman" w:hAnsi="Times New Roman" w:eastAsia="宋体" w:cs="Times New Roman"/>
                <w:color w:val="auto"/>
                <w:highlight w:val="none"/>
                <w:lang w:val="en-US" w:eastAsia="zh-CN"/>
              </w:rPr>
              <w:t>·d</w:t>
            </w:r>
            <w:r>
              <w:rPr>
                <w:rFonts w:hint="default" w:ascii="Times New Roman" w:hAnsi="Times New Roman" w:eastAsia="宋体" w:cs="Times New Roman"/>
                <w:color w:val="auto"/>
                <w:highlight w:val="none"/>
              </w:rPr>
              <w:t>，本项目劳动定员为</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0人，</w:t>
            </w:r>
            <w:r>
              <w:rPr>
                <w:rFonts w:hint="default" w:ascii="Times New Roman" w:hAnsi="Times New Roman" w:eastAsia="宋体" w:cs="Times New Roman"/>
                <w:bCs/>
                <w:color w:val="auto"/>
                <w:highlight w:val="none"/>
              </w:rPr>
              <w:t>全年工作300天，</w:t>
            </w:r>
            <w:r>
              <w:rPr>
                <w:rFonts w:hint="default" w:ascii="Times New Roman" w:hAnsi="Times New Roman" w:eastAsia="宋体" w:cs="Times New Roman"/>
                <w:color w:val="auto"/>
                <w:highlight w:val="none"/>
              </w:rPr>
              <w:t>则年用水量</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val="en-US" w:eastAsia="zh-CN"/>
              </w:rPr>
              <w:t>90</w:t>
            </w:r>
            <w:r>
              <w:rPr>
                <w:rFonts w:hint="default" w:ascii="Times New Roman" w:hAnsi="Times New Roman" w:eastAsia="宋体" w:cs="Times New Roman"/>
                <w:color w:val="auto"/>
                <w:highlight w:val="none"/>
              </w:rPr>
              <w:t>0m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p>
          <w:p>
            <w:pPr>
              <w:pStyle w:val="15"/>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highlight w:val="none"/>
                <w:lang w:eastAsia="zh-CN"/>
              </w:rPr>
              <w:t>水膜除尘器补水</w:t>
            </w:r>
          </w:p>
          <w:p>
            <w:pPr>
              <w:pStyle w:val="15"/>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本项目设置1台水膜除尘器用于处理天然气燃烧废气和烘干废气，水膜除尘器循环水与废气直接接触时，由于废气热量的作用成为水蒸气随烟气外排。类比相同企业，</w:t>
            </w:r>
            <w:r>
              <w:rPr>
                <w:rFonts w:hint="default" w:ascii="Times New Roman" w:hAnsi="Times New Roman" w:eastAsia="宋体" w:cs="Times New Roman"/>
                <w:color w:val="auto"/>
                <w:highlight w:val="none"/>
                <w:lang w:eastAsia="zh-CN"/>
              </w:rPr>
              <w:t>水膜除尘器</w:t>
            </w:r>
            <w:r>
              <w:rPr>
                <w:rFonts w:hint="default" w:ascii="Times New Roman" w:hAnsi="Times New Roman" w:eastAsia="宋体" w:cs="Times New Roman"/>
                <w:color w:val="auto"/>
                <w:sz w:val="24"/>
                <w:szCs w:val="24"/>
                <w:highlight w:val="none"/>
                <w:lang w:val="en-US" w:eastAsia="zh-CN"/>
              </w:rPr>
              <w:t>循环水量为60m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default" w:ascii="Times New Roman" w:hAnsi="Times New Roman" w:eastAsia="宋体" w:cs="Times New Roman"/>
                <w:color w:val="auto"/>
                <w:highlight w:val="none"/>
                <w:lang w:eastAsia="zh-CN"/>
              </w:rPr>
              <w:t>损失量按循环量的</w:t>
            </w:r>
            <w:r>
              <w:rPr>
                <w:rFonts w:hint="default" w:ascii="Times New Roman" w:hAnsi="Times New Roman" w:eastAsia="宋体" w:cs="Times New Roman"/>
                <w:color w:val="auto"/>
                <w:highlight w:val="none"/>
                <w:lang w:val="en-US" w:eastAsia="zh-CN"/>
              </w:rPr>
              <w:t>2%计算，则损失量为1.2</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定期补充水，</w:t>
            </w:r>
            <w:r>
              <w:rPr>
                <w:rFonts w:hint="default" w:ascii="Times New Roman" w:hAnsi="Times New Roman" w:eastAsia="宋体" w:cs="Times New Roman"/>
                <w:bCs/>
                <w:color w:val="auto"/>
                <w:highlight w:val="none"/>
              </w:rPr>
              <w:t>全年工作300天，</w:t>
            </w:r>
            <w:r>
              <w:rPr>
                <w:rFonts w:hint="default" w:ascii="Times New Roman" w:hAnsi="Times New Roman" w:eastAsia="宋体" w:cs="Times New Roman"/>
                <w:color w:val="auto"/>
                <w:highlight w:val="none"/>
                <w:lang w:val="en-US" w:eastAsia="zh-CN"/>
              </w:rPr>
              <w:t>则水膜除尘器补水</w:t>
            </w:r>
            <w:r>
              <w:rPr>
                <w:rFonts w:hint="default" w:ascii="Times New Roman" w:hAnsi="Times New Roman" w:eastAsia="宋体" w:cs="Times New Roman"/>
                <w:color w:val="auto"/>
                <w:highlight w:val="none"/>
              </w:rPr>
              <w:t>量为</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d</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36</w:t>
            </w:r>
            <w:r>
              <w:rPr>
                <w:rFonts w:hint="default" w:ascii="Times New Roman" w:hAnsi="Times New Roman" w:eastAsia="宋体" w:cs="Times New Roman"/>
                <w:color w:val="auto"/>
                <w:highlight w:val="none"/>
              </w:rPr>
              <w:t>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p>
          <w:p>
            <w:pPr>
              <w:pStyle w:val="15"/>
              <w:spacing w:line="360" w:lineRule="auto"/>
              <w:ind w:firstLine="480" w:firstLineChars="200"/>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感应炉</w:t>
            </w:r>
            <w:r>
              <w:rPr>
                <w:rFonts w:hint="default" w:ascii="Times New Roman" w:hAnsi="Times New Roman" w:eastAsia="宋体" w:cs="Times New Roman"/>
                <w:color w:val="auto"/>
                <w:highlight w:val="none"/>
                <w:lang w:eastAsia="zh-CN"/>
              </w:rPr>
              <w:t>循环冷却系统</w:t>
            </w:r>
            <w:r>
              <w:rPr>
                <w:rFonts w:hint="default" w:ascii="Times New Roman" w:hAnsi="Times New Roman" w:eastAsia="宋体" w:cs="Times New Roman"/>
                <w:color w:val="auto"/>
                <w:highlight w:val="none"/>
              </w:rPr>
              <w:t>补水</w:t>
            </w:r>
          </w:p>
          <w:p>
            <w:pPr>
              <w:pStyle w:val="15"/>
              <w:spacing w:line="360" w:lineRule="auto"/>
              <w:ind w:firstLine="480" w:firstLineChars="200"/>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Cs w:val="24"/>
                <w:highlight w:val="none"/>
                <w:lang w:val="en-US" w:eastAsia="zh-CN"/>
              </w:rPr>
              <w:t>本项目3台</w:t>
            </w:r>
            <w:r>
              <w:rPr>
                <w:rFonts w:hint="default" w:ascii="Times New Roman" w:hAnsi="Times New Roman" w:eastAsia="宋体" w:cs="Times New Roman"/>
                <w:color w:val="auto"/>
                <w:highlight w:val="none"/>
                <w:lang w:val="en-US" w:eastAsia="zh-CN"/>
              </w:rPr>
              <w:t>感应炉</w:t>
            </w:r>
            <w:r>
              <w:rPr>
                <w:rFonts w:hint="default" w:ascii="Times New Roman" w:hAnsi="Times New Roman" w:eastAsia="宋体" w:cs="Times New Roman"/>
                <w:color w:val="auto"/>
                <w:sz w:val="24"/>
                <w:highlight w:val="none"/>
              </w:rPr>
              <w:t>在</w:t>
            </w:r>
            <w:r>
              <w:rPr>
                <w:rFonts w:hint="default" w:ascii="Times New Roman" w:hAnsi="Times New Roman" w:eastAsia="宋体" w:cs="Times New Roman"/>
                <w:color w:val="auto"/>
                <w:sz w:val="24"/>
                <w:highlight w:val="none"/>
                <w:lang w:eastAsia="zh-CN"/>
              </w:rPr>
              <w:t>熔化</w:t>
            </w:r>
            <w:r>
              <w:rPr>
                <w:rFonts w:hint="default" w:ascii="Times New Roman" w:hAnsi="Times New Roman" w:eastAsia="宋体" w:cs="Times New Roman"/>
                <w:color w:val="auto"/>
                <w:sz w:val="24"/>
                <w:highlight w:val="none"/>
              </w:rPr>
              <w:t>过程中，需</w:t>
            </w:r>
            <w:r>
              <w:rPr>
                <w:rFonts w:hint="default" w:ascii="Times New Roman" w:hAnsi="Times New Roman" w:eastAsia="宋体" w:cs="Times New Roman"/>
                <w:color w:val="auto"/>
                <w:sz w:val="24"/>
                <w:highlight w:val="none"/>
                <w:lang w:val="en-US" w:eastAsia="zh-CN"/>
              </w:rPr>
              <w:t>采用水</w:t>
            </w:r>
            <w:r>
              <w:rPr>
                <w:rFonts w:hint="default" w:ascii="Times New Roman" w:hAnsi="Times New Roman" w:eastAsia="宋体" w:cs="Times New Roman"/>
                <w:color w:val="auto"/>
                <w:sz w:val="24"/>
                <w:highlight w:val="none"/>
              </w:rPr>
              <w:t>对</w:t>
            </w:r>
            <w:r>
              <w:rPr>
                <w:rFonts w:hint="default" w:ascii="Times New Roman" w:hAnsi="Times New Roman" w:eastAsia="宋体" w:cs="Times New Roman"/>
                <w:color w:val="auto"/>
                <w:sz w:val="24"/>
                <w:highlight w:val="none"/>
                <w:lang w:eastAsia="zh-CN"/>
              </w:rPr>
              <w:t>炉体</w:t>
            </w:r>
            <w:r>
              <w:rPr>
                <w:rFonts w:hint="default" w:ascii="Times New Roman" w:hAnsi="Times New Roman" w:eastAsia="宋体" w:cs="Times New Roman"/>
                <w:color w:val="auto"/>
                <w:sz w:val="24"/>
                <w:highlight w:val="none"/>
              </w:rPr>
              <w:t>进行冷却，冷却水沿</w:t>
            </w:r>
            <w:r>
              <w:rPr>
                <w:rFonts w:hint="default" w:ascii="Times New Roman" w:hAnsi="Times New Roman" w:eastAsia="宋体" w:cs="Times New Roman"/>
                <w:color w:val="auto"/>
                <w:sz w:val="24"/>
                <w:highlight w:val="none"/>
                <w:lang w:eastAsia="zh-CN"/>
              </w:rPr>
              <w:t>炉体</w:t>
            </w:r>
            <w:r>
              <w:rPr>
                <w:rFonts w:hint="default" w:ascii="Times New Roman" w:hAnsi="Times New Roman" w:eastAsia="宋体" w:cs="Times New Roman"/>
                <w:color w:val="auto"/>
                <w:sz w:val="24"/>
                <w:highlight w:val="none"/>
              </w:rPr>
              <w:t>四周围绕流动，</w:t>
            </w:r>
            <w:r>
              <w:rPr>
                <w:rFonts w:hint="default" w:ascii="Times New Roman" w:hAnsi="Times New Roman" w:eastAsia="宋体" w:cs="Times New Roman"/>
                <w:color w:val="auto"/>
                <w:sz w:val="24"/>
                <w:szCs w:val="24"/>
                <w:highlight w:val="none"/>
                <w:lang w:val="en-US" w:eastAsia="zh-CN"/>
              </w:rPr>
              <w:t>循环水量为150m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default" w:ascii="Times New Roman" w:hAnsi="Times New Roman" w:eastAsia="宋体" w:cs="Times New Roman"/>
                <w:color w:val="auto"/>
                <w:highlight w:val="none"/>
              </w:rPr>
              <w:t>主要通过蒸发损失，</w:t>
            </w:r>
            <w:r>
              <w:rPr>
                <w:rFonts w:hint="default" w:ascii="Times New Roman" w:hAnsi="Times New Roman" w:eastAsia="宋体" w:cs="Times New Roman"/>
                <w:color w:val="auto"/>
                <w:highlight w:val="none"/>
                <w:lang w:eastAsia="zh-CN"/>
              </w:rPr>
              <w:t>损失量按循环量的</w:t>
            </w:r>
            <w:r>
              <w:rPr>
                <w:rFonts w:hint="default" w:ascii="Times New Roman" w:hAnsi="Times New Roman" w:eastAsia="宋体" w:cs="Times New Roman"/>
                <w:color w:val="auto"/>
                <w:highlight w:val="none"/>
                <w:lang w:val="en-US" w:eastAsia="zh-CN"/>
              </w:rPr>
              <w:t>5%计算，则损失量为7.5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bCs/>
                <w:color w:val="auto"/>
                <w:highlight w:val="none"/>
              </w:rPr>
              <w:t>全年工作300天</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定期补充水，</w:t>
            </w:r>
            <w:r>
              <w:rPr>
                <w:rFonts w:hint="default" w:ascii="Times New Roman" w:hAnsi="Times New Roman" w:eastAsia="宋体" w:cs="Times New Roman"/>
                <w:color w:val="auto"/>
                <w:highlight w:val="none"/>
                <w:lang w:val="en-US" w:eastAsia="zh-CN"/>
              </w:rPr>
              <w:t>则感应炉循环冷却系统补水</w:t>
            </w:r>
            <w:r>
              <w:rPr>
                <w:rFonts w:hint="default" w:ascii="Times New Roman" w:hAnsi="Times New Roman" w:eastAsia="宋体" w:cs="Times New Roman"/>
                <w:color w:val="auto"/>
                <w:highlight w:val="none"/>
              </w:rPr>
              <w:t>量为</w:t>
            </w:r>
            <w:r>
              <w:rPr>
                <w:rFonts w:hint="default" w:ascii="Times New Roman" w:hAnsi="Times New Roman" w:eastAsia="宋体" w:cs="Times New Roman"/>
                <w:color w:val="auto"/>
                <w:highlight w:val="none"/>
                <w:lang w:val="en-US" w:eastAsia="zh-CN"/>
              </w:rPr>
              <w:t>7.5</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d</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2250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综上所述，项目运营期新鲜水总用量为</w:t>
            </w:r>
            <w:r>
              <w:rPr>
                <w:rFonts w:hint="default" w:ascii="Times New Roman" w:hAnsi="Times New Roman" w:eastAsia="宋体" w:cs="Times New Roman"/>
                <w:color w:val="auto"/>
                <w:highlight w:val="none"/>
                <w:lang w:val="en-US" w:eastAsia="zh-CN"/>
              </w:rPr>
              <w:t>11.7</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val="en-US" w:eastAsia="zh-CN"/>
              </w:rPr>
              <w:t>3510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6.2排水</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本项目运营期废水主要为生活污水</w:t>
            </w:r>
            <w:r>
              <w:rPr>
                <w:rFonts w:hint="default" w:ascii="Times New Roman" w:hAnsi="Times New Roman" w:eastAsia="宋体" w:cs="Times New Roman"/>
                <w:color w:val="auto"/>
                <w:highlight w:val="none"/>
                <w:lang w:eastAsia="zh-CN"/>
              </w:rPr>
              <w:t>、水膜除尘器</w:t>
            </w:r>
            <w:r>
              <w:rPr>
                <w:rFonts w:hint="default" w:ascii="Times New Roman" w:hAnsi="Times New Roman" w:eastAsia="宋体" w:cs="Times New Roman"/>
                <w:color w:val="auto"/>
                <w:highlight w:val="none"/>
              </w:rPr>
              <w:t>循环</w:t>
            </w:r>
            <w:r>
              <w:rPr>
                <w:rFonts w:hint="default" w:ascii="Times New Roman" w:hAnsi="Times New Roman" w:eastAsia="宋体" w:cs="Times New Roman"/>
                <w:color w:val="auto"/>
                <w:highlight w:val="none"/>
                <w:lang w:val="en-US" w:eastAsia="zh-CN"/>
              </w:rPr>
              <w:t>废水、感应炉循环冷却系统循环水</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（1）生活污水</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生活污水产生量为生活用水的80%，则生活污水的产生量为</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val="en-US" w:eastAsia="zh-CN"/>
              </w:rPr>
              <w:t>720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eastAsia="zh-CN"/>
              </w:rPr>
              <w:t>生活污水排入厂区现有化粪池处理后，经园区污水管网进入乌拉特前旗工业园区污水处理厂</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）水膜除尘器</w:t>
            </w:r>
            <w:r>
              <w:rPr>
                <w:rFonts w:hint="default" w:ascii="Times New Roman" w:hAnsi="Times New Roman" w:eastAsia="宋体" w:cs="Times New Roman"/>
                <w:color w:val="auto"/>
                <w:highlight w:val="none"/>
              </w:rPr>
              <w:t>循环</w:t>
            </w:r>
            <w:r>
              <w:rPr>
                <w:rFonts w:hint="default" w:ascii="Times New Roman" w:hAnsi="Times New Roman" w:eastAsia="宋体" w:cs="Times New Roman"/>
                <w:color w:val="auto"/>
                <w:highlight w:val="none"/>
                <w:lang w:val="en-US" w:eastAsia="zh-CN"/>
              </w:rPr>
              <w:t>废水</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水膜除尘器循环废水</w:t>
            </w:r>
            <w:r>
              <w:rPr>
                <w:rFonts w:hint="default" w:ascii="Times New Roman" w:hAnsi="Times New Roman" w:eastAsia="宋体" w:cs="Times New Roman"/>
                <w:color w:val="auto"/>
                <w:highlight w:val="none"/>
              </w:rPr>
              <w:t>循环使用，不外排</w:t>
            </w:r>
            <w:r>
              <w:rPr>
                <w:rFonts w:hint="default" w:ascii="Times New Roman" w:hAnsi="Times New Roman" w:eastAsia="宋体" w:cs="Times New Roman"/>
                <w:color w:val="auto"/>
                <w:highlight w:val="none"/>
                <w:lang w:val="en-US" w:eastAsia="zh-CN"/>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（3）感应炉循环冷却系统循环水</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感应炉循环冷却系统循环水排入冷却水箱内，采用风扇制冷后循环使用，不外排</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水平衡图见下图。</w:t>
            </w: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sz w:val="24"/>
                <w:highlight w:val="none"/>
              </w:rPr>
              <w:object>
                <v:shape id="_x0000_i1025" o:spt="75" type="#_x0000_t75" style="height:173.45pt;width:413.85pt;" o:ole="t" filled="f" o:preferrelative="t" stroked="f" coordsize="21600,21600">
                  <v:path/>
                  <v:fill on="f" focussize="0,0"/>
                  <v:stroke on="f"/>
                  <v:imagedata r:id="rId23" o:title=""/>
                  <o:lock v:ext="edit" aspectratio="t"/>
                  <w10:wrap type="none"/>
                  <w10:anchorlock/>
                </v:shape>
                <o:OLEObject Type="Embed" ProgID="Visio.Drawing.11" ShapeID="_x0000_i1025" DrawAspect="Content" ObjectID="_1468075725" r:id="rId22">
                  <o:LockedField>false</o:LockedField>
                </o:OLEObject>
              </w:object>
            </w:r>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图2-</w:t>
            </w: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rPr>
              <w:t>水平衡图（单位：m</w:t>
            </w:r>
            <w:r>
              <w:rPr>
                <w:rFonts w:hint="default" w:ascii="Times New Roman" w:hAnsi="Times New Roman" w:eastAsia="宋体" w:cs="Times New Roman"/>
                <w:b/>
                <w:bCs/>
                <w:color w:val="auto"/>
                <w:highlight w:val="none"/>
                <w:vertAlign w:val="superscript"/>
              </w:rPr>
              <w:t>3</w:t>
            </w:r>
            <w:r>
              <w:rPr>
                <w:rFonts w:hint="default" w:ascii="Times New Roman" w:hAnsi="Times New Roman" w:eastAsia="宋体" w:cs="Times New Roman"/>
                <w:b/>
                <w:bCs/>
                <w:color w:val="auto"/>
                <w:highlight w:val="none"/>
              </w:rPr>
              <w:t>/d）</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7、供电</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供电由园区供电管网供给，年用电量为</w:t>
            </w:r>
            <w:r>
              <w:rPr>
                <w:rFonts w:hint="default" w:ascii="Times New Roman" w:hAnsi="Times New Roman" w:eastAsia="宋体" w:cs="Times New Roman"/>
                <w:color w:val="auto"/>
                <w:highlight w:val="none"/>
                <w:lang w:eastAsia="zh-CN"/>
              </w:rPr>
              <w:t>1624.60</w:t>
            </w: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vertAlign w:val="superscript"/>
              </w:rPr>
              <w:t>4</w:t>
            </w:r>
            <w:r>
              <w:rPr>
                <w:rFonts w:hint="default" w:ascii="Times New Roman" w:hAnsi="Times New Roman" w:eastAsia="宋体" w:cs="Times New Roman"/>
                <w:color w:val="auto"/>
                <w:highlight w:val="none"/>
              </w:rPr>
              <w:t>kWh。</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8、供热</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本项目冬季供暖由1台</w:t>
            </w:r>
            <w:r>
              <w:rPr>
                <w:rFonts w:hint="default" w:ascii="Times New Roman" w:hAnsi="Times New Roman" w:eastAsia="宋体" w:cs="Times New Roman"/>
                <w:color w:val="auto"/>
                <w:highlight w:val="none"/>
                <w:lang w:val="en-US" w:eastAsia="zh-CN"/>
              </w:rPr>
              <w:t>电空气能供暖设备</w:t>
            </w:r>
            <w:r>
              <w:rPr>
                <w:rFonts w:hint="default" w:ascii="Times New Roman" w:hAnsi="Times New Roman" w:eastAsia="宋体" w:cs="Times New Roman"/>
                <w:color w:val="auto"/>
                <w:highlight w:val="none"/>
              </w:rPr>
              <w:t>供给。</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9、平面布置</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本项目位于内蒙古巴彦淖尔市乌拉特前旗工业园区内，其</w:t>
            </w:r>
            <w:r>
              <w:rPr>
                <w:rFonts w:hint="default" w:ascii="Times New Roman" w:hAnsi="Times New Roman" w:eastAsia="宋体" w:cs="Times New Roman"/>
                <w:bCs/>
                <w:color w:val="auto"/>
                <w:highlight w:val="none"/>
              </w:rPr>
              <w:t>平面布置根据生产特点，结合地形、地质等自然情况，并依据防火、消防、安全、环保卫生等规范，本着节约用地、经济合理的原则进行总平面布置。在总平面布置时大致分成两个区域：生产</w:t>
            </w:r>
            <w:r>
              <w:rPr>
                <w:rFonts w:hint="default" w:ascii="Times New Roman" w:hAnsi="Times New Roman" w:eastAsia="宋体" w:cs="Times New Roman"/>
                <w:bCs/>
                <w:color w:val="auto"/>
                <w:highlight w:val="none"/>
                <w:lang w:val="en-US" w:eastAsia="zh-CN"/>
              </w:rPr>
              <w:t>车间和办公区域，</w:t>
            </w:r>
            <w:r>
              <w:rPr>
                <w:rFonts w:hint="default" w:ascii="Times New Roman" w:hAnsi="Times New Roman" w:eastAsia="宋体" w:cs="Times New Roman"/>
                <w:bCs/>
                <w:color w:val="auto"/>
                <w:highlight w:val="none"/>
              </w:rPr>
              <w:t>生产</w:t>
            </w:r>
            <w:r>
              <w:rPr>
                <w:rFonts w:hint="default" w:ascii="Times New Roman" w:hAnsi="Times New Roman" w:eastAsia="宋体" w:cs="Times New Roman"/>
                <w:bCs/>
                <w:color w:val="auto"/>
                <w:highlight w:val="none"/>
                <w:lang w:val="en-US" w:eastAsia="zh-CN"/>
              </w:rPr>
              <w:t>车间位于项目区北侧，办公区域</w:t>
            </w:r>
            <w:r>
              <w:rPr>
                <w:rFonts w:hint="default" w:ascii="Times New Roman" w:hAnsi="Times New Roman" w:eastAsia="宋体" w:cs="Times New Roman"/>
                <w:bCs/>
                <w:color w:val="auto"/>
                <w:highlight w:val="none"/>
              </w:rPr>
              <w:t>位于</w:t>
            </w:r>
            <w:r>
              <w:rPr>
                <w:rFonts w:hint="default" w:ascii="Times New Roman" w:hAnsi="Times New Roman" w:eastAsia="宋体" w:cs="Times New Roman"/>
                <w:bCs/>
                <w:color w:val="auto"/>
                <w:highlight w:val="none"/>
                <w:lang w:val="en-US" w:eastAsia="zh-CN"/>
              </w:rPr>
              <w:t>项目区东侧</w:t>
            </w:r>
            <w:r>
              <w:rPr>
                <w:rFonts w:hint="default" w:ascii="Times New Roman" w:hAnsi="Times New Roman" w:eastAsia="宋体" w:cs="Times New Roman"/>
                <w:bCs/>
                <w:color w:val="auto"/>
                <w:highlight w:val="none"/>
              </w:rPr>
              <w:t>。项目厂区平面布置图见附图2。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2" w:type="dxa"/>
            <w:vAlign w:val="center"/>
          </w:tcPr>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工艺流程和产排污环节</w:t>
            </w:r>
          </w:p>
        </w:tc>
        <w:tc>
          <w:tcPr>
            <w:tcW w:w="8502" w:type="dxa"/>
          </w:tcPr>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1、运营期工艺流程简述：</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1.1生产工艺流程简述</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（1）原料贮运</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val="en-US" w:eastAsia="zh-CN"/>
              </w:rPr>
              <w:t>主要</w:t>
            </w:r>
            <w:r>
              <w:rPr>
                <w:rFonts w:hint="default" w:ascii="Times New Roman" w:hAnsi="Times New Roman" w:eastAsia="宋体" w:cs="Times New Roman"/>
                <w:color w:val="auto"/>
                <w:highlight w:val="none"/>
              </w:rPr>
              <w:t>原料为</w:t>
            </w:r>
            <w:r>
              <w:rPr>
                <w:rFonts w:hint="default" w:ascii="Times New Roman" w:hAnsi="Times New Roman" w:eastAsia="宋体" w:cs="Times New Roman"/>
                <w:bCs/>
                <w:color w:val="auto"/>
                <w:highlight w:val="none"/>
              </w:rPr>
              <w:t>废硅泥</w:t>
            </w:r>
            <w:r>
              <w:rPr>
                <w:rFonts w:hint="default" w:ascii="Times New Roman" w:hAnsi="Times New Roman" w:eastAsia="宋体" w:cs="Times New Roman"/>
                <w:bCs/>
                <w:color w:val="auto"/>
                <w:highlight w:val="none"/>
                <w:lang w:eastAsia="zh-CN"/>
              </w:rPr>
              <w:t>，主要成分为</w:t>
            </w:r>
            <w:r>
              <w:rPr>
                <w:rFonts w:hint="default" w:ascii="Times New Roman" w:hAnsi="Times New Roman" w:eastAsia="宋体" w:cs="Times New Roman"/>
                <w:color w:val="auto"/>
                <w:highlight w:val="none"/>
                <w:lang w:val="en-US" w:eastAsia="zh-CN"/>
              </w:rPr>
              <w:t>硅粉和水，</w:t>
            </w:r>
            <w:r>
              <w:rPr>
                <w:rFonts w:hint="default" w:ascii="Times New Roman" w:hAnsi="Times New Roman" w:eastAsia="宋体" w:cs="Times New Roman"/>
                <w:color w:val="auto"/>
                <w:highlight w:val="none"/>
              </w:rPr>
              <w:t>一般含水率在45%～55%之间，</w:t>
            </w:r>
            <w:r>
              <w:rPr>
                <w:rFonts w:hint="default" w:ascii="Times New Roman" w:hAnsi="Times New Roman" w:eastAsia="宋体" w:cs="Times New Roman"/>
                <w:color w:val="auto"/>
                <w:highlight w:val="none"/>
                <w:lang w:val="en-US" w:eastAsia="zh-CN"/>
              </w:rPr>
              <w:t>呈</w:t>
            </w:r>
            <w:r>
              <w:rPr>
                <w:rFonts w:hint="default" w:ascii="Times New Roman" w:hAnsi="Times New Roman" w:eastAsia="宋体" w:cs="Times New Roman"/>
                <w:color w:val="auto"/>
                <w:highlight w:val="none"/>
              </w:rPr>
              <w:t>泥块状物</w:t>
            </w:r>
            <w:r>
              <w:rPr>
                <w:rFonts w:hint="default" w:ascii="Times New Roman" w:hAnsi="Times New Roman" w:eastAsia="宋体" w:cs="Times New Roman"/>
                <w:color w:val="auto"/>
                <w:highlight w:val="none"/>
                <w:lang w:val="en-US" w:eastAsia="zh-CN"/>
              </w:rPr>
              <w:t>，由吨包</w:t>
            </w:r>
            <w:r>
              <w:rPr>
                <w:rFonts w:hint="default" w:ascii="Times New Roman" w:hAnsi="Times New Roman" w:eastAsia="宋体" w:cs="Times New Roman"/>
                <w:color w:val="auto"/>
                <w:highlight w:val="none"/>
              </w:rPr>
              <w:t>袋装</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辅料为</w:t>
            </w:r>
            <w:r>
              <w:rPr>
                <w:rFonts w:hint="default" w:ascii="Times New Roman" w:hAnsi="Times New Roman" w:eastAsia="宋体" w:cs="Times New Roman"/>
                <w:color w:val="auto"/>
                <w:highlight w:val="none"/>
              </w:rPr>
              <w:t>造渣剂</w:t>
            </w:r>
            <w:r>
              <w:rPr>
                <w:rFonts w:hint="default" w:ascii="Times New Roman" w:hAnsi="Times New Roman" w:eastAsia="宋体" w:cs="Times New Roman"/>
                <w:color w:val="auto"/>
                <w:highlight w:val="none"/>
                <w:lang w:eastAsia="zh-CN"/>
              </w:rPr>
              <w:t>，主要成分为</w:t>
            </w:r>
            <w:r>
              <w:rPr>
                <w:rFonts w:hint="default" w:ascii="Times New Roman" w:hAnsi="Times New Roman" w:eastAsia="宋体" w:cs="Times New Roman"/>
                <w:color w:val="auto"/>
                <w:highlight w:val="none"/>
              </w:rPr>
              <w:t>生石灰</w:t>
            </w:r>
            <w:r>
              <w:rPr>
                <w:rFonts w:hint="default" w:ascii="Times New Roman" w:hAnsi="Times New Roman" w:eastAsia="宋体" w:cs="Times New Roman"/>
                <w:color w:val="auto"/>
                <w:highlight w:val="none"/>
                <w:lang w:eastAsia="zh-CN"/>
              </w:rPr>
              <w:t>（CaO），</w:t>
            </w:r>
            <w:r>
              <w:rPr>
                <w:rFonts w:hint="default" w:ascii="Times New Roman" w:hAnsi="Times New Roman" w:eastAsia="宋体" w:cs="Times New Roman"/>
                <w:color w:val="auto"/>
                <w:highlight w:val="none"/>
                <w:lang w:val="en-US" w:eastAsia="zh-CN"/>
              </w:rPr>
              <w:t>呈粉</w:t>
            </w:r>
            <w:r>
              <w:rPr>
                <w:rFonts w:hint="default" w:ascii="Times New Roman" w:hAnsi="Times New Roman" w:eastAsia="宋体" w:cs="Times New Roman"/>
                <w:color w:val="auto"/>
                <w:highlight w:val="none"/>
              </w:rPr>
              <w:t>状物</w:t>
            </w:r>
            <w:r>
              <w:rPr>
                <w:rFonts w:hint="default" w:ascii="Times New Roman" w:hAnsi="Times New Roman" w:eastAsia="宋体" w:cs="Times New Roman"/>
                <w:color w:val="auto"/>
                <w:highlight w:val="none"/>
                <w:lang w:val="en-US" w:eastAsia="zh-CN"/>
              </w:rPr>
              <w:t>，塑料袋密封</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汽运进厂后，堆存于原料库内。</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（2）烘干</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eastAsia="zh-CN"/>
              </w:rPr>
              <w:t>废硅泥通过皮带输送至滚筒烘干机</w:t>
            </w:r>
            <w:r>
              <w:rPr>
                <w:rFonts w:hint="default" w:ascii="Times New Roman" w:hAnsi="Times New Roman" w:eastAsia="宋体" w:cs="Times New Roman"/>
                <w:color w:val="auto"/>
                <w:highlight w:val="none"/>
                <w:lang w:val="en-US" w:eastAsia="zh-CN"/>
              </w:rPr>
              <w:t>内，由天然气燃烧器提供</w:t>
            </w:r>
            <w:r>
              <w:rPr>
                <w:rFonts w:hint="default" w:ascii="Times New Roman" w:hAnsi="Times New Roman" w:eastAsia="宋体" w:cs="Times New Roman"/>
                <w:color w:val="auto"/>
                <w:highlight w:val="none"/>
                <w:lang w:eastAsia="zh-CN"/>
              </w:rPr>
              <w:t>烘干热源，</w:t>
            </w:r>
            <w:r>
              <w:rPr>
                <w:rFonts w:hint="default" w:ascii="Times New Roman" w:hAnsi="Times New Roman" w:eastAsia="宋体" w:cs="Times New Roman"/>
                <w:color w:val="auto"/>
                <w:highlight w:val="none"/>
                <w:lang w:val="en-US" w:eastAsia="zh-CN"/>
              </w:rPr>
              <w:t>将</w:t>
            </w:r>
            <w:r>
              <w:rPr>
                <w:rFonts w:hint="default" w:ascii="Times New Roman" w:hAnsi="Times New Roman" w:eastAsia="宋体" w:cs="Times New Roman"/>
                <w:color w:val="auto"/>
                <w:highlight w:val="none"/>
                <w:lang w:eastAsia="zh-CN"/>
              </w:rPr>
              <w:t>废硅泥</w:t>
            </w:r>
            <w:r>
              <w:rPr>
                <w:rFonts w:hint="default" w:ascii="Times New Roman" w:hAnsi="Times New Roman" w:eastAsia="宋体" w:cs="Times New Roman"/>
                <w:color w:val="auto"/>
                <w:highlight w:val="none"/>
                <w:lang w:val="en-US" w:eastAsia="zh-CN"/>
              </w:rPr>
              <w:t>含水量降至5%以下；烘干方式为间接加热，天然气热气不与</w:t>
            </w:r>
            <w:r>
              <w:rPr>
                <w:rFonts w:hint="default" w:ascii="Times New Roman" w:hAnsi="Times New Roman" w:eastAsia="宋体" w:cs="Times New Roman"/>
                <w:color w:val="auto"/>
                <w:highlight w:val="none"/>
                <w:lang w:eastAsia="zh-CN"/>
              </w:rPr>
              <w:t>废硅泥</w:t>
            </w:r>
            <w:r>
              <w:rPr>
                <w:rFonts w:hint="default" w:ascii="Times New Roman" w:hAnsi="Times New Roman" w:eastAsia="宋体" w:cs="Times New Roman"/>
                <w:color w:val="auto"/>
                <w:highlight w:val="none"/>
              </w:rPr>
              <w:t>不直接接触，间接烘干</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烘干时间约为24小时。烘干后的物料通过出料器排入，然后进入</w:t>
            </w:r>
            <w:r>
              <w:rPr>
                <w:rFonts w:hint="default" w:ascii="Times New Roman" w:hAnsi="Times New Roman" w:eastAsia="宋体" w:cs="Times New Roman"/>
                <w:color w:val="auto"/>
                <w:highlight w:val="none"/>
                <w:lang w:eastAsia="zh-CN"/>
              </w:rPr>
              <w:t>熔化</w:t>
            </w:r>
            <w:r>
              <w:rPr>
                <w:rFonts w:hint="default" w:ascii="Times New Roman" w:hAnsi="Times New Roman" w:eastAsia="宋体" w:cs="Times New Roman"/>
                <w:color w:val="auto"/>
                <w:highlight w:val="none"/>
              </w:rPr>
              <w:t>工序。</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天然气燃烧废气和</w:t>
            </w:r>
            <w:r>
              <w:rPr>
                <w:rFonts w:hint="default" w:ascii="Times New Roman" w:hAnsi="Times New Roman" w:eastAsia="宋体" w:cs="Times New Roman"/>
                <w:color w:val="auto"/>
                <w:highlight w:val="none"/>
              </w:rPr>
              <w:t>烘干</w:t>
            </w:r>
            <w:r>
              <w:rPr>
                <w:rFonts w:hint="default" w:ascii="Times New Roman" w:hAnsi="Times New Roman" w:eastAsia="宋体" w:cs="Times New Roman"/>
                <w:color w:val="auto"/>
                <w:highlight w:val="none"/>
                <w:lang w:val="en-US" w:eastAsia="zh-CN"/>
              </w:rPr>
              <w:t>废气经密闭管道收集后，经同1台</w:t>
            </w:r>
            <w:r>
              <w:rPr>
                <w:rFonts w:hint="default" w:ascii="Times New Roman" w:hAnsi="Times New Roman" w:eastAsia="宋体" w:cs="Times New Roman"/>
                <w:color w:val="auto"/>
                <w:highlight w:val="none"/>
              </w:rPr>
              <w:t>水膜除尘器</w:t>
            </w:r>
            <w:r>
              <w:rPr>
                <w:rFonts w:hint="default" w:ascii="Times New Roman" w:hAnsi="Times New Roman" w:eastAsia="宋体" w:cs="Times New Roman"/>
                <w:color w:val="auto"/>
                <w:highlight w:val="none"/>
                <w:lang w:val="en-US" w:eastAsia="zh-CN"/>
              </w:rPr>
              <w:t>处理后，由1根</w:t>
            </w:r>
            <w:r>
              <w:rPr>
                <w:rFonts w:hint="default" w:ascii="Times New Roman" w:hAnsi="Times New Roman" w:eastAsia="宋体" w:cs="Times New Roman"/>
                <w:color w:val="auto"/>
                <w:highlight w:val="none"/>
              </w:rPr>
              <w:t>15m的排气筒排放（DA001）。</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eastAsia="zh-CN"/>
              </w:rPr>
              <w:t>熔化</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烘干后含硅物料含水率小于5%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由</w:t>
            </w:r>
            <w:r>
              <w:rPr>
                <w:rFonts w:hint="default" w:ascii="Times New Roman" w:hAnsi="Times New Roman" w:eastAsia="宋体" w:cs="Times New Roman"/>
                <w:color w:val="auto"/>
                <w:highlight w:val="none"/>
              </w:rPr>
              <w:t>运输车转运至生产车间由下料输送机送入</w:t>
            </w:r>
            <w:r>
              <w:rPr>
                <w:rFonts w:hint="default" w:ascii="Times New Roman" w:hAnsi="Times New Roman" w:eastAsia="宋体" w:cs="Times New Roman"/>
                <w:color w:val="auto"/>
                <w:highlight w:val="none"/>
                <w:lang w:val="en-US" w:eastAsia="zh-CN"/>
              </w:rPr>
              <w:t>感应炉</w:t>
            </w:r>
            <w:r>
              <w:rPr>
                <w:rFonts w:hint="default" w:ascii="Times New Roman" w:hAnsi="Times New Roman" w:eastAsia="宋体" w:cs="Times New Roman"/>
                <w:color w:val="auto"/>
                <w:highlight w:val="none"/>
              </w:rPr>
              <w:t>内（2用1备），炉盖和电极分别下降，通过炉盖上方石英管加入造渣剂（CaO）后，使开始通电对电极进行感应加热，主要反应为SiO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+CaO=CaSiO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电极热传导给硅粒，使硅粒加热到800度以上成为导体。电源经降压变频后，供给中频感应电炉的感应线圈，在电炉的</w:t>
            </w:r>
            <w:r>
              <w:rPr>
                <w:rFonts w:hint="default" w:ascii="Times New Roman" w:hAnsi="Times New Roman" w:eastAsia="宋体" w:cs="Times New Roman"/>
                <w:color w:val="auto"/>
                <w:highlight w:val="none"/>
                <w:lang w:eastAsia="zh-CN"/>
              </w:rPr>
              <w:t>坩埚</w:t>
            </w:r>
            <w:r>
              <w:rPr>
                <w:rFonts w:hint="default" w:ascii="Times New Roman" w:hAnsi="Times New Roman" w:eastAsia="宋体" w:cs="Times New Roman"/>
                <w:color w:val="auto"/>
                <w:highlight w:val="none"/>
              </w:rPr>
              <w:t>内产生交变电磁场，在交变电磁力作用下</w:t>
            </w:r>
            <w:r>
              <w:rPr>
                <w:rFonts w:hint="default" w:ascii="Times New Roman" w:hAnsi="Times New Roman" w:eastAsia="宋体" w:cs="Times New Roman"/>
                <w:color w:val="auto"/>
                <w:highlight w:val="none"/>
                <w:lang w:eastAsia="zh-CN"/>
              </w:rPr>
              <w:t>坩埚</w:t>
            </w:r>
            <w:r>
              <w:rPr>
                <w:rFonts w:hint="default" w:ascii="Times New Roman" w:hAnsi="Times New Roman" w:eastAsia="宋体" w:cs="Times New Roman"/>
                <w:color w:val="auto"/>
                <w:highlight w:val="none"/>
              </w:rPr>
              <w:t>中原料和石墨电极产生感应电动势，原料和石墨电极由于自身电阻和电流作用产生热量，对硅粉颗粒加热至熔化，直至1450℃熔硅完成。</w:t>
            </w:r>
            <w:r>
              <w:rPr>
                <w:rFonts w:hint="default" w:ascii="Times New Roman" w:hAnsi="Times New Roman" w:eastAsia="宋体" w:cs="Times New Roman"/>
                <w:color w:val="auto"/>
                <w:highlight w:val="none"/>
                <w:lang w:eastAsia="zh-CN"/>
              </w:rPr>
              <w:t>熔化</w:t>
            </w:r>
            <w:r>
              <w:rPr>
                <w:rFonts w:hint="default" w:ascii="Times New Roman" w:hAnsi="Times New Roman" w:eastAsia="宋体" w:cs="Times New Roman"/>
                <w:color w:val="auto"/>
                <w:highlight w:val="none"/>
              </w:rPr>
              <w:t>后的硅为液态在上部，硅渣主要为CaSiO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在下部，硅液体进入浇铸工序。下部的硅渣</w:t>
            </w:r>
            <w:r>
              <w:rPr>
                <w:rFonts w:hint="default" w:ascii="Times New Roman" w:hAnsi="Times New Roman" w:eastAsia="宋体" w:cs="Times New Roman"/>
                <w:color w:val="auto"/>
                <w:highlight w:val="none"/>
                <w:lang w:eastAsia="zh-CN"/>
              </w:rPr>
              <w:t>倒入</w:t>
            </w:r>
            <w:r>
              <w:rPr>
                <w:rFonts w:hint="default" w:ascii="Times New Roman" w:hAnsi="Times New Roman" w:eastAsia="宋体" w:cs="Times New Roman"/>
                <w:color w:val="auto"/>
                <w:highlight w:val="none"/>
              </w:rPr>
              <w:t>硅渣盘中，冷却后进行分离。</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（4）浇铸</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中频电炉正常</w:t>
            </w:r>
            <w:r>
              <w:rPr>
                <w:rFonts w:hint="default" w:ascii="Times New Roman" w:hAnsi="Times New Roman" w:eastAsia="宋体" w:cs="Times New Roman"/>
                <w:color w:val="auto"/>
                <w:highlight w:val="none"/>
                <w:lang w:eastAsia="zh-CN"/>
              </w:rPr>
              <w:t>熔化</w:t>
            </w:r>
            <w:r>
              <w:rPr>
                <w:rFonts w:hint="default" w:ascii="Times New Roman" w:hAnsi="Times New Roman" w:eastAsia="宋体" w:cs="Times New Roman"/>
                <w:color w:val="auto"/>
                <w:highlight w:val="none"/>
              </w:rPr>
              <w:t>平均120min出硅1次，出硅时间为10min左右。熔硅完成后需测温取样，温度及</w:t>
            </w:r>
            <w:r>
              <w:rPr>
                <w:rFonts w:hint="default" w:ascii="Times New Roman" w:hAnsi="Times New Roman" w:eastAsia="宋体" w:cs="Times New Roman"/>
                <w:color w:val="auto"/>
                <w:highlight w:val="none"/>
                <w:lang w:eastAsia="zh-CN"/>
              </w:rPr>
              <w:t>成分</w:t>
            </w:r>
            <w:r>
              <w:rPr>
                <w:rFonts w:hint="default" w:ascii="Times New Roman" w:hAnsi="Times New Roman" w:eastAsia="宋体" w:cs="Times New Roman"/>
                <w:color w:val="auto"/>
                <w:highlight w:val="none"/>
              </w:rPr>
              <w:t>合格后从出硅口倒入</w:t>
            </w:r>
            <w:r>
              <w:rPr>
                <w:rFonts w:hint="default" w:ascii="Times New Roman" w:hAnsi="Times New Roman" w:eastAsia="宋体" w:cs="Times New Roman"/>
                <w:color w:val="auto"/>
                <w:highlight w:val="none"/>
                <w:lang w:eastAsia="zh-CN"/>
              </w:rPr>
              <w:t>硅水包</w:t>
            </w:r>
            <w:r>
              <w:rPr>
                <w:rFonts w:hint="default" w:ascii="Times New Roman" w:hAnsi="Times New Roman" w:eastAsia="宋体" w:cs="Times New Roman"/>
                <w:color w:val="auto"/>
                <w:highlight w:val="none"/>
              </w:rPr>
              <w:t>内，再用天车将</w:t>
            </w:r>
            <w:r>
              <w:rPr>
                <w:rFonts w:hint="default" w:ascii="Times New Roman" w:hAnsi="Times New Roman" w:eastAsia="宋体" w:cs="Times New Roman"/>
                <w:color w:val="auto"/>
                <w:highlight w:val="none"/>
                <w:lang w:eastAsia="zh-CN"/>
              </w:rPr>
              <w:t>硅水包</w:t>
            </w:r>
            <w:r>
              <w:rPr>
                <w:rFonts w:hint="default" w:ascii="Times New Roman" w:hAnsi="Times New Roman" w:eastAsia="宋体" w:cs="Times New Roman"/>
                <w:color w:val="auto"/>
                <w:highlight w:val="none"/>
              </w:rPr>
              <w:t>吊至浇铸区，对准铸模进行浇注，待冷却后进入破碎工序。</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熔化废气和</w:t>
            </w:r>
            <w:r>
              <w:rPr>
                <w:rFonts w:hint="default" w:ascii="Times New Roman" w:hAnsi="Times New Roman" w:eastAsia="宋体" w:cs="Times New Roman"/>
                <w:color w:val="auto"/>
                <w:highlight w:val="none"/>
              </w:rPr>
              <w:t>浇铸</w:t>
            </w:r>
            <w:r>
              <w:rPr>
                <w:rFonts w:hint="default" w:ascii="Times New Roman" w:hAnsi="Times New Roman" w:eastAsia="宋体" w:cs="Times New Roman"/>
                <w:color w:val="auto"/>
                <w:highlight w:val="none"/>
                <w:lang w:val="en-US" w:eastAsia="zh-CN"/>
              </w:rPr>
              <w:t>废气经密闭管道收集后，经同1台布袋</w:t>
            </w:r>
            <w:r>
              <w:rPr>
                <w:rFonts w:hint="default" w:ascii="Times New Roman" w:hAnsi="Times New Roman" w:eastAsia="宋体" w:cs="Times New Roman"/>
                <w:color w:val="auto"/>
                <w:highlight w:val="none"/>
              </w:rPr>
              <w:t>除尘器</w:t>
            </w:r>
            <w:r>
              <w:rPr>
                <w:rFonts w:hint="default" w:ascii="Times New Roman" w:hAnsi="Times New Roman" w:eastAsia="宋体" w:cs="Times New Roman"/>
                <w:color w:val="auto"/>
                <w:highlight w:val="none"/>
                <w:lang w:val="en-US" w:eastAsia="zh-CN"/>
              </w:rPr>
              <w:t>处理后，由1根</w:t>
            </w:r>
            <w:r>
              <w:rPr>
                <w:rFonts w:hint="default" w:ascii="Times New Roman" w:hAnsi="Times New Roman" w:eastAsia="宋体" w:cs="Times New Roman"/>
                <w:color w:val="auto"/>
                <w:highlight w:val="none"/>
              </w:rPr>
              <w:t>15m的排气筒排放（DA00</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（5）产品破碎</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大块工业硅采用人工进行敲碎后装包。</w:t>
            </w:r>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sz w:val="24"/>
                <w:highlight w:val="none"/>
              </w:rPr>
              <w:object>
                <v:shape id="_x0000_i1026" o:spt="75" type="#_x0000_t75" style="height:332.45pt;width:401.95pt;" o:ole="t" filled="f" o:preferrelative="t" stroked="f" coordsize="21600,21600">
                  <v:path/>
                  <v:fill on="f" focussize="0,0"/>
                  <v:stroke on="f"/>
                  <v:imagedata r:id="rId25" o:title=""/>
                  <o:lock v:ext="edit" aspectratio="t"/>
                  <w10:wrap type="none"/>
                  <w10:anchorlock/>
                </v:shape>
                <o:OLEObject Type="Embed" ProgID="Visio.Drawing.11" ShapeID="_x0000_i1026" DrawAspect="Content" ObjectID="_1468075726" r:id="rId24">
                  <o:LockedField>false</o:LockedField>
                </o:OLEObject>
              </w:object>
            </w:r>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图2-</w:t>
            </w:r>
            <w:r>
              <w:rPr>
                <w:rFonts w:hint="default" w:ascii="Times New Roman" w:hAnsi="Times New Roman" w:eastAsia="宋体" w:cs="Times New Roman"/>
                <w:b/>
                <w:bCs w:val="0"/>
                <w:color w:val="auto"/>
                <w:highlight w:val="none"/>
                <w:lang w:val="en-US" w:eastAsia="zh-CN"/>
              </w:rPr>
              <w:t>3</w:t>
            </w:r>
            <w:r>
              <w:rPr>
                <w:rFonts w:hint="default" w:ascii="Times New Roman" w:hAnsi="Times New Roman" w:eastAsia="宋体" w:cs="Times New Roman"/>
                <w:b/>
                <w:bCs w:val="0"/>
                <w:color w:val="auto"/>
                <w:highlight w:val="none"/>
              </w:rPr>
              <w:t>生产工艺流程图</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1.2</w:t>
            </w:r>
            <w:r>
              <w:rPr>
                <w:rFonts w:hint="default" w:ascii="Times New Roman" w:hAnsi="Times New Roman" w:eastAsia="宋体" w:cs="Times New Roman"/>
                <w:b/>
                <w:bCs/>
                <w:color w:val="auto"/>
                <w:highlight w:val="none"/>
              </w:rPr>
              <w:t>物料平衡</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本项目硅泥使用量为20000t/a，其中含水率为55%，烘干过程产生的水蒸气随烘干废气排出，其余的水分由</w:t>
            </w:r>
            <w:r>
              <w:rPr>
                <w:rFonts w:hint="default" w:ascii="Times New Roman" w:hAnsi="Times New Roman" w:eastAsia="宋体" w:cs="Times New Roman"/>
                <w:color w:val="auto"/>
                <w:highlight w:val="none"/>
                <w:lang w:eastAsia="zh-CN"/>
              </w:rPr>
              <w:t>感应炉熔化</w:t>
            </w:r>
            <w:r>
              <w:rPr>
                <w:rFonts w:hint="default" w:ascii="Times New Roman" w:hAnsi="Times New Roman" w:eastAsia="宋体" w:cs="Times New Roman"/>
                <w:color w:val="auto"/>
                <w:highlight w:val="none"/>
              </w:rPr>
              <w:t>过程中去除，无水分进入产品中。</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表2-10物料平衡表</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85"/>
              <w:gridCol w:w="1381"/>
              <w:gridCol w:w="2023"/>
              <w:gridCol w:w="230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392" w:type="pct"/>
                  <w:gridSpan w:val="2"/>
                  <w:tcBorders>
                    <w:top w:val="single" w:color="auto" w:sz="4" w:space="0"/>
                    <w:left w:val="single" w:color="auto" w:sz="0"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物料进入</w:t>
                  </w:r>
                </w:p>
              </w:tc>
              <w:tc>
                <w:tcPr>
                  <w:tcW w:w="2607"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物料输出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原料名称</w:t>
                  </w: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数量（t/a）</w:t>
                  </w:r>
                </w:p>
              </w:tc>
              <w:tc>
                <w:tcPr>
                  <w:tcW w:w="122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产品名称</w:t>
                  </w:r>
                </w:p>
              </w:tc>
              <w:tc>
                <w:tcPr>
                  <w:tcW w:w="1387"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数量（t/a）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硅泥</w:t>
                  </w: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20000（含水率</w:t>
                  </w:r>
                  <w:r>
                    <w:rPr>
                      <w:rFonts w:hint="default" w:ascii="Times New Roman" w:hAnsi="Times New Roman" w:eastAsia="宋体" w:cs="Times New Roman"/>
                      <w:color w:val="auto"/>
                      <w:sz w:val="21"/>
                      <w:szCs w:val="21"/>
                      <w:highlight w:val="none"/>
                      <w:lang w:val="en-US" w:eastAsia="zh-CN"/>
                    </w:rPr>
                    <w:t>按</w:t>
                  </w:r>
                  <w:r>
                    <w:rPr>
                      <w:rFonts w:hint="default" w:ascii="Times New Roman" w:hAnsi="Times New Roman" w:eastAsia="宋体" w:cs="Times New Roman"/>
                      <w:color w:val="auto"/>
                      <w:sz w:val="21"/>
                      <w:szCs w:val="21"/>
                      <w:highlight w:val="none"/>
                    </w:rPr>
                    <w:t>55%</w:t>
                  </w:r>
                  <w:r>
                    <w:rPr>
                      <w:rFonts w:hint="default" w:ascii="Times New Roman" w:hAnsi="Times New Roman" w:eastAsia="宋体" w:cs="Times New Roman"/>
                      <w:color w:val="auto"/>
                      <w:sz w:val="21"/>
                      <w:szCs w:val="21"/>
                      <w:highlight w:val="none"/>
                      <w:lang w:val="en-US" w:eastAsia="zh-CN"/>
                    </w:rPr>
                    <w:t>计算</w:t>
                  </w:r>
                  <w:r>
                    <w:rPr>
                      <w:rFonts w:hint="default" w:ascii="Times New Roman" w:hAnsi="Times New Roman" w:eastAsia="宋体" w:cs="Times New Roman"/>
                      <w:color w:val="auto"/>
                      <w:sz w:val="21"/>
                      <w:szCs w:val="21"/>
                      <w:highlight w:val="none"/>
                    </w:rPr>
                    <w:t>）</w:t>
                  </w:r>
                </w:p>
              </w:tc>
              <w:tc>
                <w:tcPr>
                  <w:tcW w:w="122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高纯硅</w:t>
                  </w:r>
                </w:p>
              </w:tc>
              <w:tc>
                <w:tcPr>
                  <w:tcW w:w="1387"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造渣剂（氧化钙）</w:t>
                  </w: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122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烘干</w:t>
                  </w:r>
                  <w:r>
                    <w:rPr>
                      <w:rFonts w:hint="default" w:ascii="Times New Roman" w:hAnsi="Times New Roman" w:eastAsia="宋体" w:cs="Times New Roman"/>
                      <w:color w:val="auto"/>
                      <w:sz w:val="21"/>
                      <w:szCs w:val="21"/>
                      <w:highlight w:val="none"/>
                      <w:lang w:val="en-US" w:eastAsia="zh-CN"/>
                    </w:rPr>
                    <w:t>废气产生量</w:t>
                  </w:r>
                </w:p>
              </w:tc>
              <w:tc>
                <w:tcPr>
                  <w:tcW w:w="1387"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0" w:type="pct"/>
                  <w:tcBorders>
                    <w:top w:val="single" w:color="auto" w:sz="4" w:space="0"/>
                    <w:left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感应炉废气和浇铸废气</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有组织</w:t>
                  </w:r>
                  <w:r>
                    <w:rPr>
                      <w:rFonts w:hint="default" w:ascii="Times New Roman" w:hAnsi="Times New Roman" w:eastAsia="宋体" w:cs="Times New Roman"/>
                      <w:b w:val="0"/>
                      <w:bCs w:val="0"/>
                      <w:color w:val="auto"/>
                      <w:sz w:val="21"/>
                      <w:szCs w:val="21"/>
                      <w:highlight w:val="none"/>
                      <w:lang w:eastAsia="zh-CN"/>
                    </w:rPr>
                    <w:t>）</w:t>
                  </w:r>
                </w:p>
              </w:tc>
              <w:tc>
                <w:tcPr>
                  <w:tcW w:w="1387"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0.887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0" w:type="pct"/>
                  <w:tcBorders>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感应炉废气和浇铸废气</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无组织</w:t>
                  </w:r>
                  <w:r>
                    <w:rPr>
                      <w:rFonts w:hint="default" w:ascii="Times New Roman" w:hAnsi="Times New Roman" w:eastAsia="宋体" w:cs="Times New Roman"/>
                      <w:b w:val="0"/>
                      <w:bCs w:val="0"/>
                      <w:color w:val="auto"/>
                      <w:sz w:val="21"/>
                      <w:szCs w:val="21"/>
                      <w:highlight w:val="none"/>
                      <w:lang w:eastAsia="zh-CN"/>
                    </w:rPr>
                    <w:t>）</w:t>
                  </w:r>
                </w:p>
              </w:tc>
              <w:tc>
                <w:tcPr>
                  <w:tcW w:w="1387"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3.942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破碎废气</w:t>
                  </w:r>
                </w:p>
              </w:tc>
              <w:tc>
                <w:tcPr>
                  <w:tcW w:w="1387"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硅渣</w:t>
                  </w:r>
                </w:p>
              </w:tc>
              <w:tc>
                <w:tcPr>
                  <w:tcW w:w="1387"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2103.454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除尘灰</w:t>
                  </w:r>
                </w:p>
              </w:tc>
              <w:tc>
                <w:tcPr>
                  <w:tcW w:w="1387"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87.817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蒸发的水分损耗</w:t>
                  </w:r>
                </w:p>
              </w:tc>
              <w:tc>
                <w:tcPr>
                  <w:tcW w:w="1387"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11000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合计</w:t>
                  </w: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200</w:t>
                  </w:r>
                </w:p>
              </w:tc>
              <w:tc>
                <w:tcPr>
                  <w:tcW w:w="1220"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合计</w:t>
                  </w:r>
                </w:p>
              </w:tc>
              <w:tc>
                <w:tcPr>
                  <w:tcW w:w="1387"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200</w:t>
                  </w:r>
                </w:p>
              </w:tc>
            </w:tr>
          </w:tbl>
          <w:p>
            <w:pPr>
              <w:pageBreakBefore w:val="0"/>
              <w:kinsoku/>
              <w:wordWrap/>
              <w:overflowPunct/>
              <w:topLinePunct w:val="0"/>
              <w:autoSpaceDE/>
              <w:autoSpaceDN/>
              <w:bidi w:val="0"/>
              <w:ind w:left="0" w:leftChars="0" w:firstLine="0" w:firstLineChars="0"/>
              <w:jc w:val="both"/>
              <w:textAlignment w:val="auto"/>
              <w:rPr>
                <w:rFonts w:hint="default" w:ascii="Times New Roman" w:hAnsi="Times New Roman" w:eastAsia="宋体" w:cs="Times New Roman"/>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2" w:type="dxa"/>
            <w:vAlign w:val="center"/>
          </w:tcPr>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与项目有关的原有环境污染问题</w:t>
            </w:r>
          </w:p>
        </w:tc>
        <w:tc>
          <w:tcPr>
            <w:tcW w:w="8502" w:type="dxa"/>
          </w:tcPr>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本项目为新建项目，无与该项目有关的原有环境问题。</w:t>
            </w:r>
          </w:p>
        </w:tc>
      </w:tr>
    </w:tbl>
    <w:p>
      <w:pPr>
        <w:pStyle w:val="3"/>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rPr>
        <w:sectPr>
          <w:pgSz w:w="11906" w:h="16838"/>
          <w:pgMar w:top="1440" w:right="1800" w:bottom="1440" w:left="1800" w:header="992" w:footer="992" w:gutter="0"/>
          <w:cols w:space="425" w:num="1"/>
          <w:docGrid w:type="lines" w:linePitch="312" w:charSpace="0"/>
        </w:sectPr>
      </w:pPr>
    </w:p>
    <w:p>
      <w:pPr>
        <w:pStyle w:val="3"/>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rPr>
      </w:pPr>
      <w:bookmarkStart w:id="3" w:name="_Toc163032410"/>
      <w:r>
        <w:rPr>
          <w:rFonts w:hint="default" w:ascii="Times New Roman" w:hAnsi="Times New Roman" w:eastAsia="宋体" w:cs="Times New Roman"/>
          <w:snapToGrid w:val="0"/>
          <w:color w:val="auto"/>
          <w:highlight w:val="none"/>
        </w:rPr>
        <w:t>三、区域环境质量现状、环境保护目标及评价标准</w:t>
      </w:r>
      <w:bookmarkEnd w:id="3"/>
    </w:p>
    <w:tbl>
      <w:tblPr>
        <w:tblStyle w:val="29"/>
        <w:tblW w:w="91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6"/>
        <w:gridCol w:w="85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7" w:type="dxa"/>
            <w:vAlign w:val="center"/>
          </w:tcPr>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区域环境质量现状</w:t>
            </w:r>
          </w:p>
        </w:tc>
        <w:tc>
          <w:tcPr>
            <w:tcW w:w="8311" w:type="dxa"/>
            <w:vAlign w:val="center"/>
          </w:tcPr>
          <w:p>
            <w:pPr>
              <w:pStyle w:val="15"/>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textAlignment w:val="auto"/>
              <w:rPr>
                <w:rFonts w:hint="default" w:ascii="Times New Roman" w:hAnsi="Times New Roman" w:eastAsia="宋体" w:cs="Times New Roman"/>
                <w:b/>
                <w:color w:val="auto"/>
                <w:sz w:val="24"/>
                <w:szCs w:val="24"/>
                <w:highlight w:val="none"/>
              </w:rPr>
            </w:pPr>
            <w:bookmarkStart w:id="4" w:name="_Hlk78372480"/>
            <w:r>
              <w:rPr>
                <w:rFonts w:hint="default" w:ascii="Times New Roman" w:hAnsi="Times New Roman" w:eastAsia="宋体" w:cs="Times New Roman"/>
                <w:b/>
                <w:color w:val="auto"/>
                <w:sz w:val="24"/>
                <w:szCs w:val="24"/>
                <w:highlight w:val="none"/>
                <w:lang w:val="en-US" w:eastAsia="zh-CN"/>
              </w:rPr>
              <w:t>1</w:t>
            </w:r>
            <w:r>
              <w:rPr>
                <w:rFonts w:hint="default" w:ascii="Times New Roman" w:hAnsi="Times New Roman" w:eastAsia="宋体" w:cs="Times New Roman"/>
                <w:b/>
                <w:color w:val="auto"/>
                <w:sz w:val="24"/>
                <w:szCs w:val="24"/>
                <w:highlight w:val="none"/>
              </w:rPr>
              <w:t>、环境空气质量现状</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）区域环境质量现状评价</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根据《环境影响评价技术导则大气环境》（HJ2.2-2018）中6.4.1.1中的内容“城市环境空气质量达标评价指标为SO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、NO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10</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2.5</w:t>
            </w:r>
            <w:r>
              <w:rPr>
                <w:rFonts w:hint="default" w:ascii="Times New Roman" w:hAnsi="Times New Roman" w:eastAsia="宋体" w:cs="Times New Roman"/>
                <w:color w:val="auto"/>
                <w:kern w:val="0"/>
                <w:sz w:val="24"/>
                <w:szCs w:val="24"/>
                <w:highlight w:val="none"/>
              </w:rPr>
              <w:t>、CO和O</w:t>
            </w:r>
            <w:r>
              <w:rPr>
                <w:rFonts w:hint="default" w:ascii="Times New Roman" w:hAnsi="Times New Roman" w:eastAsia="宋体" w:cs="Times New Roman"/>
                <w:color w:val="auto"/>
                <w:kern w:val="0"/>
                <w:sz w:val="24"/>
                <w:szCs w:val="24"/>
                <w:highlight w:val="none"/>
                <w:vertAlign w:val="subscript"/>
              </w:rPr>
              <w:t>3</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六项污染物全部达标即为城市环境空气质量达标”。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lang w:val="en-US" w:eastAsia="zh-CN"/>
              </w:rPr>
              <w:t>本</w:t>
            </w:r>
            <w:r>
              <w:rPr>
                <w:rFonts w:hint="default" w:ascii="Times New Roman" w:hAnsi="Times New Roman" w:eastAsia="宋体" w:cs="Times New Roman"/>
                <w:color w:val="auto"/>
                <w:sz w:val="24"/>
                <w:szCs w:val="32"/>
                <w:highlight w:val="none"/>
                <w:lang w:eastAsia="zh-CN"/>
              </w:rPr>
              <w:t>项目</w:t>
            </w:r>
            <w:r>
              <w:rPr>
                <w:rFonts w:hint="default" w:ascii="Times New Roman" w:hAnsi="Times New Roman" w:eastAsia="宋体" w:cs="Times New Roman"/>
                <w:color w:val="auto"/>
                <w:sz w:val="24"/>
                <w:szCs w:val="32"/>
                <w:highlight w:val="none"/>
              </w:rPr>
              <w:t>环境质量现状数据来源于</w:t>
            </w:r>
            <w:r>
              <w:rPr>
                <w:rFonts w:hint="default" w:ascii="Times New Roman" w:hAnsi="Times New Roman" w:eastAsia="宋体" w:cs="Times New Roman"/>
                <w:color w:val="auto"/>
                <w:sz w:val="24"/>
                <w:szCs w:val="32"/>
                <w:highlight w:val="none"/>
                <w:lang w:eastAsia="zh-CN"/>
              </w:rPr>
              <w:t>《巴彦淖尔市环境质量状况公报</w:t>
            </w:r>
            <w:r>
              <w:rPr>
                <w:rFonts w:hint="default" w:ascii="Times New Roman" w:hAnsi="Times New Roman" w:eastAsia="宋体" w:cs="Times New Roman"/>
                <w:color w:val="auto"/>
                <w:sz w:val="24"/>
                <w:szCs w:val="32"/>
                <w:highlight w:val="none"/>
                <w:lang w:val="en-US" w:eastAsia="zh-CN"/>
              </w:rPr>
              <w:t>2022年</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中的内容</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内蒙古巴彦淖尔市</w:t>
            </w:r>
            <w:r>
              <w:rPr>
                <w:rFonts w:hint="default" w:ascii="Times New Roman" w:hAnsi="Times New Roman" w:eastAsia="宋体" w:cs="Times New Roman"/>
                <w:color w:val="auto"/>
                <w:sz w:val="24"/>
                <w:szCs w:val="32"/>
                <w:highlight w:val="none"/>
                <w:lang w:eastAsia="zh-CN"/>
              </w:rPr>
              <w:t>乌拉特前旗</w:t>
            </w:r>
            <w:r>
              <w:rPr>
                <w:rFonts w:hint="default" w:ascii="Times New Roman" w:hAnsi="Times New Roman" w:eastAsia="宋体" w:cs="Times New Roman"/>
                <w:color w:val="auto"/>
                <w:sz w:val="24"/>
                <w:szCs w:val="32"/>
                <w:highlight w:val="none"/>
              </w:rPr>
              <w:t>20</w:t>
            </w:r>
            <w:r>
              <w:rPr>
                <w:rFonts w:hint="default" w:ascii="Times New Roman" w:hAnsi="Times New Roman" w:eastAsia="宋体" w:cs="Times New Roman"/>
                <w:color w:val="auto"/>
                <w:sz w:val="24"/>
                <w:szCs w:val="32"/>
                <w:highlight w:val="none"/>
                <w:lang w:val="en-US" w:eastAsia="zh-CN"/>
              </w:rPr>
              <w:t>22</w:t>
            </w:r>
            <w:r>
              <w:rPr>
                <w:rFonts w:hint="default" w:ascii="Times New Roman" w:hAnsi="Times New Roman" w:eastAsia="宋体" w:cs="Times New Roman"/>
                <w:color w:val="auto"/>
                <w:sz w:val="24"/>
                <w:szCs w:val="32"/>
                <w:highlight w:val="none"/>
              </w:rPr>
              <w:t>年六项污染物</w:t>
            </w:r>
            <w:r>
              <w:rPr>
                <w:rFonts w:hint="default" w:ascii="Times New Roman" w:hAnsi="Times New Roman" w:eastAsia="宋体" w:cs="Times New Roman"/>
                <w:color w:val="auto"/>
                <w:sz w:val="24"/>
                <w:szCs w:val="32"/>
                <w:highlight w:val="none"/>
                <w:lang w:eastAsia="zh-CN"/>
              </w:rPr>
              <w:t>环境质量数据见下表</w:t>
            </w:r>
            <w:r>
              <w:rPr>
                <w:rFonts w:hint="default" w:ascii="Times New Roman" w:hAnsi="Times New Roman" w:eastAsia="宋体" w:cs="Times New Roman"/>
                <w:color w:val="auto"/>
                <w:sz w:val="24"/>
                <w:szCs w:val="32"/>
                <w:highlight w:val="none"/>
              </w:rPr>
              <w:t>。</w:t>
            </w:r>
          </w:p>
          <w:p>
            <w:pPr>
              <w:keepNext w:val="0"/>
              <w:keepLines w:val="0"/>
              <w:pageBreakBefore w:val="0"/>
              <w:widowControl w:val="0"/>
              <w:suppressLineNumbers w:val="0"/>
              <w:shd w:val="clear"/>
              <w:kinsoku/>
              <w:wordWrap/>
              <w:overflowPunct/>
              <w:topLinePunct w:val="0"/>
              <w:bidi w:val="0"/>
              <w:adjustRightInd w:val="0"/>
              <w:snapToGrid/>
              <w:spacing w:before="0" w:beforeAutospacing="0" w:after="0" w:afterAutospacing="0" w:line="360" w:lineRule="auto"/>
              <w:ind w:left="0" w:leftChars="0" w:right="0" w:rightChars="0" w:firstLine="482" w:firstLineChars="200"/>
              <w:jc w:val="center"/>
              <w:textAlignment w:val="bottom"/>
              <w:outlineLvl w:val="1"/>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表3</w:t>
            </w: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大气环境质量现状与评价结果一览表</w:t>
            </w:r>
          </w:p>
          <w:tbl>
            <w:tblPr>
              <w:tblStyle w:val="29"/>
              <w:tblW w:w="827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891"/>
              <w:gridCol w:w="1621"/>
              <w:gridCol w:w="1144"/>
              <w:gridCol w:w="1235"/>
              <w:gridCol w:w="1089"/>
              <w:gridCol w:w="129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1906" w:type="dxa"/>
                  <w:tcBorders>
                    <w:top w:val="single" w:color="auto" w:sz="4" w:space="0"/>
                    <w:left w:val="single" w:color="auto" w:sz="0"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年评价指标</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现状浓度（</w:t>
                  </w:r>
                  <w:r>
                    <w:rPr>
                      <w:rFonts w:hint="default" w:ascii="Times New Roman" w:hAnsi="Times New Roman" w:eastAsia="宋体" w:cs="Times New Roman"/>
                      <w:color w:val="auto"/>
                      <w:sz w:val="21"/>
                      <w:szCs w:val="21"/>
                      <w:highlight w:val="none"/>
                      <w:lang w:eastAsia="zh-CN"/>
                    </w:rPr>
                    <w:t>μg/m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rPr>
                    <w:t>）</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标准值（</w:t>
                  </w:r>
                  <w:r>
                    <w:rPr>
                      <w:rFonts w:hint="default" w:ascii="Times New Roman" w:hAnsi="Times New Roman" w:eastAsia="宋体" w:cs="Times New Roman"/>
                      <w:color w:val="auto"/>
                      <w:sz w:val="21"/>
                      <w:szCs w:val="21"/>
                      <w:highlight w:val="none"/>
                      <w:lang w:eastAsia="zh-CN"/>
                    </w:rPr>
                    <w:t>μg/m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rPr>
                    <w:t>）</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占标率%</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细颗粒物（PM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16</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35</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45.7</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可吸入颗粒物（PM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65</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70</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92.9</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13</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60</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21.7</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二氧化氮</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27</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40</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67.5</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一氧化碳</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日平均浓度</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1000</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4000</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25.0</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臭氧</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8小时平均浓度</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139</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160</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86.9</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bl>
          <w:p>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b w:val="0"/>
                <w:bCs/>
                <w:color w:val="auto"/>
                <w:kern w:val="0"/>
                <w:sz w:val="24"/>
                <w:szCs w:val="24"/>
                <w:highlight w:val="none"/>
                <w:lang w:eastAsia="zh-CN"/>
              </w:rPr>
            </w:pPr>
            <w:r>
              <w:rPr>
                <w:rFonts w:hint="default" w:ascii="Times New Roman" w:hAnsi="Times New Roman" w:eastAsia="宋体" w:cs="Times New Roman"/>
                <w:color w:val="auto"/>
                <w:sz w:val="24"/>
                <w:szCs w:val="24"/>
                <w:highlight w:val="none"/>
              </w:rPr>
              <w:t>从上表可以看出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kern w:val="0"/>
                <w:sz w:val="24"/>
                <w:szCs w:val="24"/>
                <w:highlight w:val="none"/>
                <w:lang w:eastAsia="zh-CN"/>
              </w:rPr>
              <w:t>巴彦淖尔市乌拉特前旗</w:t>
            </w:r>
            <w:r>
              <w:rPr>
                <w:rFonts w:hint="default" w:ascii="Times New Roman" w:hAnsi="Times New Roman" w:eastAsia="宋体" w:cs="Times New Roman"/>
                <w:color w:val="auto"/>
                <w:kern w:val="0"/>
                <w:sz w:val="24"/>
                <w:szCs w:val="24"/>
                <w:highlight w:val="none"/>
                <w:lang w:val="en-US" w:eastAsia="zh-CN"/>
              </w:rPr>
              <w:t>2022年大气环境中6项</w:t>
            </w:r>
            <w:r>
              <w:rPr>
                <w:rFonts w:hint="default" w:ascii="Times New Roman" w:hAnsi="Times New Roman" w:eastAsia="宋体" w:cs="Times New Roman"/>
                <w:color w:val="auto"/>
                <w:kern w:val="0"/>
                <w:sz w:val="24"/>
                <w:szCs w:val="24"/>
                <w:highlight w:val="none"/>
              </w:rPr>
              <w:t>污染物</w:t>
            </w:r>
            <w:r>
              <w:rPr>
                <w:rFonts w:hint="default" w:ascii="Times New Roman" w:hAnsi="Times New Roman" w:eastAsia="宋体" w:cs="Times New Roman"/>
                <w:color w:val="auto"/>
                <w:kern w:val="0"/>
                <w:sz w:val="24"/>
                <w:szCs w:val="24"/>
                <w:highlight w:val="none"/>
                <w:lang w:eastAsia="zh-CN"/>
              </w:rPr>
              <w:t>中</w:t>
            </w:r>
            <w:r>
              <w:rPr>
                <w:rFonts w:hint="default" w:ascii="Times New Roman" w:hAnsi="Times New Roman" w:eastAsia="宋体" w:cs="Times New Roman"/>
                <w:color w:val="auto"/>
                <w:kern w:val="0"/>
                <w:sz w:val="24"/>
                <w:szCs w:val="24"/>
                <w:highlight w:val="none"/>
              </w:rPr>
              <w:t>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、NO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10</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2.5</w:t>
            </w:r>
            <w:r>
              <w:rPr>
                <w:rFonts w:hint="default" w:ascii="Times New Roman" w:hAnsi="Times New Roman" w:eastAsia="宋体" w:cs="Times New Roman"/>
                <w:color w:val="auto"/>
                <w:kern w:val="0"/>
                <w:sz w:val="24"/>
                <w:szCs w:val="24"/>
                <w:highlight w:val="none"/>
              </w:rPr>
              <w:t>、CO和O</w:t>
            </w:r>
            <w:r>
              <w:rPr>
                <w:rFonts w:hint="default" w:ascii="Times New Roman" w:hAnsi="Times New Roman" w:eastAsia="宋体" w:cs="Times New Roman"/>
                <w:color w:val="auto"/>
                <w:kern w:val="0"/>
                <w:sz w:val="24"/>
                <w:szCs w:val="24"/>
                <w:highlight w:val="none"/>
                <w:vertAlign w:val="subscript"/>
              </w:rPr>
              <w:t>3</w:t>
            </w:r>
            <w:r>
              <w:rPr>
                <w:rFonts w:hint="default" w:ascii="Times New Roman" w:hAnsi="Times New Roman" w:eastAsia="宋体" w:cs="Times New Roman"/>
                <w:color w:val="auto"/>
                <w:kern w:val="0"/>
                <w:sz w:val="24"/>
                <w:szCs w:val="24"/>
                <w:highlight w:val="none"/>
              </w:rPr>
              <w:t>质量浓度</w:t>
            </w:r>
            <w:r>
              <w:rPr>
                <w:rFonts w:hint="default" w:ascii="Times New Roman" w:hAnsi="Times New Roman" w:eastAsia="宋体" w:cs="Times New Roman"/>
                <w:color w:val="auto"/>
                <w:kern w:val="0"/>
                <w:sz w:val="24"/>
                <w:szCs w:val="24"/>
                <w:highlight w:val="none"/>
                <w:lang w:eastAsia="zh-CN"/>
              </w:rPr>
              <w:t>均满足</w:t>
            </w:r>
            <w:r>
              <w:rPr>
                <w:rFonts w:hint="default" w:ascii="Times New Roman" w:hAnsi="Times New Roman" w:eastAsia="宋体" w:cs="Times New Roman"/>
                <w:color w:val="auto"/>
                <w:kern w:val="0"/>
                <w:sz w:val="24"/>
                <w:szCs w:val="24"/>
                <w:highlight w:val="none"/>
              </w:rPr>
              <w:t>《环境空气质量标准》（GB3095-2012）二级标准</w:t>
            </w:r>
            <w:r>
              <w:rPr>
                <w:rFonts w:hint="default" w:ascii="Times New Roman" w:hAnsi="Times New Roman" w:eastAsia="宋体" w:cs="Times New Roman"/>
                <w:color w:val="auto"/>
                <w:kern w:val="0"/>
                <w:sz w:val="24"/>
                <w:szCs w:val="24"/>
                <w:highlight w:val="none"/>
                <w:vertAlign w:val="baseline"/>
              </w:rPr>
              <w:t>限值</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由此可判断</w:t>
            </w:r>
            <w:r>
              <w:rPr>
                <w:rFonts w:hint="default" w:ascii="Times New Roman" w:hAnsi="Times New Roman" w:eastAsia="宋体" w:cs="Times New Roman"/>
                <w:color w:val="auto"/>
                <w:kern w:val="0"/>
                <w:sz w:val="24"/>
                <w:szCs w:val="24"/>
                <w:highlight w:val="none"/>
                <w:lang w:eastAsia="zh-CN"/>
              </w:rPr>
              <w:t>乌拉特前旗为</w:t>
            </w:r>
            <w:r>
              <w:rPr>
                <w:rFonts w:hint="default" w:ascii="Times New Roman" w:hAnsi="Times New Roman" w:eastAsia="宋体" w:cs="Times New Roman"/>
                <w:color w:val="auto"/>
                <w:kern w:val="0"/>
                <w:sz w:val="24"/>
                <w:szCs w:val="24"/>
                <w:highlight w:val="none"/>
              </w:rPr>
              <w:t>达标区</w:t>
            </w:r>
            <w:r>
              <w:rPr>
                <w:rFonts w:hint="default" w:ascii="Times New Roman" w:hAnsi="Times New Roman" w:eastAsia="宋体" w:cs="Times New Roman"/>
                <w:b w:val="0"/>
                <w:bCs/>
                <w:color w:val="auto"/>
                <w:kern w:val="0"/>
                <w:sz w:val="24"/>
                <w:szCs w:val="24"/>
                <w:highlight w:val="none"/>
                <w:lang w:eastAsia="zh-CN"/>
              </w:rPr>
              <w:t>。</w:t>
            </w:r>
          </w:p>
          <w:p>
            <w:pPr>
              <w:keepNext w:val="0"/>
              <w:keepLines w:val="0"/>
              <w:pageBreakBefore w:val="0"/>
              <w:suppressLineNumbers w:val="0"/>
              <w:shd w:val="clear"/>
              <w:kinsoku/>
              <w:wordWrap/>
              <w:overflowPunct/>
              <w:bidi w:val="0"/>
              <w:spacing w:before="0" w:beforeAutospacing="0" w:after="0" w:afterAutospacing="0" w:line="360" w:lineRule="auto"/>
              <w:ind w:left="0" w:leftChars="0" w:right="0" w:rightChars="0" w:firstLine="482" w:firstLineChars="200"/>
              <w:jc w:val="left"/>
              <w:rPr>
                <w:rFonts w:hint="default" w:ascii="Times New Roman" w:hAnsi="Times New Roman" w:eastAsia="宋体" w:cs="Times New Roman"/>
                <w:b/>
                <w:bCs/>
                <w:color w:val="auto"/>
                <w:sz w:val="24"/>
                <w:szCs w:val="22"/>
                <w:highlight w:val="none"/>
                <w:lang w:eastAsia="zh-CN"/>
              </w:rPr>
            </w:pPr>
            <w:r>
              <w:rPr>
                <w:rFonts w:hint="default" w:ascii="Times New Roman" w:hAnsi="Times New Roman" w:eastAsia="宋体" w:cs="Times New Roman"/>
                <w:b/>
                <w:bCs/>
                <w:color w:val="auto"/>
                <w:sz w:val="24"/>
                <w:szCs w:val="22"/>
                <w:highlight w:val="none"/>
              </w:rPr>
              <w:t>（2）其他污染物环境质量现状</w:t>
            </w:r>
            <w:r>
              <w:rPr>
                <w:rFonts w:hint="default" w:ascii="Times New Roman" w:hAnsi="Times New Roman" w:eastAsia="宋体" w:cs="Times New Roman"/>
                <w:b/>
                <w:bCs/>
                <w:color w:val="auto"/>
                <w:sz w:val="24"/>
                <w:szCs w:val="22"/>
                <w:highlight w:val="none"/>
                <w:lang w:eastAsia="zh-CN"/>
              </w:rPr>
              <w:t>评价</w:t>
            </w:r>
          </w:p>
          <w:p>
            <w:pPr>
              <w:keepNext w:val="0"/>
              <w:keepLines w:val="0"/>
              <w:pageBreakBefore w:val="0"/>
              <w:suppressLineNumbers w:val="0"/>
              <w:shd w:val="clear"/>
              <w:kinsoku/>
              <w:wordWrap/>
              <w:overflowPunct/>
              <w:bidi w:val="0"/>
              <w:spacing w:before="0" w:beforeAutospacing="0" w:after="0" w:afterAutospacing="0"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评价的其他污染物为TSP，为掌握评价区环境空气质量现状，并为影响评价提供基础资料和数据，本次评价引用《内蒙古东立光伏股份有限公司年产5万吨高纯多晶硅项目环境影响报告书》中TSP的监测数据。</w:t>
            </w:r>
          </w:p>
          <w:p>
            <w:pPr>
              <w:keepNext w:val="0"/>
              <w:keepLines w:val="0"/>
              <w:pageBreakBefore w:val="0"/>
              <w:suppressLineNumbers w:val="0"/>
              <w:shd w:val="clear"/>
              <w:kinsoku/>
              <w:wordWrap/>
              <w:overflowPunct/>
              <w:bidi w:val="0"/>
              <w:spacing w:before="0" w:beforeAutospacing="0" w:after="0" w:afterAutospacing="0"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监测时间：20</w:t>
            </w:r>
            <w:r>
              <w:rPr>
                <w:rFonts w:hint="default" w:ascii="Times New Roman" w:hAnsi="Times New Roman" w:eastAsia="宋体" w:cs="Times New Roman"/>
                <w:color w:val="auto"/>
                <w:sz w:val="24"/>
                <w:highlight w:val="none"/>
                <w:lang w:val="en-US" w:eastAsia="zh-CN"/>
              </w:rPr>
              <w:t>23</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月</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日至202</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月</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日；监测点位：东立</w:t>
            </w:r>
            <w:r>
              <w:rPr>
                <w:rFonts w:hint="default" w:ascii="Times New Roman" w:hAnsi="Times New Roman" w:eastAsia="宋体" w:cs="Times New Roman"/>
                <w:color w:val="auto"/>
                <w:sz w:val="24"/>
                <w:highlight w:val="none"/>
                <w:lang w:val="en-US" w:eastAsia="zh-CN"/>
              </w:rPr>
              <w:t>厂区</w:t>
            </w:r>
            <w:r>
              <w:rPr>
                <w:rFonts w:hint="default" w:ascii="Times New Roman" w:hAnsi="Times New Roman" w:eastAsia="宋体" w:cs="Times New Roman"/>
                <w:color w:val="auto"/>
                <w:sz w:val="24"/>
                <w:highlight w:val="none"/>
              </w:rPr>
              <w:t>，监测点位与</w:t>
            </w: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的位置关系见表3-2；监测因子：TSP。监测结果统计见表3-3。</w:t>
            </w:r>
          </w:p>
          <w:p>
            <w:pPr>
              <w:keepNext w:val="0"/>
              <w:keepLines w:val="0"/>
              <w:pageBreakBefore w:val="0"/>
              <w:suppressLineNumbers w:val="0"/>
              <w:shd w:val="clear"/>
              <w:kinsoku/>
              <w:wordWrap/>
              <w:overflowPunct/>
              <w:bidi w:val="0"/>
              <w:spacing w:before="0" w:beforeAutospacing="0" w:after="0" w:afterAutospacing="0" w:line="360" w:lineRule="auto"/>
              <w:ind w:left="0" w:leftChars="0" w:right="0" w:rightChars="0" w:firstLine="482" w:firstLineChars="200"/>
              <w:jc w:val="center"/>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表3-</w:t>
            </w:r>
            <w:r>
              <w:rPr>
                <w:rFonts w:hint="default" w:ascii="Times New Roman" w:hAnsi="Times New Roman" w:eastAsia="宋体" w:cs="Times New Roman"/>
                <w:b/>
                <w:bCs/>
                <w:color w:val="auto"/>
                <w:sz w:val="24"/>
                <w:szCs w:val="22"/>
                <w:highlight w:val="none"/>
                <w:lang w:val="en-US" w:eastAsia="zh-CN"/>
              </w:rPr>
              <w:t>2</w:t>
            </w:r>
            <w:r>
              <w:rPr>
                <w:rFonts w:hint="default" w:ascii="Times New Roman" w:hAnsi="Times New Roman" w:eastAsia="宋体" w:cs="Times New Roman"/>
                <w:b/>
                <w:bCs/>
                <w:color w:val="auto"/>
                <w:sz w:val="24"/>
                <w:szCs w:val="22"/>
                <w:highlight w:val="none"/>
              </w:rPr>
              <w:t>其他污染物补充监测点位基本信息</w:t>
            </w:r>
          </w:p>
          <w:tbl>
            <w:tblPr>
              <w:tblStyle w:val="29"/>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1441"/>
              <w:gridCol w:w="1594"/>
              <w:gridCol w:w="932"/>
              <w:gridCol w:w="1325"/>
              <w:gridCol w:w="1194"/>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restart"/>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监测点位</w:t>
                  </w:r>
                </w:p>
              </w:tc>
              <w:tc>
                <w:tcPr>
                  <w:tcW w:w="3035" w:type="dxa"/>
                  <w:gridSpan w:val="2"/>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坐标</w:t>
                  </w:r>
                </w:p>
              </w:tc>
              <w:tc>
                <w:tcPr>
                  <w:tcW w:w="932" w:type="dxa"/>
                  <w:vMerge w:val="restart"/>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w:t>
                  </w:r>
                </w:p>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因子</w:t>
                  </w:r>
                </w:p>
              </w:tc>
              <w:tc>
                <w:tcPr>
                  <w:tcW w:w="1325" w:type="dxa"/>
                  <w:vMerge w:val="restart"/>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监测时段</w:t>
                  </w:r>
                </w:p>
              </w:tc>
              <w:tc>
                <w:tcPr>
                  <w:tcW w:w="1194" w:type="dxa"/>
                  <w:vMerge w:val="restart"/>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相对</w:t>
                  </w:r>
                  <w:r>
                    <w:rPr>
                      <w:rFonts w:hint="default" w:ascii="Times New Roman" w:hAnsi="Times New Roman" w:eastAsia="宋体" w:cs="Times New Roman"/>
                      <w:b/>
                      <w:color w:val="auto"/>
                      <w:sz w:val="21"/>
                      <w:szCs w:val="21"/>
                      <w:highlight w:val="none"/>
                      <w:lang w:val="en-US" w:eastAsia="zh-CN"/>
                    </w:rPr>
                    <w:t>本</w:t>
                  </w:r>
                  <w:r>
                    <w:rPr>
                      <w:rFonts w:hint="default" w:ascii="Times New Roman" w:hAnsi="Times New Roman" w:eastAsia="宋体" w:cs="Times New Roman"/>
                      <w:b/>
                      <w:color w:val="auto"/>
                      <w:sz w:val="21"/>
                      <w:szCs w:val="21"/>
                      <w:highlight w:val="none"/>
                      <w:lang w:eastAsia="zh-CN"/>
                    </w:rPr>
                    <w:t>项目</w:t>
                  </w:r>
                  <w:r>
                    <w:rPr>
                      <w:rFonts w:hint="default" w:ascii="Times New Roman" w:hAnsi="Times New Roman" w:eastAsia="宋体" w:cs="Times New Roman"/>
                      <w:b/>
                      <w:color w:val="auto"/>
                      <w:sz w:val="21"/>
                      <w:szCs w:val="21"/>
                      <w:highlight w:val="none"/>
                    </w:rPr>
                    <w:t>厂址方位</w:t>
                  </w:r>
                </w:p>
              </w:tc>
              <w:tc>
                <w:tcPr>
                  <w:tcW w:w="1071" w:type="dxa"/>
                  <w:vMerge w:val="restart"/>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相对</w:t>
                  </w:r>
                  <w:r>
                    <w:rPr>
                      <w:rFonts w:hint="default" w:ascii="Times New Roman" w:hAnsi="Times New Roman" w:eastAsia="宋体" w:cs="Times New Roman"/>
                      <w:b/>
                      <w:color w:val="auto"/>
                      <w:sz w:val="21"/>
                      <w:szCs w:val="21"/>
                      <w:highlight w:val="none"/>
                      <w:lang w:val="en-US" w:eastAsia="zh-CN"/>
                    </w:rPr>
                    <w:t>本</w:t>
                  </w:r>
                  <w:r>
                    <w:rPr>
                      <w:rFonts w:hint="default" w:ascii="Times New Roman" w:hAnsi="Times New Roman" w:eastAsia="宋体" w:cs="Times New Roman"/>
                      <w:b/>
                      <w:color w:val="auto"/>
                      <w:sz w:val="21"/>
                      <w:szCs w:val="21"/>
                      <w:highlight w:val="none"/>
                      <w:lang w:eastAsia="zh-CN"/>
                    </w:rPr>
                    <w:t>项目</w:t>
                  </w:r>
                  <w:r>
                    <w:rPr>
                      <w:rFonts w:hint="default" w:ascii="Times New Roman" w:hAnsi="Times New Roman" w:eastAsia="宋体" w:cs="Times New Roman"/>
                      <w:b/>
                      <w:color w:val="auto"/>
                      <w:sz w:val="21"/>
                      <w:szCs w:val="21"/>
                      <w:highlight w:val="none"/>
                    </w:rPr>
                    <w:t>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p>
              </w:tc>
              <w:tc>
                <w:tcPr>
                  <w:tcW w:w="1441"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北纬</w:t>
                  </w:r>
                </w:p>
              </w:tc>
              <w:tc>
                <w:tcPr>
                  <w:tcW w:w="1594"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东经</w:t>
                  </w:r>
                </w:p>
              </w:tc>
              <w:tc>
                <w:tcPr>
                  <w:tcW w:w="932" w:type="dxa"/>
                  <w:vMerge w:val="continue"/>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p>
              </w:tc>
              <w:tc>
                <w:tcPr>
                  <w:tcW w:w="1325" w:type="dxa"/>
                  <w:vMerge w:val="continue"/>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p>
              </w:tc>
              <w:tc>
                <w:tcPr>
                  <w:tcW w:w="1194" w:type="dxa"/>
                  <w:vMerge w:val="continue"/>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p>
              </w:tc>
              <w:tc>
                <w:tcPr>
                  <w:tcW w:w="1071" w:type="dxa"/>
                  <w:vMerge w:val="continue"/>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东立厂区</w:t>
                  </w:r>
                </w:p>
              </w:tc>
              <w:tc>
                <w:tcPr>
                  <w:tcW w:w="1441"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en-US"/>
                    </w:rPr>
                    <w:t>40°35'47.12"</w:t>
                  </w:r>
                </w:p>
              </w:tc>
              <w:tc>
                <w:tcPr>
                  <w:tcW w:w="1594"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en-US"/>
                    </w:rPr>
                    <w:t>109°22'</w:t>
                  </w:r>
                  <w:r>
                    <w:rPr>
                      <w:rFonts w:hint="default" w:ascii="Times New Roman" w:hAnsi="Times New Roman" w:eastAsia="宋体" w:cs="Times New Roman"/>
                      <w:color w:val="auto"/>
                      <w:sz w:val="21"/>
                      <w:szCs w:val="21"/>
                      <w:highlight w:val="none"/>
                      <w:lang w:val="en-US" w:eastAsia="zh-CN"/>
                    </w:rPr>
                    <w:t>0.01</w:t>
                  </w:r>
                  <w:r>
                    <w:rPr>
                      <w:rFonts w:hint="default" w:ascii="Times New Roman" w:hAnsi="Times New Roman" w:eastAsia="宋体" w:cs="Times New Roman"/>
                      <w:color w:val="auto"/>
                      <w:sz w:val="21"/>
                      <w:szCs w:val="21"/>
                      <w:highlight w:val="none"/>
                      <w:lang w:val="en-US" w:eastAsia="en-US"/>
                    </w:rPr>
                    <w:t>"</w:t>
                  </w:r>
                </w:p>
              </w:tc>
              <w:tc>
                <w:tcPr>
                  <w:tcW w:w="932"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1325"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24</w:t>
                  </w:r>
                  <w:r>
                    <w:rPr>
                      <w:rFonts w:hint="default" w:ascii="Times New Roman" w:hAnsi="Times New Roman" w:eastAsia="宋体" w:cs="Times New Roman"/>
                      <w:bCs/>
                      <w:color w:val="auto"/>
                      <w:sz w:val="21"/>
                      <w:szCs w:val="21"/>
                      <w:highlight w:val="none"/>
                    </w:rPr>
                    <w:t>小时平均浓度</w:t>
                  </w:r>
                </w:p>
              </w:tc>
              <w:tc>
                <w:tcPr>
                  <w:tcW w:w="1194"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项目</w:t>
                  </w:r>
                  <w:r>
                    <w:rPr>
                      <w:rFonts w:hint="default" w:ascii="Times New Roman" w:hAnsi="Times New Roman" w:eastAsia="宋体" w:cs="Times New Roman"/>
                      <w:bCs/>
                      <w:color w:val="auto"/>
                      <w:sz w:val="21"/>
                      <w:szCs w:val="21"/>
                      <w:highlight w:val="none"/>
                      <w:lang w:eastAsia="zh-CN"/>
                    </w:rPr>
                    <w:t>厂区</w:t>
                  </w:r>
                  <w:r>
                    <w:rPr>
                      <w:rFonts w:hint="default" w:ascii="Times New Roman" w:hAnsi="Times New Roman" w:eastAsia="宋体" w:cs="Times New Roman"/>
                      <w:bCs/>
                      <w:color w:val="auto"/>
                      <w:sz w:val="21"/>
                      <w:szCs w:val="21"/>
                      <w:highlight w:val="none"/>
                      <w:lang w:val="en-US" w:eastAsia="zh-CN"/>
                    </w:rPr>
                    <w:t>东</w:t>
                  </w:r>
                  <w:r>
                    <w:rPr>
                      <w:rFonts w:hint="default" w:ascii="Times New Roman" w:hAnsi="Times New Roman" w:eastAsia="宋体" w:cs="Times New Roman"/>
                      <w:bCs/>
                      <w:color w:val="auto"/>
                      <w:sz w:val="21"/>
                      <w:szCs w:val="21"/>
                      <w:highlight w:val="none"/>
                    </w:rPr>
                    <w:t>侧</w:t>
                  </w:r>
                </w:p>
              </w:tc>
              <w:tc>
                <w:tcPr>
                  <w:tcW w:w="1071"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4630</w:t>
                  </w:r>
                </w:p>
              </w:tc>
            </w:tr>
          </w:tbl>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360" w:lineRule="auto"/>
              <w:ind w:left="0" w:leftChars="0" w:right="0" w:rightChars="0" w:firstLine="0"/>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bCs/>
                <w:color w:val="auto"/>
                <w:kern w:val="0"/>
                <w:sz w:val="24"/>
                <w:szCs w:val="24"/>
                <w:highlight w:val="none"/>
                <w:lang w:val="en-US" w:eastAsia="zh-CN"/>
              </w:rPr>
              <w:t>3-3</w:t>
            </w:r>
            <w:r>
              <w:rPr>
                <w:rFonts w:hint="default" w:ascii="Times New Roman" w:hAnsi="Times New Roman" w:eastAsia="宋体" w:cs="Times New Roman"/>
                <w:b/>
                <w:color w:val="auto"/>
                <w:sz w:val="24"/>
                <w:highlight w:val="none"/>
              </w:rPr>
              <w:t>其他污染物环境质量现状（监测结果）表</w:t>
            </w:r>
          </w:p>
          <w:tbl>
            <w:tblPr>
              <w:tblStyle w:val="29"/>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1182"/>
              <w:gridCol w:w="1150"/>
              <w:gridCol w:w="1163"/>
              <w:gridCol w:w="1163"/>
              <w:gridCol w:w="961"/>
              <w:gridCol w:w="960"/>
              <w:gridCol w:w="9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监测点位</w:t>
                  </w:r>
                </w:p>
              </w:tc>
              <w:tc>
                <w:tcPr>
                  <w:tcW w:w="1185"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1154"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平均时间</w:t>
                  </w:r>
                </w:p>
              </w:tc>
              <w:tc>
                <w:tcPr>
                  <w:tcW w:w="1155"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平均标准（μg/m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rPr>
                    <w:t>）</w:t>
                  </w:r>
                </w:p>
              </w:tc>
              <w:tc>
                <w:tcPr>
                  <w:tcW w:w="1155"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监测浓度范围（μg/m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rPr>
                    <w:t>）</w:t>
                  </w:r>
                </w:p>
              </w:tc>
              <w:tc>
                <w:tcPr>
                  <w:tcW w:w="963"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最大浓度占标率/%</w:t>
                  </w:r>
                </w:p>
              </w:tc>
              <w:tc>
                <w:tcPr>
                  <w:tcW w:w="963"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超标率/%</w:t>
                  </w:r>
                </w:p>
              </w:tc>
              <w:tc>
                <w:tcPr>
                  <w:tcW w:w="963" w:type="dxa"/>
                  <w:noWrap w:val="0"/>
                  <w:vAlign w:val="center"/>
                </w:tcPr>
                <w:p>
                  <w:pPr>
                    <w:pStyle w:val="17"/>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dxa"/>
                  <w:noWrap w:val="0"/>
                  <w:vAlign w:val="center"/>
                </w:tcPr>
                <w:p>
                  <w:pPr>
                    <w:pStyle w:val="17"/>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0"/>
                      <w:sz w:val="21"/>
                      <w:szCs w:val="21"/>
                      <w:highlight w:val="none"/>
                      <w:lang w:val="en-US" w:eastAsia="zh-CN" w:bidi="en-US"/>
                    </w:rPr>
                  </w:pPr>
                  <w:r>
                    <w:rPr>
                      <w:rFonts w:hint="default" w:ascii="Times New Roman" w:hAnsi="Times New Roman" w:eastAsia="宋体" w:cs="Times New Roman"/>
                      <w:color w:val="auto"/>
                      <w:sz w:val="21"/>
                      <w:szCs w:val="21"/>
                      <w:highlight w:val="none"/>
                      <w:lang w:eastAsia="zh-CN"/>
                    </w:rPr>
                    <w:t>东立厂区</w:t>
                  </w:r>
                </w:p>
              </w:tc>
              <w:tc>
                <w:tcPr>
                  <w:tcW w:w="1185" w:type="dxa"/>
                  <w:noWrap w:val="0"/>
                  <w:vAlign w:val="center"/>
                </w:tcPr>
                <w:p>
                  <w:pPr>
                    <w:pStyle w:val="17"/>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en-US" w:bidi="en-US"/>
                    </w:rPr>
                  </w:pPr>
                  <w:r>
                    <w:rPr>
                      <w:rFonts w:hint="default" w:ascii="Times New Roman" w:hAnsi="Times New Roman" w:eastAsia="宋体" w:cs="Times New Roman"/>
                      <w:color w:val="auto"/>
                      <w:sz w:val="21"/>
                      <w:szCs w:val="21"/>
                      <w:highlight w:val="none"/>
                    </w:rPr>
                    <w:t>TSP</w:t>
                  </w:r>
                </w:p>
              </w:tc>
              <w:tc>
                <w:tcPr>
                  <w:tcW w:w="115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Autospacing="0"/>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24</w:t>
                  </w:r>
                  <w:r>
                    <w:rPr>
                      <w:rFonts w:hint="default" w:ascii="Times New Roman" w:hAnsi="Times New Roman" w:eastAsia="宋体" w:cs="Times New Roman"/>
                      <w:bCs/>
                      <w:color w:val="auto"/>
                      <w:sz w:val="21"/>
                      <w:szCs w:val="21"/>
                      <w:highlight w:val="none"/>
                    </w:rPr>
                    <w:t>小时平均浓度</w:t>
                  </w:r>
                </w:p>
              </w:tc>
              <w:tc>
                <w:tcPr>
                  <w:tcW w:w="1155" w:type="dxa"/>
                  <w:noWrap w:val="0"/>
                  <w:vAlign w:val="center"/>
                </w:tcPr>
                <w:p>
                  <w:pPr>
                    <w:pStyle w:val="17"/>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0"/>
                      <w:sz w:val="21"/>
                      <w:szCs w:val="21"/>
                      <w:highlight w:val="none"/>
                      <w:lang w:val="en-US" w:eastAsia="zh-CN" w:bidi="en-US"/>
                    </w:rPr>
                  </w:pPr>
                  <w:r>
                    <w:rPr>
                      <w:rFonts w:hint="default" w:ascii="Times New Roman" w:hAnsi="Times New Roman" w:eastAsia="宋体" w:cs="Times New Roman"/>
                      <w:bCs/>
                      <w:color w:val="auto"/>
                      <w:sz w:val="21"/>
                      <w:szCs w:val="21"/>
                      <w:highlight w:val="none"/>
                      <w:lang w:val="en-US" w:eastAsia="zh-CN"/>
                    </w:rPr>
                    <w:t>300</w:t>
                  </w:r>
                </w:p>
              </w:tc>
              <w:tc>
                <w:tcPr>
                  <w:tcW w:w="11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Autospacing="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151~290</w:t>
                  </w:r>
                </w:p>
              </w:tc>
              <w:tc>
                <w:tcPr>
                  <w:tcW w:w="96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Autospacing="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96.7</w:t>
                  </w:r>
                </w:p>
              </w:tc>
              <w:tc>
                <w:tcPr>
                  <w:tcW w:w="96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Autospacing="0"/>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0</w:t>
                  </w:r>
                </w:p>
              </w:tc>
              <w:tc>
                <w:tcPr>
                  <w:tcW w:w="96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Autospacing="0"/>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否</w:t>
                  </w:r>
                </w:p>
              </w:tc>
            </w:tr>
          </w:tbl>
          <w:p>
            <w:pPr>
              <w:keepNext w:val="0"/>
              <w:keepLines w:val="0"/>
              <w:pageBreakBefore w:val="0"/>
              <w:widowControl w:val="0"/>
              <w:suppressLineNumbers w:val="0"/>
              <w:shd w:val="clear"/>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从上表其他污染物现状监测数据统计结果可知，其他污染物（TSP）24小时平均浓度</w:t>
            </w:r>
            <w:r>
              <w:rPr>
                <w:rFonts w:hint="default" w:ascii="Times New Roman" w:hAnsi="Times New Roman" w:eastAsia="宋体" w:cs="Times New Roman"/>
                <w:bCs/>
                <w:color w:val="auto"/>
                <w:sz w:val="24"/>
                <w:highlight w:val="none"/>
              </w:rPr>
              <w:t>满足</w:t>
            </w:r>
            <w:r>
              <w:rPr>
                <w:rFonts w:hint="default" w:ascii="Times New Roman" w:hAnsi="Times New Roman" w:eastAsia="宋体" w:cs="Times New Roman"/>
                <w:color w:val="auto"/>
                <w:sz w:val="24"/>
                <w:highlight w:val="none"/>
              </w:rPr>
              <w:t>《环境空气质量标准》</w:t>
            </w:r>
            <w:r>
              <w:rPr>
                <w:rFonts w:hint="default" w:ascii="Times New Roman" w:hAnsi="Times New Roman" w:eastAsia="宋体" w:cs="Times New Roman"/>
                <w:color w:val="auto"/>
                <w:sz w:val="24"/>
                <w:highlight w:val="none"/>
                <w:lang w:eastAsia="zh-CN"/>
              </w:rPr>
              <w:t>（GB3095-2012）</w:t>
            </w:r>
            <w:r>
              <w:rPr>
                <w:rFonts w:hint="default" w:ascii="Times New Roman" w:hAnsi="Times New Roman" w:eastAsia="宋体" w:cs="Times New Roman"/>
                <w:color w:val="auto"/>
                <w:sz w:val="24"/>
                <w:highlight w:val="none"/>
              </w:rPr>
              <w:t>二级标准</w:t>
            </w:r>
            <w:r>
              <w:rPr>
                <w:rFonts w:hint="default" w:ascii="Times New Roman" w:hAnsi="Times New Roman" w:eastAsia="宋体" w:cs="Times New Roman"/>
                <w:color w:val="auto"/>
                <w:sz w:val="24"/>
                <w:highlight w:val="none"/>
                <w:lang w:eastAsia="zh-CN"/>
              </w:rPr>
              <w:t>。</w:t>
            </w:r>
          </w:p>
          <w:p>
            <w:pPr>
              <w:pStyle w:val="15"/>
              <w:keepNext w:val="0"/>
              <w:keepLines w:val="0"/>
              <w:pageBreakBefore w:val="0"/>
              <w:suppressLineNumbers w:val="0"/>
              <w:kinsoku/>
              <w:wordWrap/>
              <w:overflowPunct/>
              <w:bidi w:val="0"/>
              <w:spacing w:before="0" w:beforeAutospacing="0" w:after="0" w:afterAutospacing="0" w:line="360" w:lineRule="auto"/>
              <w:ind w:left="0" w:leftChars="0" w:right="0" w:rightChars="0" w:firstLine="482" w:firstLineChars="200"/>
              <w:rPr>
                <w:rFonts w:hint="default" w:ascii="Times New Roman" w:hAnsi="Times New Roman" w:eastAsia="宋体" w:cs="Times New Roman"/>
                <w:b w:val="0"/>
                <w:bCs/>
                <w:color w:val="auto"/>
                <w:kern w:val="0"/>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引用可行性分析：</w:t>
            </w:r>
            <w:r>
              <w:rPr>
                <w:rFonts w:hint="default" w:ascii="Times New Roman" w:hAnsi="Times New Roman" w:eastAsia="宋体" w:cs="Times New Roman"/>
                <w:b w:val="0"/>
                <w:bCs w:val="0"/>
                <w:color w:val="auto"/>
                <w:sz w:val="24"/>
                <w:szCs w:val="24"/>
                <w:highlight w:val="none"/>
                <w:lang w:val="en-US" w:eastAsia="zh-CN"/>
              </w:rPr>
              <w:t>根据《建设项目环境影响报告表编制技术指南》（污染影响类）（试行）“排放国家、地方环境空气质量标准中有标准限值要求的特征污染物时，引用建设项目周边5千米范围内近3年的现有监测数据”，本项目引用数据的</w:t>
            </w:r>
            <w:r>
              <w:rPr>
                <w:rFonts w:hint="default" w:ascii="Times New Roman" w:hAnsi="Times New Roman" w:eastAsia="宋体" w:cs="Times New Roman"/>
                <w:b w:val="0"/>
                <w:bCs w:val="0"/>
                <w:color w:val="auto"/>
                <w:sz w:val="24"/>
                <w:szCs w:val="24"/>
                <w:highlight w:val="none"/>
                <w:lang w:eastAsia="zh-CN"/>
              </w:rPr>
              <w:t>监测时间为2023年4月1日至2023年4月7日</w:t>
            </w:r>
            <w:r>
              <w:rPr>
                <w:rFonts w:hint="default" w:ascii="Times New Roman" w:hAnsi="Times New Roman" w:eastAsia="宋体" w:cs="Times New Roman"/>
                <w:b w:val="0"/>
                <w:bCs w:val="0"/>
                <w:color w:val="auto"/>
                <w:sz w:val="24"/>
                <w:szCs w:val="24"/>
                <w:highlight w:val="none"/>
                <w:lang w:val="en-US" w:eastAsia="zh-CN"/>
              </w:rPr>
              <w:t>，在有效期3年之内；</w:t>
            </w:r>
            <w:r>
              <w:rPr>
                <w:rFonts w:hint="default" w:ascii="Times New Roman" w:hAnsi="Times New Roman" w:eastAsia="宋体" w:cs="Times New Roman"/>
                <w:b w:val="0"/>
                <w:bCs w:val="0"/>
                <w:color w:val="auto"/>
                <w:sz w:val="24"/>
                <w:szCs w:val="24"/>
                <w:highlight w:val="none"/>
                <w:lang w:eastAsia="zh-CN"/>
              </w:rPr>
              <w:t>距离本项目4630</w:t>
            </w:r>
            <w:r>
              <w:rPr>
                <w:rFonts w:hint="default" w:ascii="Times New Roman" w:hAnsi="Times New Roman" w:eastAsia="宋体" w:cs="Times New Roman"/>
                <w:b w:val="0"/>
                <w:bCs w:val="0"/>
                <w:color w:val="auto"/>
                <w:sz w:val="24"/>
                <w:szCs w:val="24"/>
                <w:highlight w:val="none"/>
                <w:lang w:val="en-US" w:eastAsia="zh-CN"/>
              </w:rPr>
              <w:t>m，在5km范围之内；因此，该TSP</w:t>
            </w:r>
            <w:r>
              <w:rPr>
                <w:rFonts w:hint="default" w:ascii="Times New Roman" w:hAnsi="Times New Roman" w:eastAsia="宋体" w:cs="Times New Roman"/>
                <w:color w:val="auto"/>
                <w:sz w:val="24"/>
                <w:szCs w:val="24"/>
                <w:highlight w:val="none"/>
                <w:lang w:eastAsia="zh-CN"/>
              </w:rPr>
              <w:t>监测点位可引用</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60" w:lineRule="auto"/>
              <w:ind w:left="0" w:leftChars="0" w:right="0" w:rightChars="0" w:firstLine="482" w:firstLineChars="200"/>
              <w:textAlignment w:val="auto"/>
              <w:rPr>
                <w:rFonts w:hint="default" w:ascii="Times New Roman" w:hAnsi="Times New Roman" w:eastAsia="宋体" w:cs="Times New Roman"/>
                <w:b/>
                <w:color w:val="auto"/>
                <w:kern w:val="0"/>
                <w:sz w:val="24"/>
                <w:szCs w:val="24"/>
                <w:highlight w:val="none"/>
                <w:lang w:eastAsia="zh-CN"/>
              </w:rPr>
            </w:pPr>
            <w:r>
              <w:rPr>
                <w:rFonts w:hint="default" w:ascii="Times New Roman" w:hAnsi="Times New Roman" w:eastAsia="宋体" w:cs="Times New Roman"/>
                <w:b/>
                <w:color w:val="auto"/>
                <w:kern w:val="0"/>
                <w:sz w:val="24"/>
                <w:szCs w:val="24"/>
                <w:highlight w:val="none"/>
                <w:lang w:val="en-US" w:eastAsia="zh-CN"/>
              </w:rPr>
              <w:t>2</w:t>
            </w:r>
            <w:r>
              <w:rPr>
                <w:rFonts w:hint="default" w:ascii="Times New Roman" w:hAnsi="Times New Roman" w:eastAsia="宋体" w:cs="Times New Roman"/>
                <w:b/>
                <w:color w:val="auto"/>
                <w:kern w:val="0"/>
                <w:sz w:val="24"/>
                <w:szCs w:val="24"/>
                <w:highlight w:val="none"/>
              </w:rPr>
              <w:t>、</w:t>
            </w:r>
            <w:r>
              <w:rPr>
                <w:rFonts w:hint="default" w:ascii="Times New Roman" w:hAnsi="Times New Roman" w:eastAsia="宋体" w:cs="Times New Roman"/>
                <w:b/>
                <w:color w:val="auto"/>
                <w:kern w:val="0"/>
                <w:sz w:val="24"/>
                <w:szCs w:val="24"/>
                <w:highlight w:val="none"/>
                <w:lang w:eastAsia="zh-CN"/>
              </w:rPr>
              <w:t>声</w:t>
            </w:r>
            <w:r>
              <w:rPr>
                <w:rFonts w:hint="default" w:ascii="Times New Roman" w:hAnsi="Times New Roman" w:eastAsia="宋体" w:cs="Times New Roman"/>
                <w:b/>
                <w:color w:val="auto"/>
                <w:kern w:val="0"/>
                <w:sz w:val="24"/>
                <w:szCs w:val="24"/>
                <w:highlight w:val="none"/>
              </w:rPr>
              <w:t>环境质量</w:t>
            </w:r>
            <w:r>
              <w:rPr>
                <w:rFonts w:hint="default" w:ascii="Times New Roman" w:hAnsi="Times New Roman" w:eastAsia="宋体" w:cs="Times New Roman"/>
                <w:b/>
                <w:color w:val="auto"/>
                <w:kern w:val="0"/>
                <w:sz w:val="24"/>
                <w:szCs w:val="24"/>
                <w:highlight w:val="none"/>
                <w:lang w:val="en-US" w:eastAsia="zh-CN"/>
              </w:rPr>
              <w:t>现状</w:t>
            </w:r>
          </w:p>
          <w:p>
            <w:pPr>
              <w:keepNext w:val="0"/>
              <w:keepLines w:val="0"/>
              <w:pageBreakBefore w:val="0"/>
              <w:widowControl/>
              <w:kinsoku/>
              <w:wordWrap/>
              <w:overflowPunct/>
              <w:topLinePunct w:val="0"/>
              <w:autoSpaceDE/>
              <w:autoSpaceDN/>
              <w:bidi w:val="0"/>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根据《建设项目环境影响报告表编制技术指南（污染影响类）》（试行）</w:t>
            </w:r>
            <w:r>
              <w:rPr>
                <w:rFonts w:hint="default" w:ascii="Times New Roman" w:hAnsi="Times New Roman" w:eastAsia="宋体" w:cs="Times New Roman"/>
                <w:color w:val="auto"/>
                <w:sz w:val="24"/>
                <w:szCs w:val="24"/>
                <w:highlight w:val="none"/>
                <w:lang w:eastAsia="zh-CN"/>
              </w:rPr>
              <w:t>，本项目</w:t>
            </w:r>
            <w:r>
              <w:rPr>
                <w:rFonts w:hint="default" w:ascii="Times New Roman" w:hAnsi="Times New Roman" w:eastAsia="宋体" w:cs="Times New Roman"/>
                <w:color w:val="auto"/>
                <w:sz w:val="24"/>
                <w:szCs w:val="24"/>
                <w:highlight w:val="none"/>
              </w:rPr>
              <w:t>厂界外50米范围内不存在声环境保护目标</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可不开展声环境质量现状调查</w:t>
            </w:r>
            <w:r>
              <w:rPr>
                <w:rFonts w:hint="default" w:ascii="Times New Roman" w:hAnsi="Times New Roman" w:eastAsia="宋体" w:cs="Times New Roman"/>
                <w:color w:val="auto"/>
                <w:highlight w:val="none"/>
              </w:rPr>
              <w:t>。</w:t>
            </w:r>
          </w:p>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360" w:lineRule="auto"/>
              <w:ind w:left="0" w:leftChars="0" w:right="0" w:rightChars="0" w:firstLine="482" w:firstLineChars="200"/>
              <w:textAlignment w:val="auto"/>
              <w:rPr>
                <w:rFonts w:hint="default" w:ascii="Times New Roman" w:hAnsi="Times New Roman" w:eastAsia="宋体" w:cs="Times New Roman"/>
                <w:b/>
                <w:color w:val="auto"/>
                <w:kern w:val="0"/>
                <w:sz w:val="24"/>
                <w:szCs w:val="24"/>
                <w:highlight w:val="none"/>
                <w:lang w:val="en-US" w:eastAsia="zh-CN"/>
              </w:rPr>
            </w:pPr>
            <w:r>
              <w:rPr>
                <w:rFonts w:hint="default" w:ascii="Times New Roman" w:hAnsi="Times New Roman" w:eastAsia="宋体" w:cs="Times New Roman"/>
                <w:b/>
                <w:color w:val="auto"/>
                <w:kern w:val="0"/>
                <w:sz w:val="24"/>
                <w:szCs w:val="24"/>
                <w:highlight w:val="none"/>
                <w:lang w:val="en-US" w:eastAsia="zh-CN"/>
              </w:rPr>
              <w:t>3、地下水和土壤的区域环境质量现状</w:t>
            </w:r>
          </w:p>
          <w:p>
            <w:pPr>
              <w:keepNext w:val="0"/>
              <w:keepLines w:val="0"/>
              <w:pageBreakBefore w:val="0"/>
              <w:widowControl/>
              <w:kinsoku/>
              <w:wordWrap/>
              <w:overflowPunct/>
              <w:topLinePunct w:val="0"/>
              <w:autoSpaceDE/>
              <w:autoSpaceDN/>
              <w:bidi w:val="0"/>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按照《建设项目环境影响报告表编制技术指南（污染影响类）（试行）》，原则上不开展地下水、土壤环境质量现状调查。</w:t>
            </w:r>
          </w:p>
          <w:p>
            <w:pPr>
              <w:keepNext w:val="0"/>
              <w:keepLines w:val="0"/>
              <w:pageBreakBefore w:val="0"/>
              <w:widowControl/>
              <w:kinsoku/>
              <w:wordWrap/>
              <w:overflowPunct/>
              <w:topLinePunct w:val="0"/>
              <w:autoSpaceDE/>
              <w:autoSpaceDN/>
              <w:bidi w:val="0"/>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依据《环境影响评价技术导则地下水环境》（HJ610-2016）附录A-地下水环境影响评价行业分类表之划分，建设项目地下水环境影响评价项目类别属</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IV</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类（参见附录A-地下水环境影响评价行业分类表-155、废旧资源（含生物质）加工、再生利用-其他）。因此无需进行地下水监测及评价。</w:t>
            </w:r>
          </w:p>
          <w:p>
            <w:pPr>
              <w:keepNext w:val="0"/>
              <w:keepLines w:val="0"/>
              <w:pageBreakBefore w:val="0"/>
              <w:widowControl/>
              <w:kinsoku/>
              <w:wordWrap/>
              <w:overflowPunct/>
              <w:topLinePunct w:val="0"/>
              <w:autoSpaceDE/>
              <w:autoSpaceDN/>
              <w:bidi w:val="0"/>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照《环境影响评价技术导则土壤环境（试行）》（HJ964-2018），判定本项目土壤类别为“其他”，为Ⅳ类建设项目，根据《环境影响评价技术导则土壤环境（试行）》（HJ964-2018）4.2.2“Ⅳ类项目可不开展土壤环境影响评价”。</w:t>
            </w:r>
            <w:bookmarkEnd w:id="4"/>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7" w:type="dxa"/>
            <w:vAlign w:val="center"/>
          </w:tcPr>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环境保护目标</w:t>
            </w:r>
          </w:p>
        </w:tc>
        <w:tc>
          <w:tcPr>
            <w:tcW w:w="8311" w:type="dxa"/>
            <w:vAlign w:val="center"/>
          </w:tcPr>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厂界500m范围内无自然保护区、风景名胜区、文物古迹、文化区等敏感目标，厂界50m范围内无村庄等人群集中区域；本项目500m范围内无地下水集中式饮用水源地和热水、矿泉水、温泉等特殊地下水资源；项目区周边无生态环境保护目标。针对施工场地以及运营期周围具体环境敏感点进行现场考察，并结合项目本身的特点，确定该项目的具体保护目标及保护级别见表3-4。具体环境保护目标见附图。</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表3</w:t>
            </w:r>
            <w:r>
              <w:rPr>
                <w:rFonts w:hint="default" w:ascii="Times New Roman" w:hAnsi="Times New Roman" w:eastAsia="宋体" w:cs="Times New Roman"/>
                <w:b/>
                <w:bCs/>
                <w:color w:val="auto"/>
                <w:highlight w:val="none"/>
                <w:lang w:val="en-US" w:eastAsia="zh-CN"/>
              </w:rPr>
              <w:t>-</w:t>
            </w:r>
            <w:r>
              <w:rPr>
                <w:rFonts w:hint="default" w:ascii="Times New Roman" w:hAnsi="Times New Roman" w:eastAsia="宋体" w:cs="Times New Roman"/>
                <w:b/>
                <w:bCs/>
                <w:color w:val="auto"/>
                <w:highlight w:val="none"/>
              </w:rPr>
              <w:t>4项目环境保护目标一览表</w:t>
            </w:r>
          </w:p>
          <w:tbl>
            <w:tblPr>
              <w:tblStyle w:val="29"/>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949"/>
              <w:gridCol w:w="928"/>
              <w:gridCol w:w="1570"/>
              <w:gridCol w:w="713"/>
              <w:gridCol w:w="813"/>
              <w:gridCol w:w="463"/>
              <w:gridCol w:w="21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op w:val="single" w:color="auto" w:sz="4" w:space="0"/>
                    <w:left w:val="single" w:color="auto" w:sz="0"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环境要素</w:t>
                  </w:r>
                </w:p>
              </w:tc>
              <w:tc>
                <w:tcPr>
                  <w:tcW w:w="966"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保护范围</w:t>
                  </w:r>
                </w:p>
              </w:tc>
              <w:tc>
                <w:tcPr>
                  <w:tcW w:w="961"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保护目标名称</w:t>
                  </w:r>
                </w:p>
              </w:tc>
              <w:tc>
                <w:tcPr>
                  <w:tcW w:w="1646"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坐标</w:t>
                  </w:r>
                </w:p>
              </w:tc>
              <w:tc>
                <w:tcPr>
                  <w:tcW w:w="732"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相对位置</w:t>
                  </w:r>
                </w:p>
              </w:tc>
              <w:tc>
                <w:tcPr>
                  <w:tcW w:w="800"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距离（m）</w:t>
                  </w:r>
                </w:p>
              </w:tc>
              <w:tc>
                <w:tcPr>
                  <w:tcW w:w="465"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人数</w:t>
                  </w:r>
                </w:p>
              </w:tc>
              <w:tc>
                <w:tcPr>
                  <w:tcW w:w="1976" w:type="dxa"/>
                  <w:tcBorders>
                    <w:top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环境空气</w:t>
                  </w:r>
                </w:p>
              </w:tc>
              <w:tc>
                <w:tcPr>
                  <w:tcW w:w="966"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厂界外扩500m范围</w:t>
                  </w:r>
                </w:p>
              </w:tc>
              <w:tc>
                <w:tcPr>
                  <w:tcW w:w="4604" w:type="dxa"/>
                  <w:gridSpan w:val="5"/>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本项目厂界外500m范围内没有自然保护区、风景名胜区、居住区、文化区和村庄等保护目标</w:t>
                  </w:r>
                </w:p>
              </w:tc>
              <w:tc>
                <w:tcPr>
                  <w:tcW w:w="1976" w:type="dxa"/>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声环境</w:t>
                  </w:r>
                </w:p>
              </w:tc>
              <w:tc>
                <w:tcPr>
                  <w:tcW w:w="966"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厂界外扩50m范围</w:t>
                  </w:r>
                </w:p>
              </w:tc>
              <w:tc>
                <w:tcPr>
                  <w:tcW w:w="4604" w:type="dxa"/>
                  <w:gridSpan w:val="5"/>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厂界外50m范围内无声环境保护目标</w:t>
                  </w:r>
                </w:p>
              </w:tc>
              <w:tc>
                <w:tcPr>
                  <w:tcW w:w="1976" w:type="dxa"/>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《声环境质量标准》（GB3096-2008）3类标准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地下水环境</w:t>
                  </w:r>
                </w:p>
              </w:tc>
              <w:tc>
                <w:tcPr>
                  <w:tcW w:w="966"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厂界外扩500m范围</w:t>
                  </w:r>
                </w:p>
              </w:tc>
              <w:tc>
                <w:tcPr>
                  <w:tcW w:w="4604" w:type="dxa"/>
                  <w:gridSpan w:val="5"/>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厂界外500m范围内无地下水集中式饮用水水源和热水、矿泉水、温泉等特殊地下水资源</w:t>
                  </w:r>
                </w:p>
              </w:tc>
              <w:tc>
                <w:tcPr>
                  <w:tcW w:w="1976" w:type="dxa"/>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《地下水质量标准》</w:t>
                  </w:r>
                  <w:r>
                    <w:rPr>
                      <w:rFonts w:hint="default" w:ascii="Times New Roman" w:hAnsi="Times New Roman" w:eastAsia="宋体" w:cs="Times New Roman"/>
                      <w:color w:val="auto"/>
                      <w:sz w:val="21"/>
                      <w:szCs w:val="20"/>
                      <w:highlight w:val="none"/>
                      <w:lang w:eastAsia="zh-CN"/>
                    </w:rPr>
                    <w:t>（</w:t>
                  </w:r>
                  <w:r>
                    <w:rPr>
                      <w:rFonts w:hint="default" w:ascii="Times New Roman" w:hAnsi="Times New Roman" w:eastAsia="宋体" w:cs="Times New Roman"/>
                      <w:color w:val="auto"/>
                      <w:sz w:val="21"/>
                      <w:szCs w:val="20"/>
                      <w:highlight w:val="none"/>
                    </w:rPr>
                    <w:t>GB/T14848-2017</w:t>
                  </w:r>
                  <w:r>
                    <w:rPr>
                      <w:rFonts w:hint="default" w:ascii="Times New Roman" w:hAnsi="Times New Roman" w:eastAsia="宋体" w:cs="Times New Roman"/>
                      <w:color w:val="auto"/>
                      <w:sz w:val="21"/>
                      <w:szCs w:val="20"/>
                      <w:highlight w:val="none"/>
                      <w:lang w:eastAsia="zh-CN"/>
                    </w:rPr>
                    <w:t>）</w:t>
                  </w:r>
                  <w:r>
                    <w:rPr>
                      <w:rFonts w:hint="default" w:ascii="Times New Roman" w:hAnsi="Times New Roman" w:eastAsia="宋体" w:cs="Times New Roman"/>
                      <w:color w:val="auto"/>
                      <w:sz w:val="21"/>
                      <w:szCs w:val="20"/>
                      <w:highlight w:val="none"/>
                    </w:rPr>
                    <w:t>中</w:t>
                  </w:r>
                  <w:r>
                    <w:rPr>
                      <w:rFonts w:hint="default" w:ascii="Times New Roman" w:hAnsi="Times New Roman" w:eastAsia="宋体" w:cs="Times New Roman"/>
                      <w:color w:val="auto"/>
                      <w:sz w:val="21"/>
                      <w:szCs w:val="20"/>
                      <w:highlight w:val="none"/>
                    </w:rPr>
                    <w:fldChar w:fldCharType="begin"/>
                  </w:r>
                  <w:r>
                    <w:rPr>
                      <w:rFonts w:hint="default" w:ascii="Times New Roman" w:hAnsi="Times New Roman" w:eastAsia="宋体" w:cs="Times New Roman"/>
                      <w:color w:val="auto"/>
                      <w:sz w:val="21"/>
                      <w:szCs w:val="20"/>
                      <w:highlight w:val="none"/>
                    </w:rPr>
                    <w:instrText xml:space="preserve"> = 3 \* ROMAN \* MERGEFORMAT </w:instrText>
                  </w:r>
                  <w:r>
                    <w:rPr>
                      <w:rFonts w:hint="default" w:ascii="Times New Roman" w:hAnsi="Times New Roman" w:eastAsia="宋体" w:cs="Times New Roman"/>
                      <w:color w:val="auto"/>
                      <w:sz w:val="21"/>
                      <w:szCs w:val="20"/>
                      <w:highlight w:val="none"/>
                    </w:rPr>
                    <w:fldChar w:fldCharType="separate"/>
                  </w:r>
                  <w:r>
                    <w:rPr>
                      <w:rFonts w:hint="default" w:ascii="Times New Roman" w:hAnsi="Times New Roman" w:eastAsia="宋体" w:cs="Times New Roman"/>
                      <w:color w:val="auto"/>
                      <w:sz w:val="21"/>
                      <w:szCs w:val="20"/>
                      <w:highlight w:val="none"/>
                    </w:rPr>
                    <w:t>III</w:t>
                  </w:r>
                  <w:r>
                    <w:rPr>
                      <w:rFonts w:hint="default" w:ascii="Times New Roman" w:hAnsi="Times New Roman" w:eastAsia="宋体" w:cs="Times New Roman"/>
                      <w:color w:val="auto"/>
                      <w:sz w:val="21"/>
                      <w:szCs w:val="20"/>
                      <w:highlight w:val="none"/>
                    </w:rPr>
                    <w:fldChar w:fldCharType="end"/>
                  </w:r>
                  <w:r>
                    <w:rPr>
                      <w:rFonts w:hint="default" w:ascii="Times New Roman" w:hAnsi="Times New Roman" w:eastAsia="宋体" w:cs="Times New Roman"/>
                      <w:color w:val="auto"/>
                      <w:sz w:val="21"/>
                      <w:szCs w:val="20"/>
                      <w:highlight w:val="none"/>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left w:val="single" w:color="auto" w:sz="4" w:space="0"/>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生态环境</w:t>
                  </w:r>
                </w:p>
              </w:tc>
              <w:tc>
                <w:tcPr>
                  <w:tcW w:w="966" w:type="dxa"/>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占地范围内</w:t>
                  </w:r>
                </w:p>
              </w:tc>
              <w:tc>
                <w:tcPr>
                  <w:tcW w:w="4604" w:type="dxa"/>
                  <w:gridSpan w:val="5"/>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本项目位于农垦飞达铸业公司现有厂区内，项目占地范围内无生态环境保护目标</w:t>
                  </w:r>
                </w:p>
              </w:tc>
              <w:tc>
                <w:tcPr>
                  <w:tcW w:w="1976" w:type="dxa"/>
                  <w:tcBorders>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w:t>
                  </w:r>
                </w:p>
              </w:tc>
            </w:tr>
          </w:tbl>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7" w:type="dxa"/>
            <w:tcMar>
              <w:left w:w="28" w:type="dxa"/>
              <w:right w:w="28" w:type="dxa"/>
            </w:tcMar>
            <w:vAlign w:val="center"/>
          </w:tcPr>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污染物排放控制标准</w:t>
            </w:r>
          </w:p>
        </w:tc>
        <w:tc>
          <w:tcPr>
            <w:tcW w:w="8311" w:type="dxa"/>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highlight w:val="none"/>
              </w:rPr>
              <w:t>1</w:t>
            </w:r>
            <w:r>
              <w:rPr>
                <w:rFonts w:hint="default" w:ascii="Times New Roman" w:hAnsi="Times New Roman" w:eastAsia="宋体" w:cs="Times New Roman"/>
                <w:b/>
                <w:bCs/>
                <w:color w:val="auto"/>
                <w:sz w:val="24"/>
                <w:szCs w:val="22"/>
                <w:highlight w:val="none"/>
              </w:rPr>
              <w:t>、大气污染物排放标准</w:t>
            </w:r>
          </w:p>
          <w:p>
            <w:pPr>
              <w:keepNext w:val="0"/>
              <w:keepLines w:val="0"/>
              <w:pageBreakBefore w:val="0"/>
              <w:suppressLineNumbers w:val="0"/>
              <w:kinsoku/>
              <w:wordWrap/>
              <w:overflowPunct/>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 w:val="0"/>
                <w:bCs/>
                <w:color w:val="auto"/>
                <w:sz w:val="24"/>
                <w:szCs w:val="24"/>
                <w:highlight w:val="none"/>
                <w:lang w:val="en-US" w:eastAsia="zh-CN"/>
              </w:rPr>
              <w:t>本</w:t>
            </w:r>
            <w:r>
              <w:rPr>
                <w:rFonts w:hint="default" w:ascii="Times New Roman" w:hAnsi="Times New Roman" w:eastAsia="宋体" w:cs="Times New Roman"/>
                <w:b w:val="0"/>
                <w:bCs/>
                <w:color w:val="auto"/>
                <w:sz w:val="24"/>
                <w:szCs w:val="24"/>
                <w:highlight w:val="none"/>
                <w:lang w:eastAsia="zh-CN"/>
              </w:rPr>
              <w:t>项</w:t>
            </w:r>
            <w:r>
              <w:rPr>
                <w:rFonts w:hint="default" w:ascii="Times New Roman" w:hAnsi="Times New Roman" w:eastAsia="宋体" w:cs="Times New Roman"/>
                <w:color w:val="auto"/>
                <w:sz w:val="24"/>
                <w:highlight w:val="none"/>
                <w:lang w:eastAsia="zh-CN"/>
              </w:rPr>
              <w:t>目</w:t>
            </w:r>
            <w:r>
              <w:rPr>
                <w:rFonts w:hint="default" w:ascii="Times New Roman" w:hAnsi="Times New Roman" w:eastAsia="宋体" w:cs="Times New Roman"/>
                <w:color w:val="auto"/>
                <w:sz w:val="24"/>
                <w:highlight w:val="none"/>
              </w:rPr>
              <w:t>施工期产生的废气</w:t>
            </w:r>
            <w:r>
              <w:rPr>
                <w:rFonts w:hint="default" w:ascii="Times New Roman" w:hAnsi="Times New Roman" w:eastAsia="宋体" w:cs="Times New Roman"/>
                <w:color w:val="auto"/>
                <w:sz w:val="24"/>
                <w:highlight w:val="none"/>
                <w:lang w:eastAsia="zh-CN"/>
              </w:rPr>
              <w:t>污染物</w:t>
            </w:r>
            <w:r>
              <w:rPr>
                <w:rFonts w:hint="default" w:ascii="Times New Roman" w:hAnsi="Times New Roman" w:eastAsia="宋体" w:cs="Times New Roman"/>
                <w:color w:val="auto"/>
                <w:sz w:val="24"/>
                <w:highlight w:val="none"/>
              </w:rPr>
              <w:t>主要是颗粒物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排放执行《大气污染物综合排放标准》（GB16297-1996）表2新污染源大气污染物排放限值中“无组织排放监控浓度限值”；</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本项目运营期</w:t>
            </w:r>
            <w:r>
              <w:rPr>
                <w:rFonts w:hint="default" w:ascii="Times New Roman" w:hAnsi="Times New Roman" w:eastAsia="宋体" w:cs="Times New Roman"/>
                <w:color w:val="auto"/>
                <w:sz w:val="24"/>
                <w:highlight w:val="none"/>
                <w:lang w:eastAsia="zh-CN"/>
              </w:rPr>
              <w:t>天然气燃烧废气、烘干废气、感应炉废气</w:t>
            </w:r>
            <w:r>
              <w:rPr>
                <w:rFonts w:hint="default" w:ascii="Times New Roman" w:hAnsi="Times New Roman" w:eastAsia="宋体" w:cs="Times New Roman"/>
                <w:color w:val="auto"/>
                <w:sz w:val="24"/>
                <w:highlight w:val="none"/>
                <w:lang w:val="en-US" w:eastAsia="zh-CN"/>
              </w:rPr>
              <w:t>和浇铸废气等</w:t>
            </w:r>
            <w:r>
              <w:rPr>
                <w:rFonts w:hint="default" w:ascii="Times New Roman" w:hAnsi="Times New Roman" w:eastAsia="宋体" w:cs="Times New Roman"/>
                <w:color w:val="auto"/>
                <w:sz w:val="24"/>
                <w:highlight w:val="none"/>
                <w:lang w:eastAsia="zh-CN"/>
              </w:rPr>
              <w:t>有组织</w:t>
            </w:r>
            <w:r>
              <w:rPr>
                <w:rFonts w:hint="default" w:ascii="Times New Roman" w:hAnsi="Times New Roman" w:eastAsia="宋体" w:cs="Times New Roman"/>
                <w:color w:val="auto"/>
                <w:sz w:val="24"/>
                <w:szCs w:val="24"/>
                <w:highlight w:val="none"/>
                <w:lang w:val="en-US" w:eastAsia="zh-CN"/>
              </w:rPr>
              <w:t>废气</w:t>
            </w:r>
            <w:r>
              <w:rPr>
                <w:rFonts w:hint="default" w:ascii="Times New Roman" w:hAnsi="Times New Roman" w:eastAsia="宋体" w:cs="Times New Roman"/>
                <w:color w:val="auto"/>
                <w:sz w:val="24"/>
                <w:highlight w:val="none"/>
              </w:rPr>
              <w:t>排放执行《大气污染物综合排放标准》（GB16297-1996）表2新污染源大气污染物排放限值</w:t>
            </w:r>
            <w:r>
              <w:rPr>
                <w:rFonts w:hint="default" w:ascii="Times New Roman" w:hAnsi="Times New Roman" w:eastAsia="宋体" w:cs="Times New Roman"/>
                <w:color w:val="auto"/>
                <w:sz w:val="24"/>
                <w:highlight w:val="none"/>
                <w:lang w:eastAsia="zh-CN"/>
              </w:rPr>
              <w:t>中“二级标准”；无组织</w:t>
            </w:r>
            <w:r>
              <w:rPr>
                <w:rFonts w:hint="default" w:ascii="Times New Roman" w:hAnsi="Times New Roman" w:eastAsia="宋体" w:cs="Times New Roman"/>
                <w:color w:val="auto"/>
                <w:sz w:val="24"/>
                <w:szCs w:val="24"/>
                <w:highlight w:val="none"/>
                <w:lang w:val="en-US" w:eastAsia="zh-CN"/>
              </w:rPr>
              <w:t>废气</w:t>
            </w:r>
            <w:r>
              <w:rPr>
                <w:rFonts w:hint="default" w:ascii="Times New Roman" w:hAnsi="Times New Roman" w:eastAsia="宋体" w:cs="Times New Roman"/>
                <w:color w:val="auto"/>
                <w:sz w:val="24"/>
                <w:highlight w:val="none"/>
              </w:rPr>
              <w:t>排放执行《大气污染物综合排放标准》（GB16297-1996）表2新污染源大气污染物排放限值中“无组织排放监控浓度限值”，</w:t>
            </w:r>
            <w:r>
              <w:rPr>
                <w:rFonts w:hint="default" w:ascii="Times New Roman" w:hAnsi="Times New Roman" w:eastAsia="宋体" w:cs="Times New Roman"/>
                <w:color w:val="auto"/>
                <w:sz w:val="24"/>
                <w:szCs w:val="22"/>
                <w:highlight w:val="none"/>
              </w:rPr>
              <w:t>见表</w:t>
            </w:r>
            <w:r>
              <w:rPr>
                <w:rFonts w:hint="default" w:ascii="Times New Roman" w:hAnsi="Times New Roman" w:eastAsia="宋体" w:cs="Times New Roman"/>
                <w:color w:val="auto"/>
                <w:sz w:val="24"/>
                <w:szCs w:val="22"/>
                <w:highlight w:val="none"/>
                <w:lang w:val="en-US" w:eastAsia="zh-CN"/>
              </w:rPr>
              <w:t>3-7</w:t>
            </w:r>
            <w:r>
              <w:rPr>
                <w:rFonts w:hint="default" w:ascii="Times New Roman" w:hAnsi="Times New Roman" w:eastAsia="宋体" w:cs="Times New Roman"/>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3-7</w:t>
            </w:r>
            <w:r>
              <w:rPr>
                <w:rFonts w:hint="default" w:ascii="Times New Roman" w:hAnsi="Times New Roman" w:eastAsia="宋体" w:cs="Times New Roman"/>
                <w:b/>
                <w:color w:val="auto"/>
                <w:sz w:val="24"/>
                <w:highlight w:val="none"/>
              </w:rPr>
              <w:t>《大气污染物综合排放标准》</w:t>
            </w:r>
            <w:r>
              <w:rPr>
                <w:rFonts w:hint="default" w:ascii="Times New Roman" w:hAnsi="Times New Roman" w:eastAsia="宋体" w:cs="Times New Roman"/>
                <w:b/>
                <w:bCs/>
                <w:color w:val="auto"/>
                <w:sz w:val="24"/>
                <w:highlight w:val="none"/>
                <w:lang w:eastAsia="zh-CN"/>
              </w:rPr>
              <w:t>（摘录）</w:t>
            </w:r>
          </w:p>
          <w:tbl>
            <w:tblPr>
              <w:tblStyle w:val="29"/>
              <w:tblW w:w="827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64"/>
              <w:gridCol w:w="1942"/>
              <w:gridCol w:w="1201"/>
              <w:gridCol w:w="1064"/>
              <w:gridCol w:w="1064"/>
              <w:gridCol w:w="194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64" w:type="dxa"/>
                  <w:vMerge w:val="restart"/>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污染物</w:t>
                  </w:r>
                </w:p>
              </w:tc>
              <w:tc>
                <w:tcPr>
                  <w:tcW w:w="1942" w:type="dxa"/>
                  <w:vMerge w:val="restart"/>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lang w:eastAsia="zh-CN"/>
                    </w:rPr>
                  </w:pPr>
                  <w:r>
                    <w:rPr>
                      <w:rFonts w:hint="default" w:ascii="Times New Roman" w:hAnsi="Times New Roman" w:eastAsia="宋体" w:cs="Times New Roman"/>
                      <w:color w:val="auto"/>
                      <w:sz w:val="21"/>
                      <w:szCs w:val="18"/>
                      <w:highlight w:val="none"/>
                    </w:rPr>
                    <w:t>最高允许排放浓度</w:t>
                  </w:r>
                  <w:r>
                    <w:rPr>
                      <w:rFonts w:hint="default" w:ascii="Times New Roman" w:hAnsi="Times New Roman" w:eastAsia="宋体" w:cs="Times New Roman"/>
                      <w:color w:val="auto"/>
                      <w:sz w:val="21"/>
                      <w:szCs w:val="18"/>
                      <w:highlight w:val="none"/>
                      <w:lang w:eastAsia="zh-CN"/>
                    </w:rPr>
                    <w:t>（</w:t>
                  </w:r>
                  <w:r>
                    <w:rPr>
                      <w:rFonts w:hint="default" w:ascii="Times New Roman" w:hAnsi="Times New Roman" w:eastAsia="宋体" w:cs="Times New Roman"/>
                      <w:color w:val="auto"/>
                      <w:sz w:val="21"/>
                      <w:szCs w:val="18"/>
                      <w:highlight w:val="none"/>
                    </w:rPr>
                    <w:t>mg/m</w:t>
                  </w:r>
                  <w:r>
                    <w:rPr>
                      <w:rFonts w:hint="default" w:ascii="Times New Roman" w:hAnsi="Times New Roman" w:eastAsia="宋体" w:cs="Times New Roman"/>
                      <w:color w:val="auto"/>
                      <w:sz w:val="21"/>
                      <w:szCs w:val="18"/>
                      <w:highlight w:val="none"/>
                      <w:vertAlign w:val="superscript"/>
                    </w:rPr>
                    <w:t>3</w:t>
                  </w:r>
                  <w:r>
                    <w:rPr>
                      <w:rFonts w:hint="default" w:ascii="Times New Roman" w:hAnsi="Times New Roman" w:eastAsia="宋体" w:cs="Times New Roman"/>
                      <w:color w:val="auto"/>
                      <w:sz w:val="21"/>
                      <w:szCs w:val="18"/>
                      <w:highlight w:val="none"/>
                      <w:lang w:eastAsia="zh-CN"/>
                    </w:rPr>
                    <w:t>）</w:t>
                  </w:r>
                </w:p>
              </w:tc>
              <w:tc>
                <w:tcPr>
                  <w:tcW w:w="2265" w:type="dxa"/>
                  <w:gridSpan w:val="2"/>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lang w:eastAsia="zh-CN"/>
                    </w:rPr>
                  </w:pPr>
                  <w:r>
                    <w:rPr>
                      <w:rFonts w:hint="default" w:ascii="Times New Roman" w:hAnsi="Times New Roman" w:eastAsia="宋体" w:cs="Times New Roman"/>
                      <w:color w:val="auto"/>
                      <w:sz w:val="21"/>
                      <w:szCs w:val="18"/>
                      <w:highlight w:val="none"/>
                    </w:rPr>
                    <w:t>最高允许排放速率</w:t>
                  </w:r>
                  <w:r>
                    <w:rPr>
                      <w:rFonts w:hint="default" w:ascii="Times New Roman" w:hAnsi="Times New Roman" w:eastAsia="宋体" w:cs="Times New Roman"/>
                      <w:color w:val="auto"/>
                      <w:sz w:val="21"/>
                      <w:szCs w:val="18"/>
                      <w:highlight w:val="none"/>
                      <w:lang w:eastAsia="zh-CN"/>
                    </w:rPr>
                    <w:t>（</w:t>
                  </w:r>
                  <w:r>
                    <w:rPr>
                      <w:rFonts w:hint="default" w:ascii="Times New Roman" w:hAnsi="Times New Roman" w:eastAsia="宋体" w:cs="Times New Roman"/>
                      <w:color w:val="auto"/>
                      <w:sz w:val="21"/>
                      <w:szCs w:val="18"/>
                      <w:highlight w:val="none"/>
                    </w:rPr>
                    <w:t>kg/h</w:t>
                  </w:r>
                  <w:r>
                    <w:rPr>
                      <w:rFonts w:hint="default" w:ascii="Times New Roman" w:hAnsi="Times New Roman" w:eastAsia="宋体" w:cs="Times New Roman"/>
                      <w:color w:val="auto"/>
                      <w:sz w:val="21"/>
                      <w:szCs w:val="18"/>
                      <w:highlight w:val="none"/>
                      <w:lang w:eastAsia="zh-CN"/>
                    </w:rPr>
                    <w:t>）</w:t>
                  </w:r>
                </w:p>
              </w:tc>
              <w:tc>
                <w:tcPr>
                  <w:tcW w:w="3006" w:type="dxa"/>
                  <w:gridSpan w:val="2"/>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无组织排放监控浓度限值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64" w:type="dxa"/>
                  <w:vMerge w:val="continue"/>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p>
              </w:tc>
              <w:tc>
                <w:tcPr>
                  <w:tcW w:w="1942" w:type="dxa"/>
                  <w:vMerge w:val="continue"/>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p>
              </w:tc>
              <w:tc>
                <w:tcPr>
                  <w:tcW w:w="1201" w:type="dxa"/>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lang w:eastAsia="zh-CN"/>
                    </w:rPr>
                  </w:pPr>
                  <w:r>
                    <w:rPr>
                      <w:rFonts w:hint="default" w:ascii="Times New Roman" w:hAnsi="Times New Roman" w:eastAsia="宋体" w:cs="Times New Roman"/>
                      <w:color w:val="auto"/>
                      <w:sz w:val="21"/>
                      <w:szCs w:val="18"/>
                      <w:highlight w:val="none"/>
                    </w:rPr>
                    <w:t>排放筒高度</w:t>
                  </w:r>
                  <w:r>
                    <w:rPr>
                      <w:rFonts w:hint="default" w:ascii="Times New Roman" w:hAnsi="Times New Roman" w:eastAsia="宋体" w:cs="Times New Roman"/>
                      <w:color w:val="auto"/>
                      <w:sz w:val="21"/>
                      <w:szCs w:val="18"/>
                      <w:highlight w:val="none"/>
                      <w:lang w:eastAsia="zh-CN"/>
                    </w:rPr>
                    <w:t>（</w:t>
                  </w:r>
                  <w:r>
                    <w:rPr>
                      <w:rFonts w:hint="default" w:ascii="Times New Roman" w:hAnsi="Times New Roman" w:eastAsia="宋体" w:cs="Times New Roman"/>
                      <w:color w:val="auto"/>
                      <w:sz w:val="21"/>
                      <w:szCs w:val="18"/>
                      <w:highlight w:val="none"/>
                    </w:rPr>
                    <w:t>m</w:t>
                  </w:r>
                  <w:r>
                    <w:rPr>
                      <w:rFonts w:hint="default" w:ascii="Times New Roman" w:hAnsi="Times New Roman" w:eastAsia="宋体" w:cs="Times New Roman"/>
                      <w:color w:val="auto"/>
                      <w:sz w:val="21"/>
                      <w:szCs w:val="18"/>
                      <w:highlight w:val="none"/>
                      <w:lang w:eastAsia="zh-CN"/>
                    </w:rPr>
                    <w:t>）</w:t>
                  </w:r>
                </w:p>
              </w:tc>
              <w:tc>
                <w:tcPr>
                  <w:tcW w:w="1064" w:type="dxa"/>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二级</w:t>
                  </w:r>
                </w:p>
              </w:tc>
              <w:tc>
                <w:tcPr>
                  <w:tcW w:w="1064" w:type="dxa"/>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监控点</w:t>
                  </w:r>
                </w:p>
              </w:tc>
              <w:tc>
                <w:tcPr>
                  <w:tcW w:w="1942" w:type="dxa"/>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lang w:eastAsia="zh-CN"/>
                    </w:rPr>
                  </w:pPr>
                  <w:r>
                    <w:rPr>
                      <w:rFonts w:hint="default" w:ascii="Times New Roman" w:hAnsi="Times New Roman" w:eastAsia="宋体" w:cs="Times New Roman"/>
                      <w:color w:val="auto"/>
                      <w:sz w:val="21"/>
                      <w:szCs w:val="18"/>
                      <w:highlight w:val="none"/>
                    </w:rPr>
                    <w:t>浓度</w:t>
                  </w:r>
                  <w:r>
                    <w:rPr>
                      <w:rFonts w:hint="default" w:ascii="Times New Roman" w:hAnsi="Times New Roman" w:eastAsia="宋体" w:cs="Times New Roman"/>
                      <w:color w:val="auto"/>
                      <w:sz w:val="21"/>
                      <w:szCs w:val="18"/>
                      <w:highlight w:val="none"/>
                      <w:lang w:eastAsia="zh-CN"/>
                    </w:rPr>
                    <w:t>（</w:t>
                  </w:r>
                  <w:r>
                    <w:rPr>
                      <w:rFonts w:hint="default" w:ascii="Times New Roman" w:hAnsi="Times New Roman" w:eastAsia="宋体" w:cs="Times New Roman"/>
                      <w:color w:val="auto"/>
                      <w:sz w:val="21"/>
                      <w:szCs w:val="18"/>
                      <w:highlight w:val="none"/>
                    </w:rPr>
                    <w:t>mg/m</w:t>
                  </w:r>
                  <w:r>
                    <w:rPr>
                      <w:rFonts w:hint="default" w:ascii="Times New Roman" w:hAnsi="Times New Roman" w:eastAsia="宋体" w:cs="Times New Roman"/>
                      <w:color w:val="auto"/>
                      <w:sz w:val="21"/>
                      <w:szCs w:val="18"/>
                      <w:highlight w:val="none"/>
                      <w:vertAlign w:val="superscript"/>
                    </w:rPr>
                    <w:t>3</w:t>
                  </w:r>
                  <w:r>
                    <w:rPr>
                      <w:rFonts w:hint="default" w:ascii="Times New Roman" w:hAnsi="Times New Roman" w:eastAsia="宋体" w:cs="Times New Roman"/>
                      <w:color w:val="auto"/>
                      <w:sz w:val="21"/>
                      <w:szCs w:val="18"/>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64" w:type="dxa"/>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颗粒物</w:t>
                  </w:r>
                </w:p>
              </w:tc>
              <w:tc>
                <w:tcPr>
                  <w:tcW w:w="1942" w:type="dxa"/>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120</w:t>
                  </w:r>
                </w:p>
              </w:tc>
              <w:tc>
                <w:tcPr>
                  <w:tcW w:w="1201" w:type="dxa"/>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15</w:t>
                  </w:r>
                </w:p>
              </w:tc>
              <w:tc>
                <w:tcPr>
                  <w:tcW w:w="1064" w:type="dxa"/>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3.5</w:t>
                  </w:r>
                </w:p>
              </w:tc>
              <w:tc>
                <w:tcPr>
                  <w:tcW w:w="1064" w:type="dxa"/>
                  <w:vMerge w:val="restart"/>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周围外浓度最高点</w:t>
                  </w:r>
                </w:p>
              </w:tc>
              <w:tc>
                <w:tcPr>
                  <w:tcW w:w="1942" w:type="dxa"/>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64" w:type="dxa"/>
                  <w:noWrap w:val="0"/>
                  <w:tcMar>
                    <w:left w:w="28" w:type="dxa"/>
                    <w:right w:w="28" w:type="dxa"/>
                  </w:tcMar>
                  <w:vAlign w:val="center"/>
                </w:tcPr>
                <w:p>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二氧化硫</w:t>
                  </w:r>
                </w:p>
              </w:tc>
              <w:tc>
                <w:tcPr>
                  <w:tcW w:w="1942" w:type="dxa"/>
                  <w:noWrap w:val="0"/>
                  <w:tcMar>
                    <w:left w:w="28" w:type="dxa"/>
                    <w:right w:w="28" w:type="dxa"/>
                  </w:tcMar>
                  <w:vAlign w:val="center"/>
                </w:tcPr>
                <w:p>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550</w:t>
                  </w:r>
                </w:p>
              </w:tc>
              <w:tc>
                <w:tcPr>
                  <w:tcW w:w="1201" w:type="dxa"/>
                  <w:noWrap w:val="0"/>
                  <w:tcMar>
                    <w:left w:w="28" w:type="dxa"/>
                    <w:right w:w="28" w:type="dxa"/>
                  </w:tcMar>
                  <w:vAlign w:val="center"/>
                </w:tcPr>
                <w:p>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1064" w:type="dxa"/>
                  <w:noWrap w:val="0"/>
                  <w:tcMar>
                    <w:left w:w="28" w:type="dxa"/>
                    <w:right w:w="28" w:type="dxa"/>
                  </w:tcMar>
                  <w:vAlign w:val="center"/>
                </w:tcPr>
                <w:p>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2.6</w:t>
                  </w:r>
                </w:p>
              </w:tc>
              <w:tc>
                <w:tcPr>
                  <w:tcW w:w="1064" w:type="dxa"/>
                  <w:vMerge w:val="continue"/>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p>
              </w:tc>
              <w:tc>
                <w:tcPr>
                  <w:tcW w:w="1942" w:type="dxa"/>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lang w:val="en-US" w:eastAsia="zh-CN"/>
                    </w:rPr>
                  </w:pPr>
                  <w:r>
                    <w:rPr>
                      <w:rFonts w:hint="default" w:ascii="Times New Roman" w:hAnsi="Times New Roman" w:eastAsia="宋体" w:cs="Times New Roman"/>
                      <w:color w:val="auto"/>
                      <w:sz w:val="21"/>
                      <w:szCs w:val="18"/>
                      <w:highlight w:val="none"/>
                      <w:lang w:val="en-US" w:eastAsia="zh-CN"/>
                    </w:rPr>
                    <w:t>0.40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64" w:type="dxa"/>
                  <w:noWrap w:val="0"/>
                  <w:tcMar>
                    <w:left w:w="28" w:type="dxa"/>
                    <w:right w:w="28" w:type="dxa"/>
                  </w:tcMar>
                  <w:vAlign w:val="center"/>
                </w:tcPr>
                <w:p>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氮氧化物</w:t>
                  </w:r>
                </w:p>
              </w:tc>
              <w:tc>
                <w:tcPr>
                  <w:tcW w:w="1942" w:type="dxa"/>
                  <w:noWrap w:val="0"/>
                  <w:tcMar>
                    <w:left w:w="28" w:type="dxa"/>
                    <w:right w:w="28" w:type="dxa"/>
                  </w:tcMar>
                  <w:vAlign w:val="center"/>
                </w:tcPr>
                <w:p>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240</w:t>
                  </w:r>
                </w:p>
              </w:tc>
              <w:tc>
                <w:tcPr>
                  <w:tcW w:w="1201" w:type="dxa"/>
                  <w:noWrap w:val="0"/>
                  <w:tcMar>
                    <w:left w:w="28" w:type="dxa"/>
                    <w:right w:w="28" w:type="dxa"/>
                  </w:tcMar>
                  <w:vAlign w:val="center"/>
                </w:tcPr>
                <w:p>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1064" w:type="dxa"/>
                  <w:noWrap w:val="0"/>
                  <w:tcMar>
                    <w:left w:w="28" w:type="dxa"/>
                    <w:right w:w="28" w:type="dxa"/>
                  </w:tcMar>
                  <w:vAlign w:val="center"/>
                </w:tcPr>
                <w:p>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0.77</w:t>
                  </w:r>
                </w:p>
              </w:tc>
              <w:tc>
                <w:tcPr>
                  <w:tcW w:w="1064" w:type="dxa"/>
                  <w:vMerge w:val="continue"/>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rPr>
                  </w:pPr>
                </w:p>
              </w:tc>
              <w:tc>
                <w:tcPr>
                  <w:tcW w:w="1942" w:type="dxa"/>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18"/>
                      <w:highlight w:val="none"/>
                      <w:lang w:val="en-US" w:eastAsia="zh-CN"/>
                    </w:rPr>
                  </w:pPr>
                  <w:r>
                    <w:rPr>
                      <w:rFonts w:hint="default" w:ascii="Times New Roman" w:hAnsi="Times New Roman" w:eastAsia="宋体" w:cs="Times New Roman"/>
                      <w:color w:val="auto"/>
                      <w:sz w:val="21"/>
                      <w:szCs w:val="18"/>
                      <w:highlight w:val="none"/>
                      <w:lang w:val="en-US" w:eastAsia="zh-CN"/>
                    </w:rPr>
                    <w:t>0.12</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2、噪声排放标准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施工期噪声排放执行《建筑施工场界环境噪声排放标准》（GB12523-2011）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2"/>
                <w:highlight w:val="none"/>
              </w:rPr>
              <w:t>见表</w:t>
            </w:r>
            <w:r>
              <w:rPr>
                <w:rFonts w:hint="default" w:ascii="Times New Roman" w:hAnsi="Times New Roman" w:eastAsia="宋体" w:cs="Times New Roman"/>
                <w:color w:val="auto"/>
                <w:sz w:val="24"/>
                <w:szCs w:val="22"/>
                <w:highlight w:val="none"/>
                <w:lang w:val="en-US" w:eastAsia="zh-CN"/>
              </w:rPr>
              <w:t>3-8</w:t>
            </w:r>
            <w:r>
              <w:rPr>
                <w:rFonts w:hint="default" w:ascii="Times New Roman" w:hAnsi="Times New Roman" w:eastAsia="宋体" w:cs="Times New Roman"/>
                <w:color w:val="auto"/>
                <w:sz w:val="24"/>
                <w:highlight w:val="none"/>
              </w:rPr>
              <w:t>。</w:t>
            </w:r>
          </w:p>
          <w:p>
            <w:pPr>
              <w:keepNext w:val="0"/>
              <w:keepLines w:val="0"/>
              <w:pageBreakBefore w:val="0"/>
              <w:suppressLineNumbers w:val="0"/>
              <w:kinsoku/>
              <w:wordWrap/>
              <w:overflowPunct/>
              <w:bidi w:val="0"/>
              <w:adjustRightInd w:val="0"/>
              <w:snapToGrid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
                <w:bCs/>
                <w:color w:val="auto"/>
                <w:sz w:val="24"/>
                <w:highlight w:val="none"/>
              </w:rPr>
              <w:t>表3-</w:t>
            </w:r>
            <w:r>
              <w:rPr>
                <w:rFonts w:hint="default" w:ascii="Times New Roman" w:hAnsi="Times New Roman" w:eastAsia="宋体" w:cs="Times New Roman"/>
                <w:b/>
                <w:bCs/>
                <w:color w:val="auto"/>
                <w:sz w:val="24"/>
                <w:highlight w:val="none"/>
                <w:lang w:val="en-US" w:eastAsia="zh-CN"/>
              </w:rPr>
              <w:t>8</w:t>
            </w:r>
            <w:r>
              <w:rPr>
                <w:rFonts w:hint="default" w:ascii="Times New Roman" w:hAnsi="Times New Roman" w:eastAsia="宋体" w:cs="Times New Roman"/>
                <w:b/>
                <w:bCs/>
                <w:color w:val="auto"/>
                <w:sz w:val="24"/>
                <w:highlight w:val="none"/>
              </w:rPr>
              <w:t>《建筑施工场界环境噪声排放标准》</w:t>
            </w:r>
            <w:r>
              <w:rPr>
                <w:rFonts w:hint="default" w:ascii="Times New Roman" w:hAnsi="Times New Roman" w:eastAsia="宋体" w:cs="Times New Roman"/>
                <w:b/>
                <w:bCs/>
                <w:color w:val="auto"/>
                <w:sz w:val="24"/>
                <w:highlight w:val="none"/>
                <w:lang w:eastAsia="zh-CN"/>
              </w:rPr>
              <w:t>（摘录）</w:t>
            </w:r>
          </w:p>
          <w:tbl>
            <w:tblPr>
              <w:tblStyle w:val="29"/>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38"/>
              <w:gridCol w:w="4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968" w:type="dxa"/>
                  <w:noWrap w:val="0"/>
                  <w:vAlign w:val="center"/>
                </w:tcPr>
                <w:p>
                  <w:pPr>
                    <w:keepNext w:val="0"/>
                    <w:keepLines w:val="0"/>
                    <w:pageBreakBefore w:val="0"/>
                    <w:suppressLineNumbers w:val="0"/>
                    <w:kinsoku/>
                    <w:wordWrap/>
                    <w:overflowPunct/>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18"/>
                      <w:highlight w:val="none"/>
                      <w:lang w:eastAsia="zh-CN"/>
                    </w:rPr>
                  </w:pPr>
                  <w:r>
                    <w:rPr>
                      <w:rFonts w:hint="default" w:ascii="Times New Roman" w:hAnsi="Times New Roman" w:eastAsia="宋体" w:cs="Times New Roman"/>
                      <w:color w:val="auto"/>
                      <w:sz w:val="21"/>
                      <w:szCs w:val="18"/>
                      <w:highlight w:val="none"/>
                    </w:rPr>
                    <w:t>昼间dB</w:t>
                  </w:r>
                  <w:r>
                    <w:rPr>
                      <w:rFonts w:hint="default" w:ascii="Times New Roman" w:hAnsi="Times New Roman" w:eastAsia="宋体" w:cs="Times New Roman"/>
                      <w:color w:val="auto"/>
                      <w:sz w:val="21"/>
                      <w:szCs w:val="18"/>
                      <w:highlight w:val="none"/>
                      <w:lang w:eastAsia="zh-CN"/>
                    </w:rPr>
                    <w:t>（</w:t>
                  </w:r>
                  <w:r>
                    <w:rPr>
                      <w:rFonts w:hint="default" w:ascii="Times New Roman" w:hAnsi="Times New Roman" w:eastAsia="宋体" w:cs="Times New Roman"/>
                      <w:color w:val="auto"/>
                      <w:sz w:val="21"/>
                      <w:szCs w:val="18"/>
                      <w:highlight w:val="none"/>
                    </w:rPr>
                    <w:t>A</w:t>
                  </w:r>
                  <w:r>
                    <w:rPr>
                      <w:rFonts w:hint="default" w:ascii="Times New Roman" w:hAnsi="Times New Roman" w:eastAsia="宋体" w:cs="Times New Roman"/>
                      <w:color w:val="auto"/>
                      <w:sz w:val="21"/>
                      <w:szCs w:val="18"/>
                      <w:highlight w:val="none"/>
                      <w:lang w:eastAsia="zh-CN"/>
                    </w:rPr>
                    <w:t>）</w:t>
                  </w:r>
                </w:p>
              </w:tc>
              <w:tc>
                <w:tcPr>
                  <w:tcW w:w="3969" w:type="dxa"/>
                  <w:noWrap w:val="0"/>
                  <w:vAlign w:val="center"/>
                </w:tcPr>
                <w:p>
                  <w:pPr>
                    <w:keepNext w:val="0"/>
                    <w:keepLines w:val="0"/>
                    <w:pageBreakBefore w:val="0"/>
                    <w:suppressLineNumbers w:val="0"/>
                    <w:kinsoku/>
                    <w:wordWrap/>
                    <w:overflowPunct/>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18"/>
                      <w:highlight w:val="none"/>
                      <w:lang w:eastAsia="zh-CN"/>
                    </w:rPr>
                  </w:pPr>
                  <w:r>
                    <w:rPr>
                      <w:rFonts w:hint="default" w:ascii="Times New Roman" w:hAnsi="Times New Roman" w:eastAsia="宋体" w:cs="Times New Roman"/>
                      <w:color w:val="auto"/>
                      <w:sz w:val="21"/>
                      <w:szCs w:val="18"/>
                      <w:highlight w:val="none"/>
                    </w:rPr>
                    <w:t>夜间dB</w:t>
                  </w:r>
                  <w:r>
                    <w:rPr>
                      <w:rFonts w:hint="default" w:ascii="Times New Roman" w:hAnsi="Times New Roman" w:eastAsia="宋体" w:cs="Times New Roman"/>
                      <w:color w:val="auto"/>
                      <w:sz w:val="21"/>
                      <w:szCs w:val="18"/>
                      <w:highlight w:val="none"/>
                      <w:lang w:eastAsia="zh-CN"/>
                    </w:rPr>
                    <w:t>（</w:t>
                  </w:r>
                  <w:r>
                    <w:rPr>
                      <w:rFonts w:hint="default" w:ascii="Times New Roman" w:hAnsi="Times New Roman" w:eastAsia="宋体" w:cs="Times New Roman"/>
                      <w:color w:val="auto"/>
                      <w:sz w:val="21"/>
                      <w:szCs w:val="18"/>
                      <w:highlight w:val="none"/>
                    </w:rPr>
                    <w:t>A</w:t>
                  </w:r>
                  <w:r>
                    <w:rPr>
                      <w:rFonts w:hint="default" w:ascii="Times New Roman" w:hAnsi="Times New Roman" w:eastAsia="宋体" w:cs="Times New Roman"/>
                      <w:color w:val="auto"/>
                      <w:sz w:val="21"/>
                      <w:szCs w:val="18"/>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968" w:type="dxa"/>
                  <w:noWrap w:val="0"/>
                  <w:vAlign w:val="center"/>
                </w:tcPr>
                <w:p>
                  <w:pPr>
                    <w:keepNext w:val="0"/>
                    <w:keepLines w:val="0"/>
                    <w:pageBreakBefore w:val="0"/>
                    <w:suppressLineNumbers w:val="0"/>
                    <w:kinsoku/>
                    <w:wordWrap/>
                    <w:overflowPunct/>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70</w:t>
                  </w:r>
                </w:p>
              </w:tc>
              <w:tc>
                <w:tcPr>
                  <w:tcW w:w="3969" w:type="dxa"/>
                  <w:noWrap w:val="0"/>
                  <w:vAlign w:val="center"/>
                </w:tcPr>
                <w:p>
                  <w:pPr>
                    <w:keepNext w:val="0"/>
                    <w:keepLines w:val="0"/>
                    <w:pageBreakBefore w:val="0"/>
                    <w:suppressLineNumbers w:val="0"/>
                    <w:kinsoku/>
                    <w:wordWrap/>
                    <w:overflowPunct/>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55</w:t>
                  </w:r>
                </w:p>
              </w:tc>
            </w:tr>
          </w:tbl>
          <w:p>
            <w:pPr>
              <w:keepNext w:val="0"/>
              <w:keepLines w:val="0"/>
              <w:pageBreakBefore w:val="0"/>
              <w:suppressLineNumbers w:val="0"/>
              <w:kinsoku/>
              <w:wordWrap/>
              <w:overflowPunct/>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营运期噪声排放执行《工业企业厂界环境噪声排放标准》（GB12348-2008）3类标准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2"/>
                <w:highlight w:val="none"/>
              </w:rPr>
              <w:t>见表</w:t>
            </w:r>
            <w:r>
              <w:rPr>
                <w:rFonts w:hint="default" w:ascii="Times New Roman" w:hAnsi="Times New Roman" w:eastAsia="宋体" w:cs="Times New Roman"/>
                <w:color w:val="auto"/>
                <w:sz w:val="24"/>
                <w:szCs w:val="22"/>
                <w:highlight w:val="none"/>
                <w:lang w:val="en-US" w:eastAsia="zh-CN"/>
              </w:rPr>
              <w:t>3-9</w:t>
            </w:r>
            <w:r>
              <w:rPr>
                <w:rFonts w:hint="default" w:ascii="Times New Roman" w:hAnsi="Times New Roman" w:eastAsia="宋体" w:cs="Times New Roman"/>
                <w:color w:val="auto"/>
                <w:sz w:val="24"/>
                <w:highlight w:val="none"/>
              </w:rPr>
              <w:t>。</w:t>
            </w:r>
          </w:p>
          <w:p>
            <w:pPr>
              <w:keepNext w:val="0"/>
              <w:keepLines w:val="0"/>
              <w:pageBreakBefore w:val="0"/>
              <w:suppressLineNumbers w:val="0"/>
              <w:kinsoku/>
              <w:wordWrap/>
              <w:overflowPunct/>
              <w:bidi w:val="0"/>
              <w:spacing w:before="0" w:beforeAutospacing="0" w:after="0" w:afterAutospacing="0" w:line="360" w:lineRule="auto"/>
              <w:ind w:left="0" w:leftChars="0" w:right="0" w:rightChars="0" w:firstLine="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表3-</w:t>
            </w:r>
            <w:r>
              <w:rPr>
                <w:rFonts w:hint="default" w:ascii="Times New Roman" w:hAnsi="Times New Roman" w:eastAsia="宋体" w:cs="Times New Roman"/>
                <w:b/>
                <w:bCs/>
                <w:color w:val="auto"/>
                <w:sz w:val="24"/>
                <w:szCs w:val="24"/>
                <w:highlight w:val="none"/>
                <w:lang w:val="en-US" w:eastAsia="zh-CN"/>
              </w:rPr>
              <w:t>9</w:t>
            </w:r>
            <w:r>
              <w:rPr>
                <w:rFonts w:hint="default" w:ascii="Times New Roman" w:hAnsi="Times New Roman" w:eastAsia="宋体" w:cs="Times New Roman"/>
                <w:b/>
                <w:bCs/>
                <w:color w:val="auto"/>
                <w:sz w:val="24"/>
                <w:szCs w:val="24"/>
                <w:highlight w:val="none"/>
              </w:rPr>
              <w:t>《工业企业厂界环境噪声排放标准》</w:t>
            </w:r>
          </w:p>
          <w:tbl>
            <w:tblPr>
              <w:tblStyle w:val="29"/>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0"/>
              <w:gridCol w:w="2759"/>
              <w:gridCol w:w="2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7" w:type="dxa"/>
                  <w:noWrap w:val="0"/>
                  <w:vAlign w:val="center"/>
                </w:tcPr>
                <w:p>
                  <w:pPr>
                    <w:keepNext w:val="0"/>
                    <w:keepLines w:val="0"/>
                    <w:pageBreakBefore w:val="0"/>
                    <w:suppressLineNumbers w:val="0"/>
                    <w:kinsoku/>
                    <w:wordWrap/>
                    <w:overflowPunct/>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类别</w:t>
                  </w:r>
                </w:p>
              </w:tc>
              <w:tc>
                <w:tcPr>
                  <w:tcW w:w="2646" w:type="dxa"/>
                  <w:noWrap w:val="0"/>
                  <w:vAlign w:val="center"/>
                </w:tcPr>
                <w:p>
                  <w:pPr>
                    <w:keepNext w:val="0"/>
                    <w:keepLines w:val="0"/>
                    <w:pageBreakBefore w:val="0"/>
                    <w:suppressLineNumbers w:val="0"/>
                    <w:kinsoku/>
                    <w:wordWrap/>
                    <w:overflowPunct/>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18"/>
                      <w:highlight w:val="none"/>
                      <w:lang w:eastAsia="zh-CN"/>
                    </w:rPr>
                  </w:pPr>
                  <w:r>
                    <w:rPr>
                      <w:rFonts w:hint="default" w:ascii="Times New Roman" w:hAnsi="Times New Roman" w:eastAsia="宋体" w:cs="Times New Roman"/>
                      <w:color w:val="auto"/>
                      <w:sz w:val="21"/>
                      <w:szCs w:val="18"/>
                      <w:highlight w:val="none"/>
                    </w:rPr>
                    <w:t>昼间dB</w:t>
                  </w:r>
                  <w:r>
                    <w:rPr>
                      <w:rFonts w:hint="default" w:ascii="Times New Roman" w:hAnsi="Times New Roman" w:eastAsia="宋体" w:cs="Times New Roman"/>
                      <w:color w:val="auto"/>
                      <w:sz w:val="21"/>
                      <w:szCs w:val="18"/>
                      <w:highlight w:val="none"/>
                      <w:lang w:eastAsia="zh-CN"/>
                    </w:rPr>
                    <w:t>（</w:t>
                  </w:r>
                  <w:r>
                    <w:rPr>
                      <w:rFonts w:hint="default" w:ascii="Times New Roman" w:hAnsi="Times New Roman" w:eastAsia="宋体" w:cs="Times New Roman"/>
                      <w:color w:val="auto"/>
                      <w:sz w:val="21"/>
                      <w:szCs w:val="18"/>
                      <w:highlight w:val="none"/>
                    </w:rPr>
                    <w:t>A</w:t>
                  </w:r>
                  <w:r>
                    <w:rPr>
                      <w:rFonts w:hint="default" w:ascii="Times New Roman" w:hAnsi="Times New Roman" w:eastAsia="宋体" w:cs="Times New Roman"/>
                      <w:color w:val="auto"/>
                      <w:sz w:val="21"/>
                      <w:szCs w:val="18"/>
                      <w:highlight w:val="none"/>
                      <w:lang w:eastAsia="zh-CN"/>
                    </w:rPr>
                    <w:t>）</w:t>
                  </w:r>
                </w:p>
              </w:tc>
              <w:tc>
                <w:tcPr>
                  <w:tcW w:w="2644" w:type="dxa"/>
                  <w:noWrap w:val="0"/>
                  <w:vAlign w:val="center"/>
                </w:tcPr>
                <w:p>
                  <w:pPr>
                    <w:keepNext w:val="0"/>
                    <w:keepLines w:val="0"/>
                    <w:pageBreakBefore w:val="0"/>
                    <w:suppressLineNumbers w:val="0"/>
                    <w:kinsoku/>
                    <w:wordWrap/>
                    <w:overflowPunct/>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18"/>
                      <w:highlight w:val="none"/>
                      <w:lang w:eastAsia="zh-CN"/>
                    </w:rPr>
                  </w:pPr>
                  <w:r>
                    <w:rPr>
                      <w:rFonts w:hint="default" w:ascii="Times New Roman" w:hAnsi="Times New Roman" w:eastAsia="宋体" w:cs="Times New Roman"/>
                      <w:color w:val="auto"/>
                      <w:sz w:val="21"/>
                      <w:szCs w:val="18"/>
                      <w:highlight w:val="none"/>
                    </w:rPr>
                    <w:t>夜间dB</w:t>
                  </w:r>
                  <w:r>
                    <w:rPr>
                      <w:rFonts w:hint="default" w:ascii="Times New Roman" w:hAnsi="Times New Roman" w:eastAsia="宋体" w:cs="Times New Roman"/>
                      <w:color w:val="auto"/>
                      <w:sz w:val="21"/>
                      <w:szCs w:val="18"/>
                      <w:highlight w:val="none"/>
                      <w:lang w:eastAsia="zh-CN"/>
                    </w:rPr>
                    <w:t>（</w:t>
                  </w:r>
                  <w:r>
                    <w:rPr>
                      <w:rFonts w:hint="default" w:ascii="Times New Roman" w:hAnsi="Times New Roman" w:eastAsia="宋体" w:cs="Times New Roman"/>
                      <w:color w:val="auto"/>
                      <w:sz w:val="21"/>
                      <w:szCs w:val="18"/>
                      <w:highlight w:val="none"/>
                    </w:rPr>
                    <w:t>A</w:t>
                  </w:r>
                  <w:r>
                    <w:rPr>
                      <w:rFonts w:hint="default" w:ascii="Times New Roman" w:hAnsi="Times New Roman" w:eastAsia="宋体" w:cs="Times New Roman"/>
                      <w:color w:val="auto"/>
                      <w:sz w:val="21"/>
                      <w:szCs w:val="18"/>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7" w:type="dxa"/>
                  <w:noWrap w:val="0"/>
                  <w:vAlign w:val="center"/>
                </w:tcPr>
                <w:p>
                  <w:pPr>
                    <w:keepNext w:val="0"/>
                    <w:keepLines w:val="0"/>
                    <w:pageBreakBefore w:val="0"/>
                    <w:suppressLineNumbers w:val="0"/>
                    <w:kinsoku/>
                    <w:wordWrap/>
                    <w:overflowPunct/>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3类</w:t>
                  </w:r>
                </w:p>
              </w:tc>
              <w:tc>
                <w:tcPr>
                  <w:tcW w:w="2646" w:type="dxa"/>
                  <w:noWrap w:val="0"/>
                  <w:vAlign w:val="center"/>
                </w:tcPr>
                <w:p>
                  <w:pPr>
                    <w:keepNext w:val="0"/>
                    <w:keepLines w:val="0"/>
                    <w:pageBreakBefore w:val="0"/>
                    <w:suppressLineNumbers w:val="0"/>
                    <w:kinsoku/>
                    <w:wordWrap/>
                    <w:overflowPunct/>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65</w:t>
                  </w:r>
                </w:p>
              </w:tc>
              <w:tc>
                <w:tcPr>
                  <w:tcW w:w="2644" w:type="dxa"/>
                  <w:noWrap w:val="0"/>
                  <w:vAlign w:val="center"/>
                </w:tcPr>
                <w:p>
                  <w:pPr>
                    <w:keepNext w:val="0"/>
                    <w:keepLines w:val="0"/>
                    <w:pageBreakBefore w:val="0"/>
                    <w:suppressLineNumbers w:val="0"/>
                    <w:kinsoku/>
                    <w:wordWrap/>
                    <w:overflowPunct/>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55</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3、废水排放标准</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营运期</w:t>
            </w:r>
            <w:r>
              <w:rPr>
                <w:rFonts w:hint="default" w:ascii="Times New Roman" w:hAnsi="Times New Roman" w:eastAsia="宋体" w:cs="Times New Roman"/>
                <w:color w:val="auto"/>
                <w:sz w:val="24"/>
                <w:szCs w:val="24"/>
                <w:highlight w:val="none"/>
                <w:lang w:eastAsia="zh-CN"/>
              </w:rPr>
              <w:t>生活污水排放</w:t>
            </w:r>
            <w:r>
              <w:rPr>
                <w:rFonts w:hint="default" w:ascii="Times New Roman" w:hAnsi="Times New Roman" w:eastAsia="宋体" w:cs="Times New Roman"/>
                <w:color w:val="auto"/>
                <w:sz w:val="24"/>
                <w:szCs w:val="24"/>
                <w:highlight w:val="none"/>
              </w:rPr>
              <w:t>执行《污水综合排放标准》（GB8978-1996）中的三级标准限值要求</w:t>
            </w:r>
            <w:r>
              <w:rPr>
                <w:rFonts w:hint="default" w:ascii="Times New Roman" w:hAnsi="Times New Roman" w:eastAsia="宋体" w:cs="Times New Roman"/>
                <w:color w:val="auto"/>
                <w:sz w:val="24"/>
                <w:szCs w:val="24"/>
                <w:highlight w:val="none"/>
                <w:lang w:val="en-US" w:eastAsia="zh-CN"/>
              </w:rPr>
              <w:t>和</w:t>
            </w:r>
            <w:r>
              <w:rPr>
                <w:rFonts w:hint="default" w:ascii="Times New Roman" w:hAnsi="Times New Roman" w:eastAsia="宋体" w:cs="Times New Roman"/>
                <w:color w:val="auto"/>
                <w:sz w:val="24"/>
                <w:szCs w:val="24"/>
                <w:highlight w:val="none"/>
              </w:rPr>
              <w:t>乌拉特前旗工业园区污水处理厂进水水质指标要求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2"/>
                <w:highlight w:val="none"/>
              </w:rPr>
              <w:t>见表</w:t>
            </w:r>
            <w:r>
              <w:rPr>
                <w:rFonts w:hint="default" w:ascii="Times New Roman" w:hAnsi="Times New Roman" w:eastAsia="宋体" w:cs="Times New Roman"/>
                <w:color w:val="auto"/>
                <w:sz w:val="24"/>
                <w:szCs w:val="22"/>
                <w:highlight w:val="none"/>
                <w:lang w:val="en-US" w:eastAsia="zh-CN"/>
              </w:rPr>
              <w:t>3-10</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firstLine="482" w:firstLineChars="200"/>
              <w:jc w:val="center"/>
              <w:textAlignment w:val="bottom"/>
              <w:outlineLvl w:val="1"/>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表3</w:t>
            </w:r>
            <w:r>
              <w:rPr>
                <w:rFonts w:hint="default" w:ascii="Times New Roman" w:hAnsi="Times New Roman" w:eastAsia="宋体" w:cs="Times New Roman"/>
                <w:b/>
                <w:bCs/>
                <w:color w:val="auto"/>
                <w:sz w:val="24"/>
                <w:szCs w:val="24"/>
                <w:highlight w:val="none"/>
                <w:lang w:val="en-US" w:eastAsia="zh-CN"/>
              </w:rPr>
              <w:t>-10本项目</w:t>
            </w:r>
            <w:r>
              <w:rPr>
                <w:rFonts w:hint="default" w:ascii="Times New Roman" w:hAnsi="Times New Roman" w:eastAsia="宋体" w:cs="Times New Roman"/>
                <w:b/>
                <w:bCs/>
                <w:color w:val="auto"/>
                <w:sz w:val="24"/>
                <w:szCs w:val="24"/>
                <w:highlight w:val="none"/>
              </w:rPr>
              <w:t>污水排放标准单位：mg/L</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pH除外</w:t>
            </w:r>
          </w:p>
          <w:tbl>
            <w:tblPr>
              <w:tblStyle w:val="29"/>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6"/>
              <w:gridCol w:w="1522"/>
              <w:gridCol w:w="3215"/>
              <w:gridCol w:w="25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5" w:type="dxa"/>
                  <w:tcBorders>
                    <w:top w:val="single" w:color="auto" w:sz="4" w:space="0"/>
                    <w:left w:val="single" w:color="auto" w:sz="0"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2220" w:type="dxa"/>
                  <w:tcBorders>
                    <w:top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4562" w:type="dxa"/>
                  <w:tcBorders>
                    <w:top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《污水综合排放标准》（GB8978-1996）三级标准限值</w:t>
                  </w:r>
                </w:p>
              </w:tc>
              <w:tc>
                <w:tcPr>
                  <w:tcW w:w="4562" w:type="dxa"/>
                  <w:tcBorders>
                    <w:top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乌拉特前旗工业园区污水处理厂进水水质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w:t>
                  </w:r>
                </w:p>
              </w:tc>
              <w:tc>
                <w:tcPr>
                  <w:tcW w:w="4562"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6-9</w:t>
                  </w:r>
                </w:p>
              </w:tc>
              <w:tc>
                <w:tcPr>
                  <w:tcW w:w="4562"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4562"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500</w:t>
                  </w:r>
                </w:p>
              </w:tc>
              <w:tc>
                <w:tcPr>
                  <w:tcW w:w="4562"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subscript"/>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4562"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w:t>
                  </w:r>
                </w:p>
              </w:tc>
              <w:tc>
                <w:tcPr>
                  <w:tcW w:w="4562"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5"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w:t>
                  </w:r>
                </w:p>
              </w:tc>
              <w:tc>
                <w:tcPr>
                  <w:tcW w:w="2220"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4562"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400</w:t>
                  </w:r>
                </w:p>
              </w:tc>
              <w:tc>
                <w:tcPr>
                  <w:tcW w:w="4562" w:type="dxa"/>
                  <w:tcBorders>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5" w:type="dxa"/>
                  <w:tcBorders>
                    <w:left w:val="single" w:color="auto" w:sz="4" w:space="0"/>
                    <w:bottom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w:t>
                  </w:r>
                </w:p>
              </w:tc>
              <w:tc>
                <w:tcPr>
                  <w:tcW w:w="2220" w:type="dxa"/>
                  <w:tcBorders>
                    <w:bottom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4562" w:type="dxa"/>
                  <w:tcBorders>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4562" w:type="dxa"/>
                  <w:tcBorders>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4、固体废物排放标准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一般固体废物执行《一般工业固体废物贮存和填埋污染控制标准》（GB18599-2020）的相关要求。</w:t>
            </w:r>
          </w:p>
          <w:p>
            <w:pPr>
              <w:keepNext w:val="0"/>
              <w:keepLines w:val="0"/>
              <w:pageBreakBefore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危险废物执行《</w:t>
            </w:r>
            <w:r>
              <w:rPr>
                <w:rFonts w:hint="default" w:ascii="Times New Roman" w:hAnsi="Times New Roman" w:eastAsia="宋体" w:cs="Times New Roman"/>
                <w:color w:val="auto"/>
                <w:sz w:val="24"/>
                <w:highlight w:val="none"/>
                <w:lang w:eastAsia="zh-CN"/>
              </w:rPr>
              <w:t>危险废物贮存污染控制标准</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GB18597-2023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的</w:t>
            </w:r>
            <w:r>
              <w:rPr>
                <w:rFonts w:hint="default" w:ascii="Times New Roman" w:hAnsi="Times New Roman" w:eastAsia="宋体" w:cs="Times New Roman"/>
                <w:color w:val="auto"/>
                <w:sz w:val="24"/>
                <w:highlight w:val="none"/>
                <w:lang w:val="en-US" w:eastAsia="zh-CN"/>
              </w:rPr>
              <w:t>相关</w:t>
            </w:r>
            <w:r>
              <w:rPr>
                <w:rFonts w:hint="default" w:ascii="Times New Roman" w:hAnsi="Times New Roman" w:eastAsia="宋体" w:cs="Times New Roman"/>
                <w:color w:val="auto"/>
                <w:sz w:val="24"/>
                <w:highlight w:val="none"/>
              </w:rPr>
              <w:t>要求</w:t>
            </w:r>
            <w:r>
              <w:rPr>
                <w:rFonts w:hint="default" w:ascii="Times New Roman" w:hAnsi="Times New Roman" w:eastAsia="宋体" w:cs="Times New Roman"/>
                <w:color w:val="auto"/>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7" w:type="dxa"/>
            <w:vAlign w:val="center"/>
          </w:tcPr>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总量控制指标</w:t>
            </w:r>
          </w:p>
        </w:tc>
        <w:tc>
          <w:tcPr>
            <w:tcW w:w="8311" w:type="dxa"/>
            <w:vAlign w:val="center"/>
          </w:tcPr>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根据《内蒙古自治区“十四五”生态环境保护规划》中规定，现阶段实施污染物总量控制的指标为挥发性有机物、NOx、COD和NH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-N。</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本项目生产废水不外排，</w:t>
            </w:r>
            <w:r>
              <w:rPr>
                <w:rFonts w:hint="default" w:ascii="Times New Roman" w:hAnsi="Times New Roman" w:eastAsia="宋体" w:cs="Times New Roman"/>
                <w:color w:val="auto"/>
                <w:sz w:val="24"/>
                <w:szCs w:val="24"/>
                <w:highlight w:val="none"/>
                <w:lang w:eastAsia="zh-CN"/>
              </w:rPr>
              <w:t>生活污水排入厂区现有化粪池处理后</w:t>
            </w:r>
            <w:r>
              <w:rPr>
                <w:rFonts w:hint="default" w:ascii="Times New Roman" w:hAnsi="Times New Roman" w:eastAsia="宋体" w:cs="Times New Roman"/>
                <w:color w:val="auto"/>
                <w:sz w:val="24"/>
                <w:szCs w:val="24"/>
                <w:highlight w:val="none"/>
              </w:rPr>
              <w:t>，COD</w:t>
            </w:r>
            <w:r>
              <w:rPr>
                <w:rFonts w:hint="default" w:ascii="Times New Roman" w:hAnsi="Times New Roman" w:eastAsia="宋体" w:cs="Times New Roman"/>
                <w:color w:val="auto"/>
                <w:sz w:val="24"/>
                <w:szCs w:val="24"/>
                <w:highlight w:val="none"/>
                <w:lang w:val="en-US" w:eastAsia="zh-CN"/>
              </w:rPr>
              <w:t>排放量为0.252t/a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氨氮</w:t>
            </w:r>
            <w:r>
              <w:rPr>
                <w:rFonts w:hint="default" w:ascii="Times New Roman" w:hAnsi="Times New Roman" w:eastAsia="宋体" w:cs="Times New Roman"/>
                <w:color w:val="auto"/>
                <w:sz w:val="24"/>
                <w:szCs w:val="24"/>
                <w:highlight w:val="none"/>
                <w:lang w:val="en-US" w:eastAsia="zh-CN"/>
              </w:rPr>
              <w:t>排放量为0.0252t/a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最终进入乌拉特前旗工业园区污水处理厂，不需要再申请总量。</w:t>
            </w:r>
          </w:p>
          <w:p>
            <w:pPr>
              <w:pStyle w:val="28"/>
              <w:tabs>
                <w:tab w:val="left" w:pos="0"/>
              </w:tabs>
              <w:spacing w:after="0" w:line="360" w:lineRule="auto"/>
              <w:ind w:left="0" w:leftChars="0" w:firstLine="482"/>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lang w:eastAsia="zh-CN"/>
              </w:rPr>
              <w:t>天然气燃烧废气和烘干废气合并后，经1台水膜除尘器处理后，由1根15m排气筒（DA001）排放，二氧化硫</w:t>
            </w:r>
            <w:r>
              <w:rPr>
                <w:rFonts w:hint="default" w:ascii="Times New Roman" w:hAnsi="Times New Roman" w:eastAsia="宋体" w:cs="Times New Roman"/>
                <w:color w:val="auto"/>
                <w:sz w:val="24"/>
                <w:szCs w:val="24"/>
                <w:highlight w:val="none"/>
                <w:lang w:val="en-US" w:eastAsia="zh-CN"/>
              </w:rPr>
              <w:t>排放量为</w:t>
            </w:r>
            <w:r>
              <w:rPr>
                <w:rFonts w:hint="default" w:ascii="Times New Roman" w:hAnsi="Times New Roman" w:eastAsia="宋体" w:cs="Times New Roman"/>
                <w:color w:val="auto"/>
                <w:kern w:val="0"/>
                <w:sz w:val="24"/>
                <w:szCs w:val="24"/>
                <w:highlight w:val="none"/>
                <w:lang w:eastAsia="zh-CN"/>
              </w:rPr>
              <w:t>0.388</w:t>
            </w:r>
            <w:r>
              <w:rPr>
                <w:rFonts w:hint="default" w:ascii="Times New Roman" w:hAnsi="Times New Roman" w:eastAsia="宋体" w:cs="Times New Roman"/>
                <w:color w:val="auto"/>
                <w:kern w:val="0"/>
                <w:sz w:val="24"/>
                <w:szCs w:val="24"/>
                <w:highlight w:val="none"/>
                <w:lang w:val="en-US" w:eastAsia="zh-CN"/>
              </w:rPr>
              <w:t>t/a、氮氧化物</w:t>
            </w:r>
            <w:r>
              <w:rPr>
                <w:rFonts w:hint="default" w:ascii="Times New Roman" w:hAnsi="Times New Roman" w:eastAsia="宋体" w:cs="Times New Roman"/>
                <w:color w:val="auto"/>
                <w:sz w:val="24"/>
                <w:szCs w:val="24"/>
                <w:highlight w:val="none"/>
                <w:lang w:val="en-US" w:eastAsia="zh-CN"/>
              </w:rPr>
              <w:t>排放</w:t>
            </w:r>
            <w:r>
              <w:rPr>
                <w:rFonts w:hint="default" w:ascii="Times New Roman" w:hAnsi="Times New Roman" w:eastAsia="宋体" w:cs="Times New Roman"/>
                <w:color w:val="auto"/>
                <w:kern w:val="0"/>
                <w:sz w:val="24"/>
                <w:highlight w:val="none"/>
                <w:lang w:eastAsia="zh-CN"/>
              </w:rPr>
              <w:t>量为</w:t>
            </w:r>
            <w:r>
              <w:rPr>
                <w:rFonts w:hint="default" w:ascii="Times New Roman" w:hAnsi="Times New Roman" w:eastAsia="宋体" w:cs="Times New Roman"/>
                <w:color w:val="auto"/>
                <w:kern w:val="0"/>
                <w:sz w:val="24"/>
                <w:highlight w:val="none"/>
                <w:lang w:val="en-US" w:eastAsia="zh-CN"/>
              </w:rPr>
              <w:t>1.541t/a。</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综上，</w:t>
            </w:r>
            <w:r>
              <w:rPr>
                <w:rFonts w:hint="default" w:ascii="Times New Roman" w:hAnsi="Times New Roman" w:eastAsia="宋体" w:cs="Times New Roman"/>
                <w:color w:val="auto"/>
                <w:highlight w:val="none"/>
              </w:rPr>
              <w:t>本项目总量控制指标为：二氧化硫为</w:t>
            </w:r>
            <w:r>
              <w:rPr>
                <w:rFonts w:hint="default" w:ascii="Times New Roman" w:hAnsi="Times New Roman" w:eastAsia="宋体" w:cs="Times New Roman"/>
                <w:color w:val="auto"/>
                <w:highlight w:val="none"/>
                <w:lang w:eastAsia="zh-CN"/>
              </w:rPr>
              <w:t>0.388</w:t>
            </w:r>
            <w:r>
              <w:rPr>
                <w:rFonts w:hint="default" w:ascii="Times New Roman" w:hAnsi="Times New Roman" w:eastAsia="宋体" w:cs="Times New Roman"/>
                <w:color w:val="auto"/>
                <w:highlight w:val="none"/>
              </w:rPr>
              <w:t>t/a、氮氧化物为</w:t>
            </w:r>
            <w:r>
              <w:rPr>
                <w:rFonts w:hint="default" w:ascii="Times New Roman" w:hAnsi="Times New Roman" w:eastAsia="宋体" w:cs="Times New Roman"/>
                <w:color w:val="auto"/>
                <w:highlight w:val="none"/>
                <w:lang w:eastAsia="zh-CN"/>
              </w:rPr>
              <w:t>1.541</w:t>
            </w:r>
            <w:r>
              <w:rPr>
                <w:rFonts w:hint="default" w:ascii="Times New Roman" w:hAnsi="Times New Roman" w:eastAsia="宋体" w:cs="Times New Roman"/>
                <w:color w:val="auto"/>
                <w:highlight w:val="none"/>
              </w:rPr>
              <w:t>t/a。</w:t>
            </w: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p>
        </w:tc>
      </w:tr>
    </w:tbl>
    <w:p>
      <w:pPr>
        <w:pStyle w:val="3"/>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rPr>
        <w:sectPr>
          <w:pgSz w:w="11906" w:h="16838"/>
          <w:pgMar w:top="1440" w:right="1800" w:bottom="1440" w:left="1800" w:header="992" w:footer="992" w:gutter="0"/>
          <w:cols w:space="425" w:num="1"/>
          <w:docGrid w:type="lines" w:linePitch="312" w:charSpace="0"/>
        </w:sectPr>
      </w:pPr>
    </w:p>
    <w:p>
      <w:pPr>
        <w:pStyle w:val="3"/>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bookmarkStart w:id="5" w:name="_Toc163032411"/>
      <w:r>
        <w:rPr>
          <w:rFonts w:hint="default" w:ascii="Times New Roman" w:hAnsi="Times New Roman" w:eastAsia="宋体" w:cs="Times New Roman"/>
          <w:snapToGrid w:val="0"/>
          <w:color w:val="auto"/>
          <w:highlight w:val="none"/>
        </w:rPr>
        <w:t>四、主要环境影响和保护措施</w:t>
      </w:r>
      <w:bookmarkEnd w:id="5"/>
    </w:p>
    <w:tbl>
      <w:tblPr>
        <w:tblStyle w:val="29"/>
        <w:tblW w:w="91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7"/>
        <w:gridCol w:w="80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47" w:type="dxa"/>
            <w:tcMar>
              <w:left w:w="28" w:type="dxa"/>
              <w:right w:w="28" w:type="dxa"/>
            </w:tcMar>
            <w:vAlign w:val="center"/>
          </w:tcPr>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szCs w:val="21"/>
                <w:highlight w:val="none"/>
              </w:rPr>
              <w:t>施工期环境保护措施</w:t>
            </w:r>
          </w:p>
        </w:tc>
        <w:tc>
          <w:tcPr>
            <w:tcW w:w="8037" w:type="dxa"/>
            <w:vAlign w:val="center"/>
          </w:tcPr>
          <w:p>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highlight w:val="none"/>
                <w:shd w:val="clear" w:color="auto" w:fill="auto"/>
                <w:lang w:val="en-US" w:eastAsia="zh-CN"/>
              </w:rPr>
            </w:pPr>
            <w:r>
              <w:rPr>
                <w:rFonts w:hint="default" w:ascii="Times New Roman" w:hAnsi="Times New Roman" w:eastAsia="宋体" w:cs="Times New Roman"/>
                <w:b w:val="0"/>
                <w:bCs w:val="0"/>
                <w:color w:val="auto"/>
                <w:sz w:val="24"/>
                <w:highlight w:val="none"/>
                <w:shd w:val="clear" w:color="auto" w:fill="auto"/>
                <w:lang w:val="en-US" w:eastAsia="zh-CN"/>
              </w:rPr>
              <w:t>本项目利用现有生产厂房进行建设，新建1条含硅材料处理生产线。施工期主要建设内容为生产设备安装。</w:t>
            </w:r>
          </w:p>
          <w:p>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
                <w:bCs/>
                <w:color w:val="auto"/>
                <w:sz w:val="24"/>
                <w:highlight w:val="none"/>
                <w:shd w:val="clear" w:color="auto" w:fill="auto"/>
                <w:lang w:eastAsia="zh-CN"/>
              </w:rPr>
            </w:pPr>
            <w:r>
              <w:rPr>
                <w:rFonts w:hint="default" w:ascii="Times New Roman" w:hAnsi="Times New Roman" w:eastAsia="宋体" w:cs="Times New Roman"/>
                <w:b/>
                <w:bCs/>
                <w:color w:val="auto"/>
                <w:sz w:val="24"/>
                <w:highlight w:val="none"/>
                <w:shd w:val="clear" w:color="auto" w:fill="auto"/>
              </w:rPr>
              <w:t>1、废气</w:t>
            </w:r>
            <w:r>
              <w:rPr>
                <w:rFonts w:hint="default" w:ascii="Times New Roman" w:hAnsi="Times New Roman" w:eastAsia="宋体" w:cs="Times New Roman"/>
                <w:b/>
                <w:bCs/>
                <w:color w:val="auto"/>
                <w:sz w:val="24"/>
                <w:highlight w:val="none"/>
                <w:shd w:val="clear" w:color="auto" w:fill="auto"/>
                <w:lang w:eastAsia="zh-CN"/>
              </w:rPr>
              <w:t>环保措施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lang w:eastAsia="zh-CN"/>
              </w:rPr>
            </w:pP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lang w:val="en-US" w:eastAsia="zh-CN"/>
              </w:rPr>
              <w:t>1</w:t>
            </w:r>
            <w:r>
              <w:rPr>
                <w:rFonts w:hint="default" w:ascii="Times New Roman" w:hAnsi="Times New Roman" w:eastAsia="宋体" w:cs="Times New Roman"/>
                <w:color w:val="auto"/>
                <w:sz w:val="24"/>
                <w:szCs w:val="32"/>
                <w:highlight w:val="none"/>
                <w:lang w:eastAsia="zh-CN"/>
              </w:rPr>
              <w:t>）设备基础开挖场地在施工前进行洒水降尘，并在四周设置围挡；</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lang w:eastAsia="zh-CN"/>
              </w:rPr>
            </w:pPr>
            <w:r>
              <w:rPr>
                <w:rFonts w:hint="default" w:ascii="Times New Roman" w:hAnsi="Times New Roman" w:eastAsia="宋体" w:cs="Times New Roman"/>
                <w:color w:val="auto"/>
                <w:sz w:val="24"/>
                <w:szCs w:val="32"/>
                <w:highlight w:val="none"/>
                <w:lang w:val="en-US" w:eastAsia="zh-CN"/>
              </w:rPr>
              <w:t>（2）开挖</w:t>
            </w:r>
            <w:r>
              <w:rPr>
                <w:rFonts w:hint="default" w:ascii="Times New Roman" w:hAnsi="Times New Roman" w:eastAsia="宋体" w:cs="Times New Roman"/>
                <w:color w:val="auto"/>
                <w:sz w:val="24"/>
                <w:szCs w:val="32"/>
                <w:highlight w:val="none"/>
              </w:rPr>
              <w:t>土方堆放</w:t>
            </w:r>
            <w:r>
              <w:rPr>
                <w:rFonts w:hint="default" w:ascii="Times New Roman" w:hAnsi="Times New Roman" w:eastAsia="宋体" w:cs="Times New Roman"/>
                <w:color w:val="auto"/>
                <w:sz w:val="24"/>
                <w:szCs w:val="32"/>
                <w:highlight w:val="none"/>
                <w:lang w:eastAsia="zh-CN"/>
              </w:rPr>
              <w:t>过程进行覆盖苫布，通过对堆场进行洒水；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lang w:eastAsia="zh-CN"/>
              </w:rPr>
            </w:pP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lang w:val="en-US" w:eastAsia="zh-CN"/>
              </w:rPr>
              <w:t>3</w:t>
            </w:r>
            <w:r>
              <w:rPr>
                <w:rFonts w:hint="default" w:ascii="Times New Roman" w:hAnsi="Times New Roman" w:eastAsia="宋体" w:cs="Times New Roman"/>
                <w:color w:val="auto"/>
                <w:sz w:val="24"/>
                <w:szCs w:val="32"/>
                <w:highlight w:val="none"/>
                <w:lang w:eastAsia="zh-CN"/>
              </w:rPr>
              <w:t>）运输道路进行洒水抑尘。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2、废水环保措施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lang w:eastAsia="zh-CN"/>
              </w:rPr>
            </w:pP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lang w:val="en-US" w:eastAsia="zh-CN"/>
              </w:rPr>
              <w:t>1</w:t>
            </w:r>
            <w:r>
              <w:rPr>
                <w:rFonts w:hint="default" w:ascii="Times New Roman" w:hAnsi="Times New Roman" w:eastAsia="宋体" w:cs="Times New Roman"/>
                <w:color w:val="auto"/>
                <w:sz w:val="24"/>
                <w:szCs w:val="32"/>
                <w:highlight w:val="none"/>
                <w:lang w:eastAsia="zh-CN"/>
              </w:rPr>
              <w:t>）施工人员的生活污水排入厂区现有化粪池处理后，经园区污水管网进入乌拉特前旗工业园区污水处理厂；</w:t>
            </w:r>
          </w:p>
          <w:p>
            <w:pPr>
              <w:keepNext w:val="0"/>
              <w:keepLines w:val="0"/>
              <w:pageBreakBefore w:val="0"/>
              <w:suppressLineNumbers w:val="0"/>
              <w:shd w:val="clear"/>
              <w:tabs>
                <w:tab w:val="left" w:pos="2880"/>
              </w:tabs>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
                <w:color w:val="auto"/>
                <w:sz w:val="24"/>
                <w:highlight w:val="none"/>
                <w:shd w:val="clear" w:color="auto" w:fill="auto"/>
                <w:lang w:eastAsia="zh-CN"/>
              </w:rPr>
            </w:pPr>
            <w:r>
              <w:rPr>
                <w:rFonts w:hint="default" w:ascii="Times New Roman" w:hAnsi="Times New Roman" w:eastAsia="宋体" w:cs="Times New Roman"/>
                <w:b/>
                <w:color w:val="auto"/>
                <w:sz w:val="24"/>
                <w:highlight w:val="none"/>
                <w:shd w:val="clear" w:color="auto" w:fill="auto"/>
              </w:rPr>
              <w:t>3、噪声</w:t>
            </w:r>
            <w:r>
              <w:rPr>
                <w:rFonts w:hint="default" w:ascii="Times New Roman" w:hAnsi="Times New Roman" w:eastAsia="宋体" w:cs="Times New Roman"/>
                <w:b/>
                <w:color w:val="auto"/>
                <w:sz w:val="24"/>
                <w:highlight w:val="none"/>
                <w:shd w:val="clear" w:color="auto" w:fill="auto"/>
                <w:lang w:eastAsia="zh-CN"/>
              </w:rPr>
              <w:t>环保措施</w:t>
            </w:r>
          </w:p>
          <w:p>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highlight w:val="none"/>
                <w:shd w:val="clear" w:color="auto" w:fill="auto"/>
              </w:rPr>
            </w:pPr>
            <w:r>
              <w:rPr>
                <w:rFonts w:hint="default" w:ascii="Times New Roman" w:hAnsi="Times New Roman" w:eastAsia="宋体" w:cs="Times New Roman"/>
                <w:color w:val="auto"/>
                <w:sz w:val="24"/>
                <w:highlight w:val="none"/>
                <w:shd w:val="clear" w:color="auto" w:fill="auto"/>
              </w:rPr>
              <w:t>为减轻施工期噪声对周围环境影响</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建设单位应严格按照噪声污染</w:t>
            </w:r>
            <w:r>
              <w:rPr>
                <w:rFonts w:hint="default" w:ascii="Times New Roman" w:hAnsi="Times New Roman" w:eastAsia="宋体" w:cs="Times New Roman"/>
                <w:color w:val="auto"/>
                <w:sz w:val="24"/>
                <w:highlight w:val="none"/>
                <w:shd w:val="clear" w:color="auto" w:fill="auto"/>
                <w:lang w:eastAsia="zh-CN"/>
              </w:rPr>
              <w:t>防治</w:t>
            </w:r>
            <w:r>
              <w:rPr>
                <w:rFonts w:hint="default" w:ascii="Times New Roman" w:hAnsi="Times New Roman" w:eastAsia="宋体" w:cs="Times New Roman"/>
                <w:color w:val="auto"/>
                <w:sz w:val="24"/>
                <w:highlight w:val="none"/>
                <w:shd w:val="clear" w:color="auto" w:fill="auto"/>
              </w:rPr>
              <w:t>管理的有关规定</w:t>
            </w:r>
            <w:r>
              <w:rPr>
                <w:rFonts w:hint="default" w:ascii="Times New Roman" w:hAnsi="Times New Roman" w:eastAsia="宋体" w:cs="Times New Roman"/>
                <w:color w:val="auto"/>
                <w:sz w:val="24"/>
                <w:highlight w:val="none"/>
                <w:shd w:val="clear" w:color="auto" w:fill="auto"/>
                <w:lang w:eastAsia="zh-CN"/>
              </w:rPr>
              <w:t>，采取以下</w:t>
            </w:r>
            <w:r>
              <w:rPr>
                <w:rFonts w:hint="default" w:ascii="Times New Roman" w:hAnsi="Times New Roman" w:eastAsia="宋体" w:cs="Times New Roman"/>
                <w:color w:val="auto"/>
                <w:sz w:val="24"/>
                <w:highlight w:val="none"/>
                <w:shd w:val="clear" w:color="auto" w:fill="auto"/>
              </w:rPr>
              <w:t>措施：</w:t>
            </w:r>
          </w:p>
          <w:p>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highlight w:val="none"/>
                <w:shd w:val="clear" w:color="auto" w:fill="auto"/>
              </w:rPr>
            </w:pPr>
            <w:r>
              <w:rPr>
                <w:rFonts w:hint="default" w:ascii="Times New Roman" w:hAnsi="Times New Roman" w:eastAsia="宋体" w:cs="Times New Roman"/>
                <w:color w:val="auto"/>
                <w:sz w:val="24"/>
                <w:highlight w:val="none"/>
                <w:shd w:val="clear" w:color="auto" w:fill="auto"/>
              </w:rPr>
              <w:t>（1）施工现场合理布局</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以避免局部声级过高</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尽可能将施工阶段的噪声减至</w:t>
            </w:r>
            <w:r>
              <w:rPr>
                <w:rFonts w:hint="default" w:ascii="Times New Roman" w:hAnsi="Times New Roman" w:eastAsia="宋体" w:cs="Times New Roman"/>
                <w:color w:val="auto"/>
                <w:sz w:val="24"/>
                <w:highlight w:val="none"/>
                <w:shd w:val="clear" w:color="auto" w:fill="auto"/>
                <w:lang w:eastAsia="zh-CN"/>
              </w:rPr>
              <w:t>最低</w:t>
            </w:r>
            <w:r>
              <w:rPr>
                <w:rFonts w:hint="default" w:ascii="Times New Roman" w:hAnsi="Times New Roman" w:eastAsia="宋体" w:cs="Times New Roman"/>
                <w:color w:val="auto"/>
                <w:sz w:val="24"/>
                <w:highlight w:val="none"/>
                <w:shd w:val="clear" w:color="auto" w:fill="auto"/>
              </w:rPr>
              <w:t>。</w:t>
            </w:r>
          </w:p>
          <w:p>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highlight w:val="none"/>
                <w:shd w:val="clear" w:color="auto" w:fill="auto"/>
                <w:lang w:eastAsia="zh-CN"/>
              </w:rPr>
            </w:pPr>
            <w:r>
              <w:rPr>
                <w:rFonts w:hint="default" w:ascii="Times New Roman" w:hAnsi="Times New Roman" w:eastAsia="宋体" w:cs="Times New Roman"/>
                <w:color w:val="auto"/>
                <w:sz w:val="24"/>
                <w:highlight w:val="none"/>
                <w:shd w:val="clear" w:color="auto" w:fill="auto"/>
              </w:rPr>
              <w:t>（2）现场施工人员要严加管理</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在施工建设时要防止互相撞击噪声</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要文明施工</w:t>
            </w:r>
            <w:r>
              <w:rPr>
                <w:rFonts w:hint="default" w:ascii="Times New Roman" w:hAnsi="Times New Roman" w:eastAsia="宋体" w:cs="Times New Roman"/>
                <w:color w:val="auto"/>
                <w:sz w:val="24"/>
                <w:highlight w:val="none"/>
                <w:shd w:val="clear" w:color="auto" w:fill="auto"/>
                <w:lang w:eastAsia="zh-CN"/>
              </w:rPr>
              <w:t>。</w:t>
            </w:r>
          </w:p>
          <w:p>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highlight w:val="none"/>
                <w:shd w:val="clear" w:color="auto" w:fill="auto"/>
                <w:lang w:eastAsia="zh-CN"/>
              </w:rPr>
            </w:pP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lang w:val="en-US" w:eastAsia="zh-CN"/>
              </w:rPr>
              <w:t>3</w:t>
            </w:r>
            <w:r>
              <w:rPr>
                <w:rFonts w:hint="default" w:ascii="Times New Roman" w:hAnsi="Times New Roman" w:eastAsia="宋体" w:cs="Times New Roman"/>
                <w:color w:val="auto"/>
                <w:sz w:val="24"/>
                <w:highlight w:val="none"/>
                <w:shd w:val="clear" w:color="auto" w:fill="auto"/>
                <w:lang w:eastAsia="zh-CN"/>
              </w:rPr>
              <w:t>）及时保养维修施工机械，严格按照操作规程使用各类机械。</w:t>
            </w:r>
          </w:p>
          <w:p>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highlight w:val="none"/>
                <w:shd w:val="clear" w:color="auto" w:fill="auto"/>
              </w:rPr>
            </w:pP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lang w:val="en-US" w:eastAsia="zh-CN"/>
              </w:rPr>
              <w:t>4</w:t>
            </w:r>
            <w:r>
              <w:rPr>
                <w:rFonts w:hint="default" w:ascii="Times New Roman" w:hAnsi="Times New Roman" w:eastAsia="宋体" w:cs="Times New Roman"/>
                <w:color w:val="auto"/>
                <w:sz w:val="24"/>
                <w:highlight w:val="none"/>
                <w:shd w:val="clear" w:color="auto" w:fill="auto"/>
                <w:lang w:eastAsia="zh-CN"/>
              </w:rPr>
              <w:t>）在施工场地周围设置挡板</w:t>
            </w:r>
            <w:r>
              <w:rPr>
                <w:rFonts w:hint="default" w:ascii="Times New Roman" w:hAnsi="Times New Roman" w:eastAsia="宋体" w:cs="Times New Roman"/>
                <w:color w:val="auto"/>
                <w:sz w:val="24"/>
                <w:highlight w:val="none"/>
                <w:shd w:val="clear" w:color="auto" w:fill="auto"/>
              </w:rPr>
              <w:t>。</w:t>
            </w:r>
          </w:p>
          <w:p>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
                <w:color w:val="auto"/>
                <w:sz w:val="24"/>
                <w:highlight w:val="none"/>
                <w:shd w:val="clear" w:color="auto" w:fill="auto"/>
                <w:lang w:eastAsia="zh-CN"/>
              </w:rPr>
            </w:pPr>
            <w:r>
              <w:rPr>
                <w:rFonts w:hint="default" w:ascii="Times New Roman" w:hAnsi="Times New Roman" w:eastAsia="宋体" w:cs="Times New Roman"/>
                <w:b/>
                <w:color w:val="auto"/>
                <w:sz w:val="24"/>
                <w:highlight w:val="none"/>
                <w:shd w:val="clear" w:color="auto" w:fill="auto"/>
              </w:rPr>
              <w:t>4、固体废物</w:t>
            </w:r>
            <w:r>
              <w:rPr>
                <w:rFonts w:hint="default" w:ascii="Times New Roman" w:hAnsi="Times New Roman" w:eastAsia="宋体" w:cs="Times New Roman"/>
                <w:b/>
                <w:color w:val="auto"/>
                <w:sz w:val="24"/>
                <w:highlight w:val="none"/>
                <w:shd w:val="clear" w:color="auto" w:fill="auto"/>
                <w:lang w:eastAsia="zh-CN"/>
              </w:rPr>
              <w:t>环保措施</w:t>
            </w:r>
          </w:p>
          <w:p>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kern w:val="0"/>
                <w:sz w:val="24"/>
                <w:highlight w:val="none"/>
                <w:shd w:val="clear" w:color="auto" w:fill="auto"/>
                <w:lang w:eastAsia="zh-CN"/>
              </w:rPr>
            </w:pPr>
            <w:r>
              <w:rPr>
                <w:rFonts w:hint="default" w:ascii="Times New Roman" w:hAnsi="Times New Roman" w:eastAsia="宋体" w:cs="Times New Roman"/>
                <w:color w:val="auto"/>
                <w:kern w:val="0"/>
                <w:sz w:val="24"/>
                <w:highlight w:val="none"/>
                <w:shd w:val="clear" w:color="auto" w:fill="auto"/>
              </w:rPr>
              <w:t>（</w:t>
            </w:r>
            <w:r>
              <w:rPr>
                <w:rFonts w:hint="default" w:ascii="Times New Roman" w:hAnsi="Times New Roman" w:eastAsia="宋体" w:cs="Times New Roman"/>
                <w:color w:val="auto"/>
                <w:kern w:val="0"/>
                <w:sz w:val="24"/>
                <w:highlight w:val="none"/>
                <w:shd w:val="clear" w:color="auto" w:fill="auto"/>
                <w:lang w:val="en-US" w:eastAsia="zh-CN"/>
              </w:rPr>
              <w:t>1</w:t>
            </w:r>
            <w:r>
              <w:rPr>
                <w:rFonts w:hint="default" w:ascii="Times New Roman" w:hAnsi="Times New Roman" w:eastAsia="宋体" w:cs="Times New Roman"/>
                <w:color w:val="auto"/>
                <w:kern w:val="0"/>
                <w:sz w:val="24"/>
                <w:highlight w:val="none"/>
                <w:shd w:val="clear" w:color="auto" w:fill="auto"/>
              </w:rPr>
              <w:t>）</w:t>
            </w:r>
            <w:r>
              <w:rPr>
                <w:rFonts w:hint="default" w:ascii="Times New Roman" w:hAnsi="Times New Roman" w:eastAsia="宋体" w:cs="Times New Roman"/>
                <w:color w:val="auto"/>
                <w:kern w:val="0"/>
                <w:sz w:val="24"/>
                <w:highlight w:val="none"/>
                <w:shd w:val="clear" w:color="auto" w:fill="auto"/>
                <w:lang w:eastAsia="zh-CN"/>
              </w:rPr>
              <w:t>设备包装物</w:t>
            </w:r>
            <w:r>
              <w:rPr>
                <w:rFonts w:hint="default" w:ascii="Times New Roman" w:hAnsi="Times New Roman" w:eastAsia="宋体" w:cs="Times New Roman"/>
                <w:color w:val="auto"/>
                <w:kern w:val="0"/>
                <w:sz w:val="24"/>
                <w:highlight w:val="none"/>
                <w:shd w:val="clear" w:color="auto" w:fill="auto"/>
                <w:lang w:val="en-US" w:eastAsia="zh-CN"/>
              </w:rPr>
              <w:t>产生量约6t，</w:t>
            </w:r>
            <w:r>
              <w:rPr>
                <w:rFonts w:hint="default" w:ascii="Times New Roman" w:hAnsi="Times New Roman" w:eastAsia="宋体" w:cs="Times New Roman"/>
                <w:color w:val="auto"/>
                <w:kern w:val="0"/>
                <w:sz w:val="24"/>
                <w:highlight w:val="none"/>
                <w:shd w:val="clear" w:color="auto" w:fill="auto"/>
                <w:lang w:eastAsia="zh-CN"/>
              </w:rPr>
              <w:t>收集后外售废品收购站。</w:t>
            </w:r>
          </w:p>
          <w:p>
            <w:pPr>
              <w:keepNext w:val="0"/>
              <w:keepLines w:val="0"/>
              <w:pageBreakBefore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highlight w:val="none"/>
                <w:shd w:val="clear" w:color="auto" w:fill="auto"/>
              </w:rPr>
              <w:t>（</w:t>
            </w:r>
            <w:r>
              <w:rPr>
                <w:rFonts w:hint="default" w:ascii="Times New Roman" w:hAnsi="Times New Roman" w:eastAsia="宋体" w:cs="Times New Roman"/>
                <w:color w:val="auto"/>
                <w:kern w:val="0"/>
                <w:sz w:val="24"/>
                <w:highlight w:val="none"/>
                <w:shd w:val="clear" w:color="auto" w:fill="auto"/>
                <w:lang w:val="en-US" w:eastAsia="zh-CN"/>
              </w:rPr>
              <w:t>2</w:t>
            </w:r>
            <w:r>
              <w:rPr>
                <w:rFonts w:hint="default" w:ascii="Times New Roman" w:hAnsi="Times New Roman" w:eastAsia="宋体" w:cs="Times New Roman"/>
                <w:color w:val="auto"/>
                <w:kern w:val="0"/>
                <w:sz w:val="24"/>
                <w:highlight w:val="none"/>
                <w:shd w:val="clear" w:color="auto" w:fill="auto"/>
              </w:rPr>
              <w:t>）</w:t>
            </w:r>
            <w:r>
              <w:rPr>
                <w:rFonts w:hint="default" w:ascii="Times New Roman" w:hAnsi="Times New Roman" w:eastAsia="宋体" w:cs="Times New Roman"/>
                <w:color w:val="auto"/>
                <w:kern w:val="0"/>
                <w:sz w:val="24"/>
                <w:highlight w:val="none"/>
                <w:shd w:val="clear" w:color="auto" w:fill="auto"/>
                <w:lang w:eastAsia="zh-CN"/>
              </w:rPr>
              <w:t>施工人员的</w:t>
            </w:r>
            <w:r>
              <w:rPr>
                <w:rFonts w:hint="default" w:ascii="Times New Roman" w:hAnsi="Times New Roman" w:eastAsia="宋体" w:cs="Times New Roman"/>
                <w:color w:val="auto"/>
                <w:kern w:val="0"/>
                <w:sz w:val="24"/>
                <w:highlight w:val="none"/>
                <w:shd w:val="clear" w:color="auto" w:fill="auto"/>
              </w:rPr>
              <w:t>生活垃圾经垃圾桶收集后</w:t>
            </w:r>
            <w:r>
              <w:rPr>
                <w:rFonts w:hint="default" w:ascii="Times New Roman" w:hAnsi="Times New Roman" w:eastAsia="宋体" w:cs="Times New Roman"/>
                <w:color w:val="auto"/>
                <w:kern w:val="0"/>
                <w:sz w:val="24"/>
                <w:highlight w:val="none"/>
                <w:shd w:val="clear" w:color="auto" w:fill="auto"/>
                <w:lang w:eastAsia="zh-CN"/>
              </w:rPr>
              <w:t>，</w:t>
            </w:r>
            <w:r>
              <w:rPr>
                <w:rFonts w:hint="default" w:ascii="Times New Roman" w:hAnsi="Times New Roman" w:eastAsia="宋体" w:cs="Times New Roman"/>
                <w:color w:val="auto"/>
                <w:kern w:val="0"/>
                <w:sz w:val="24"/>
                <w:highlight w:val="none"/>
                <w:shd w:val="clear" w:color="auto" w:fill="auto"/>
              </w:rPr>
              <w:t>由当地环卫部门定期清运</w:t>
            </w:r>
            <w:r>
              <w:rPr>
                <w:rFonts w:hint="default" w:ascii="Times New Roman" w:hAnsi="Times New Roman" w:eastAsia="宋体" w:cs="Times New Roman"/>
                <w:color w:val="auto"/>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47" w:type="dxa"/>
            <w:tcMar>
              <w:left w:w="28" w:type="dxa"/>
              <w:right w:w="28" w:type="dxa"/>
            </w:tcMar>
            <w:vAlign w:val="center"/>
          </w:tcPr>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color w:val="auto"/>
                <w:szCs w:val="21"/>
                <w:highlight w:val="none"/>
              </w:rPr>
            </w:pPr>
            <w:bookmarkStart w:id="6" w:name="_Hlk78365085"/>
            <w:r>
              <w:rPr>
                <w:rFonts w:hint="default" w:ascii="Times New Roman" w:hAnsi="Times New Roman" w:eastAsia="宋体" w:cs="Times New Roman"/>
                <w:bCs/>
                <w:color w:val="auto"/>
                <w:szCs w:val="21"/>
                <w:highlight w:val="none"/>
              </w:rPr>
              <w:t>运营期环境影响和保护措施</w:t>
            </w:r>
          </w:p>
        </w:tc>
        <w:tc>
          <w:tcPr>
            <w:tcW w:w="8037" w:type="dxa"/>
            <w:vAlign w:val="center"/>
          </w:tcPr>
          <w:p>
            <w:pPr>
              <w:bidi w:val="0"/>
              <w:rPr>
                <w:rFonts w:hint="default" w:ascii="Times New Roman" w:hAnsi="Times New Roman" w:eastAsia="宋体" w:cs="Times New Roman"/>
                <w:b/>
                <w:bCs/>
                <w:color w:val="auto"/>
                <w:highlight w:val="none"/>
              </w:rPr>
            </w:pPr>
            <w:bookmarkStart w:id="7" w:name="_Hlk78373195"/>
            <w:bookmarkStart w:id="8" w:name="_Hlk78372578"/>
            <w:r>
              <w:rPr>
                <w:rFonts w:hint="default" w:ascii="Times New Roman" w:hAnsi="Times New Roman" w:eastAsia="宋体" w:cs="Times New Roman"/>
                <w:b/>
                <w:bCs/>
                <w:color w:val="auto"/>
                <w:highlight w:val="none"/>
              </w:rPr>
              <w:t>1、废气产排情况及治理措施可行性分析</w:t>
            </w:r>
          </w:p>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1.1废气产排情况</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1.1.1</w:t>
            </w:r>
            <w:r>
              <w:rPr>
                <w:rFonts w:hint="default" w:ascii="Times New Roman" w:hAnsi="Times New Roman" w:eastAsia="宋体" w:cs="Times New Roman"/>
                <w:b/>
                <w:bCs/>
                <w:color w:val="auto"/>
                <w:highlight w:val="none"/>
              </w:rPr>
              <w:t>天然气燃烧废气和烘干废气</w:t>
            </w:r>
          </w:p>
          <w:p>
            <w:pPr>
              <w:keepNext w:val="0"/>
              <w:keepLines w:val="0"/>
              <w:pageBreakBefore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）天然气燃烧废气</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2"/>
                <w:sz w:val="24"/>
                <w:szCs w:val="24"/>
                <w:highlight w:val="none"/>
              </w:rPr>
              <w:t>本项目烘干热源</w:t>
            </w:r>
            <w:r>
              <w:rPr>
                <w:rFonts w:hint="default" w:ascii="Times New Roman" w:hAnsi="Times New Roman" w:eastAsia="宋体" w:cs="Times New Roman"/>
                <w:color w:val="auto"/>
                <w:sz w:val="24"/>
                <w:szCs w:val="24"/>
                <w:highlight w:val="none"/>
              </w:rPr>
              <w:t>采用天然气加热，</w:t>
            </w:r>
            <w:r>
              <w:rPr>
                <w:rFonts w:hint="default" w:ascii="Times New Roman" w:hAnsi="Times New Roman" w:eastAsia="宋体" w:cs="Times New Roman"/>
                <w:color w:val="auto"/>
                <w:kern w:val="2"/>
                <w:sz w:val="24"/>
                <w:szCs w:val="24"/>
                <w:highlight w:val="none"/>
              </w:rPr>
              <w:t>天然气燃烧废气中的污染物主要为颗粒物、SO</w:t>
            </w:r>
            <w:r>
              <w:rPr>
                <w:rFonts w:hint="default" w:ascii="Times New Roman" w:hAnsi="Times New Roman" w:eastAsia="宋体" w:cs="Times New Roman"/>
                <w:color w:val="auto"/>
                <w:kern w:val="2"/>
                <w:sz w:val="24"/>
                <w:szCs w:val="24"/>
                <w:highlight w:val="none"/>
                <w:vertAlign w:val="subscript"/>
              </w:rPr>
              <w:t>2</w:t>
            </w:r>
            <w:r>
              <w:rPr>
                <w:rFonts w:hint="default" w:ascii="Times New Roman" w:hAnsi="Times New Roman" w:eastAsia="宋体" w:cs="Times New Roman"/>
                <w:color w:val="auto"/>
                <w:kern w:val="2"/>
                <w:sz w:val="24"/>
                <w:szCs w:val="24"/>
                <w:highlight w:val="none"/>
              </w:rPr>
              <w:t>、NO</w:t>
            </w:r>
            <w:r>
              <w:rPr>
                <w:rFonts w:hint="default" w:ascii="Times New Roman" w:hAnsi="Times New Roman" w:eastAsia="宋体" w:cs="Times New Roman"/>
                <w:color w:val="auto"/>
                <w:kern w:val="2"/>
                <w:sz w:val="24"/>
                <w:szCs w:val="24"/>
                <w:highlight w:val="none"/>
                <w:vertAlign w:val="subscript"/>
              </w:rPr>
              <w:t>x</w:t>
            </w:r>
            <w:r>
              <w:rPr>
                <w:rFonts w:hint="default" w:ascii="Times New Roman" w:hAnsi="Times New Roman" w:eastAsia="宋体" w:cs="Times New Roman"/>
                <w:color w:val="auto"/>
                <w:kern w:val="2"/>
                <w:sz w:val="24"/>
                <w:szCs w:val="24"/>
                <w:highlight w:val="none"/>
              </w:rPr>
              <w:t>，</w:t>
            </w:r>
            <w:r>
              <w:rPr>
                <w:rFonts w:hint="default" w:ascii="Times New Roman" w:hAnsi="Times New Roman" w:eastAsia="宋体" w:cs="Times New Roman"/>
                <w:color w:val="auto"/>
                <w:sz w:val="24"/>
                <w:szCs w:val="24"/>
                <w:highlight w:val="none"/>
              </w:rPr>
              <w:t>年运行时间为300天，每天24h，天然气用量约为</w:t>
            </w:r>
            <w:r>
              <w:rPr>
                <w:rFonts w:hint="default" w:ascii="Times New Roman" w:hAnsi="Times New Roman" w:eastAsia="宋体" w:cs="Times New Roman"/>
                <w:color w:val="auto"/>
                <w:sz w:val="24"/>
                <w:szCs w:val="24"/>
                <w:highlight w:val="none"/>
                <w:lang w:eastAsia="zh-CN"/>
              </w:rPr>
              <w:t>97.08</w:t>
            </w:r>
            <w:r>
              <w:rPr>
                <w:rFonts w:hint="default" w:ascii="Times New Roman" w:hAnsi="Times New Roman" w:eastAsia="宋体" w:cs="Times New Roman"/>
                <w:color w:val="auto"/>
                <w:sz w:val="24"/>
                <w:szCs w:val="24"/>
                <w:highlight w:val="none"/>
              </w:rPr>
              <w:t>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/a。</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①颗粒物</w:t>
            </w:r>
          </w:p>
          <w:p>
            <w:pPr>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参照</w:t>
            </w:r>
            <w:r>
              <w:rPr>
                <w:rFonts w:hint="default" w:ascii="Times New Roman" w:hAnsi="Times New Roman" w:eastAsia="宋体" w:cs="Times New Roman"/>
                <w:color w:val="auto"/>
                <w:kern w:val="0"/>
                <w:sz w:val="24"/>
                <w:highlight w:val="none"/>
              </w:rPr>
              <w:t>《排放源统计调查产排污核算方法和系数手册》（公告2021年第24号）--生活源产排污核算方法和系数手册--第三部分生活及其他大气污染物排放系数</w:t>
            </w:r>
            <w:r>
              <w:rPr>
                <w:rFonts w:hint="default" w:ascii="Times New Roman" w:hAnsi="Times New Roman" w:eastAsia="宋体" w:cs="Times New Roman"/>
                <w:color w:val="auto"/>
                <w:kern w:val="0"/>
                <w:sz w:val="24"/>
                <w:highlight w:val="none"/>
                <w:lang w:eastAsia="zh-CN"/>
              </w:rPr>
              <w:t>：</w:t>
            </w:r>
          </w:p>
          <w:p>
            <w:pPr>
              <w:pStyle w:val="28"/>
              <w:tabs>
                <w:tab w:val="left" w:pos="0"/>
              </w:tabs>
              <w:spacing w:after="0" w:line="360" w:lineRule="auto"/>
              <w:ind w:left="0" w:leftChars="0" w:firstLine="482"/>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kern w:val="0"/>
                <w:sz w:val="24"/>
                <w:highlight w:val="none"/>
                <w:lang w:eastAsia="zh-CN"/>
              </w:rPr>
              <w:t>颗粒物</w:t>
            </w:r>
            <w:r>
              <w:rPr>
                <w:rFonts w:hint="default" w:ascii="Times New Roman" w:hAnsi="Times New Roman" w:eastAsia="宋体" w:cs="Times New Roman"/>
                <w:color w:val="auto"/>
                <w:kern w:val="0"/>
                <w:sz w:val="24"/>
                <w:highlight w:val="none"/>
              </w:rPr>
              <w:t>产污系数按</w:t>
            </w:r>
            <w:r>
              <w:rPr>
                <w:rFonts w:hint="default" w:ascii="Times New Roman" w:hAnsi="Times New Roman" w:eastAsia="宋体" w:cs="Times New Roman"/>
                <w:color w:val="auto"/>
                <w:kern w:val="0"/>
                <w:sz w:val="24"/>
                <w:highlight w:val="none"/>
                <w:lang w:val="en-US" w:eastAsia="zh-CN"/>
              </w:rPr>
              <w:t>1.1千克</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b w:val="0"/>
                <w:bCs w:val="0"/>
                <w:color w:val="auto"/>
                <w:kern w:val="0"/>
                <w:sz w:val="24"/>
                <w:szCs w:val="24"/>
                <w:highlight w:val="none"/>
                <w:lang w:val="en-US" w:eastAsia="zh-CN"/>
              </w:rPr>
              <w:t>万m</w:t>
            </w:r>
            <w:r>
              <w:rPr>
                <w:rFonts w:hint="default" w:ascii="Times New Roman" w:hAnsi="Times New Roman" w:eastAsia="宋体" w:cs="Times New Roman"/>
                <w:b w:val="0"/>
                <w:bCs w:val="0"/>
                <w:color w:val="auto"/>
                <w:kern w:val="0"/>
                <w:sz w:val="24"/>
                <w:szCs w:val="24"/>
                <w:highlight w:val="none"/>
                <w:vertAlign w:val="superscript"/>
                <w:lang w:val="en-US" w:eastAsia="zh-CN"/>
              </w:rPr>
              <w:t>3</w:t>
            </w:r>
            <w:r>
              <w:rPr>
                <w:rFonts w:hint="default" w:ascii="Times New Roman" w:hAnsi="Times New Roman" w:eastAsia="宋体" w:cs="Times New Roman"/>
                <w:b w:val="0"/>
                <w:bCs w:val="0"/>
                <w:color w:val="auto"/>
                <w:kern w:val="0"/>
                <w:sz w:val="24"/>
                <w:szCs w:val="24"/>
                <w:highlight w:val="none"/>
                <w:lang w:val="en-US" w:eastAsia="zh-CN"/>
              </w:rPr>
              <w:t>-原料，</w:t>
            </w:r>
            <w:r>
              <w:rPr>
                <w:rFonts w:hint="default" w:ascii="Times New Roman" w:hAnsi="Times New Roman" w:eastAsia="宋体" w:cs="Times New Roman"/>
                <w:color w:val="auto"/>
                <w:kern w:val="0"/>
                <w:sz w:val="24"/>
                <w:highlight w:val="none"/>
              </w:rPr>
              <w:t>本项</w:t>
            </w:r>
            <w:r>
              <w:rPr>
                <w:rFonts w:hint="default" w:ascii="Times New Roman" w:hAnsi="Times New Roman" w:eastAsia="宋体" w:cs="Times New Roman"/>
                <w:color w:val="auto"/>
                <w:kern w:val="0"/>
                <w:sz w:val="24"/>
                <w:szCs w:val="24"/>
                <w:highlight w:val="none"/>
              </w:rPr>
              <w:t>目</w:t>
            </w:r>
            <w:r>
              <w:rPr>
                <w:rFonts w:hint="default" w:ascii="Times New Roman" w:hAnsi="Times New Roman" w:eastAsia="宋体" w:cs="Times New Roman"/>
                <w:color w:val="auto"/>
                <w:sz w:val="24"/>
                <w:szCs w:val="24"/>
                <w:highlight w:val="none"/>
                <w:shd w:val="clear" w:color="auto" w:fill="auto"/>
                <w:lang w:val="en-US" w:eastAsia="zh-CN"/>
              </w:rPr>
              <w:t>天然气</w:t>
            </w:r>
            <w:r>
              <w:rPr>
                <w:rFonts w:hint="default" w:ascii="Times New Roman" w:hAnsi="Times New Roman" w:eastAsia="宋体" w:cs="Times New Roman"/>
                <w:color w:val="auto"/>
                <w:sz w:val="24"/>
                <w:szCs w:val="24"/>
                <w:highlight w:val="none"/>
                <w:shd w:val="clear" w:color="auto" w:fill="auto"/>
              </w:rPr>
              <w:t>消耗量为97.08</w:t>
            </w:r>
            <w:r>
              <w:rPr>
                <w:rFonts w:hint="default" w:ascii="Times New Roman" w:hAnsi="Times New Roman" w:eastAsia="宋体" w:cs="Times New Roman"/>
                <w:color w:val="auto"/>
                <w:sz w:val="24"/>
                <w:szCs w:val="24"/>
                <w:highlight w:val="none"/>
                <w:shd w:val="clear" w:color="auto" w:fill="auto"/>
                <w:lang w:val="en-US" w:eastAsia="zh-CN"/>
              </w:rPr>
              <w:t>×10</w:t>
            </w:r>
            <w:r>
              <w:rPr>
                <w:rFonts w:hint="default" w:ascii="Times New Roman" w:hAnsi="Times New Roman" w:eastAsia="宋体" w:cs="Times New Roman"/>
                <w:color w:val="auto"/>
                <w:sz w:val="24"/>
                <w:szCs w:val="24"/>
                <w:highlight w:val="none"/>
                <w:shd w:val="clear" w:color="auto" w:fill="auto"/>
                <w:vertAlign w:val="superscript"/>
                <w:lang w:val="en-US" w:eastAsia="zh-CN"/>
              </w:rPr>
              <w:t>4</w:t>
            </w:r>
            <w:r>
              <w:rPr>
                <w:rFonts w:hint="default" w:ascii="Times New Roman" w:hAnsi="Times New Roman" w:eastAsia="宋体" w:cs="Times New Roman"/>
                <w:color w:val="auto"/>
                <w:sz w:val="24"/>
                <w:szCs w:val="24"/>
                <w:highlight w:val="none"/>
                <w:shd w:val="clear" w:color="auto" w:fill="auto"/>
                <w:lang w:val="en-US" w:eastAsia="zh-CN"/>
              </w:rPr>
              <w:t>m</w:t>
            </w:r>
            <w:r>
              <w:rPr>
                <w:rFonts w:hint="default" w:ascii="Times New Roman" w:hAnsi="Times New Roman" w:eastAsia="宋体" w:cs="Times New Roman"/>
                <w:color w:val="auto"/>
                <w:sz w:val="24"/>
                <w:szCs w:val="24"/>
                <w:highlight w:val="none"/>
                <w:shd w:val="clear" w:color="auto" w:fill="auto"/>
                <w:vertAlign w:val="superscript"/>
                <w:lang w:val="en-US" w:eastAsia="zh-CN"/>
              </w:rPr>
              <w:t>3</w:t>
            </w:r>
            <w:r>
              <w:rPr>
                <w:rFonts w:hint="default" w:ascii="Times New Roman" w:hAnsi="Times New Roman" w:eastAsia="宋体" w:cs="Times New Roman"/>
                <w:color w:val="auto"/>
                <w:sz w:val="24"/>
                <w:szCs w:val="24"/>
                <w:highlight w:val="none"/>
                <w:shd w:val="clear" w:color="auto" w:fill="auto"/>
              </w:rPr>
              <w:t>/a</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lang w:val="en-US" w:eastAsia="zh-CN"/>
              </w:rPr>
              <w:t>则</w:t>
            </w:r>
            <w:r>
              <w:rPr>
                <w:rFonts w:hint="default" w:ascii="Times New Roman" w:hAnsi="Times New Roman" w:eastAsia="宋体" w:cs="Times New Roman"/>
                <w:color w:val="auto"/>
                <w:kern w:val="0"/>
                <w:sz w:val="24"/>
                <w:highlight w:val="none"/>
                <w:lang w:eastAsia="zh-CN"/>
              </w:rPr>
              <w:t>颗粒物产生量为</w:t>
            </w:r>
            <w:r>
              <w:rPr>
                <w:rFonts w:hint="default" w:ascii="Times New Roman" w:hAnsi="Times New Roman" w:eastAsia="宋体" w:cs="Times New Roman"/>
                <w:color w:val="auto"/>
                <w:kern w:val="0"/>
                <w:sz w:val="24"/>
                <w:highlight w:val="none"/>
                <w:lang w:val="en-US" w:eastAsia="zh-CN"/>
              </w:rPr>
              <w:t>0.107t/a。</w:t>
            </w:r>
          </w:p>
          <w:p>
            <w:pPr>
              <w:spacing w:line="360" w:lineRule="auto"/>
              <w:ind w:firstLine="482" w:firstLineChars="200"/>
              <w:rPr>
                <w:rFonts w:hint="default" w:ascii="Times New Roman" w:hAnsi="Times New Roman" w:eastAsia="宋体" w:cs="Times New Roman"/>
                <w:b/>
                <w:bCs/>
                <w:color w:val="auto"/>
                <w:kern w:val="0"/>
                <w:sz w:val="24"/>
                <w:highlight w:val="none"/>
                <w:lang w:eastAsia="zh-CN"/>
              </w:rPr>
            </w:pPr>
            <w:r>
              <w:rPr>
                <w:rFonts w:hint="default" w:ascii="Times New Roman" w:hAnsi="Times New Roman" w:eastAsia="宋体" w:cs="Times New Roman"/>
                <w:b/>
                <w:bCs/>
                <w:color w:val="auto"/>
                <w:kern w:val="0"/>
                <w:sz w:val="24"/>
                <w:highlight w:val="none"/>
                <w:lang w:eastAsia="zh-CN"/>
              </w:rPr>
              <w:t>②二氧化硫</w:t>
            </w:r>
          </w:p>
          <w:p>
            <w:pPr>
              <w:pStyle w:val="28"/>
              <w:tabs>
                <w:tab w:val="left" w:pos="0"/>
              </w:tabs>
              <w:spacing w:after="0" w:line="360" w:lineRule="auto"/>
              <w:ind w:left="0" w:leftChars="0" w:firstLine="482"/>
              <w:rPr>
                <w:rFonts w:hint="default" w:ascii="Times New Roman" w:hAnsi="Times New Roman" w:eastAsia="宋体" w:cs="Times New Roman"/>
                <w:color w:val="auto"/>
                <w:kern w:val="0"/>
                <w:sz w:val="24"/>
                <w:highlight w:val="none"/>
                <w:lang w:eastAsia="zh-CN"/>
              </w:rPr>
            </w:pPr>
            <w:r>
              <w:rPr>
                <w:rFonts w:hint="default" w:ascii="Times New Roman" w:hAnsi="Times New Roman" w:eastAsia="宋体" w:cs="Times New Roman"/>
                <w:color w:val="auto"/>
                <w:kern w:val="0"/>
                <w:sz w:val="24"/>
                <w:highlight w:val="none"/>
              </w:rPr>
              <w:t>根据《排放源统计调查产排污核算方法和系数手册》（公告2021年第24号）--4430工业锅炉（热力供应）行业系数手册--</w:t>
            </w:r>
            <w:r>
              <w:rPr>
                <w:rFonts w:hint="default" w:ascii="Times New Roman" w:hAnsi="Times New Roman" w:eastAsia="宋体" w:cs="Times New Roman"/>
                <w:color w:val="auto"/>
                <w:kern w:val="0"/>
                <w:sz w:val="24"/>
                <w:highlight w:val="none"/>
                <w:lang w:eastAsia="zh-CN"/>
              </w:rPr>
              <w:t>燃</w:t>
            </w:r>
            <w:r>
              <w:rPr>
                <w:rFonts w:hint="default" w:ascii="Times New Roman" w:hAnsi="Times New Roman" w:eastAsia="宋体" w:cs="Times New Roman"/>
                <w:color w:val="auto"/>
                <w:kern w:val="0"/>
                <w:sz w:val="24"/>
                <w:highlight w:val="none"/>
                <w:lang w:val="en-US" w:eastAsia="zh-CN"/>
              </w:rPr>
              <w:t>气</w:t>
            </w:r>
            <w:r>
              <w:rPr>
                <w:rFonts w:hint="default" w:ascii="Times New Roman" w:hAnsi="Times New Roman" w:eastAsia="宋体" w:cs="Times New Roman"/>
                <w:color w:val="auto"/>
                <w:kern w:val="0"/>
                <w:sz w:val="24"/>
                <w:highlight w:val="none"/>
                <w:lang w:eastAsia="zh-CN"/>
              </w:rPr>
              <w:t>工业锅炉（</w:t>
            </w:r>
            <w:r>
              <w:rPr>
                <w:rFonts w:hint="default" w:ascii="Times New Roman" w:hAnsi="Times New Roman" w:eastAsia="宋体" w:cs="Times New Roman"/>
                <w:color w:val="auto"/>
                <w:kern w:val="0"/>
                <w:sz w:val="24"/>
                <w:highlight w:val="none"/>
                <w:lang w:val="en-US" w:eastAsia="zh-CN"/>
              </w:rPr>
              <w:t>燃料为天然气</w:t>
            </w:r>
            <w:r>
              <w:rPr>
                <w:rFonts w:hint="default" w:ascii="Times New Roman" w:hAnsi="Times New Roman" w:eastAsia="宋体" w:cs="Times New Roman"/>
                <w:color w:val="auto"/>
                <w:kern w:val="0"/>
                <w:sz w:val="24"/>
                <w:highlight w:val="none"/>
                <w:lang w:eastAsia="zh-CN"/>
              </w:rPr>
              <w:t>）：</w:t>
            </w:r>
          </w:p>
          <w:p>
            <w:pPr>
              <w:pStyle w:val="28"/>
              <w:keepNext w:val="0"/>
              <w:keepLines w:val="0"/>
              <w:pageBreakBefore w:val="0"/>
              <w:widowControl w:val="0"/>
              <w:tabs>
                <w:tab w:val="left" w:pos="0"/>
              </w:tabs>
              <w:kinsoku/>
              <w:wordWrap/>
              <w:overflowPunct/>
              <w:topLinePunct w:val="0"/>
              <w:autoSpaceDE/>
              <w:autoSpaceDN/>
              <w:bidi w:val="0"/>
              <w:adjustRightInd/>
              <w:snapToGrid/>
              <w:spacing w:after="0" w:afterLines="0" w:line="360" w:lineRule="auto"/>
              <w:ind w:left="0" w:leftChars="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eastAsia="zh-CN"/>
              </w:rPr>
              <w:t>二氧化硫</w:t>
            </w:r>
            <w:r>
              <w:rPr>
                <w:rFonts w:hint="default" w:ascii="Times New Roman" w:hAnsi="Times New Roman" w:eastAsia="宋体" w:cs="Times New Roman"/>
                <w:color w:val="auto"/>
                <w:kern w:val="0"/>
                <w:sz w:val="24"/>
                <w:szCs w:val="24"/>
                <w:highlight w:val="none"/>
              </w:rPr>
              <w:t>产污系数按</w:t>
            </w:r>
            <w:r>
              <w:rPr>
                <w:rFonts w:hint="default" w:ascii="Times New Roman" w:hAnsi="Times New Roman" w:eastAsia="宋体" w:cs="Times New Roman"/>
                <w:color w:val="auto"/>
                <w:kern w:val="0"/>
                <w:sz w:val="24"/>
                <w:szCs w:val="24"/>
                <w:highlight w:val="none"/>
                <w:lang w:val="en-US" w:eastAsia="zh-CN"/>
              </w:rPr>
              <w:t>0.02S千克</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b w:val="0"/>
                <w:bCs w:val="0"/>
                <w:color w:val="auto"/>
                <w:kern w:val="0"/>
                <w:sz w:val="24"/>
                <w:szCs w:val="24"/>
                <w:highlight w:val="none"/>
                <w:lang w:val="en-US" w:eastAsia="zh-CN"/>
              </w:rPr>
              <w:t>万m</w:t>
            </w:r>
            <w:r>
              <w:rPr>
                <w:rFonts w:hint="default" w:ascii="Times New Roman" w:hAnsi="Times New Roman" w:eastAsia="宋体" w:cs="Times New Roman"/>
                <w:b w:val="0"/>
                <w:bCs w:val="0"/>
                <w:color w:val="auto"/>
                <w:kern w:val="0"/>
                <w:sz w:val="24"/>
                <w:szCs w:val="24"/>
                <w:highlight w:val="none"/>
                <w:vertAlign w:val="superscript"/>
                <w:lang w:val="en-US" w:eastAsia="zh-CN"/>
              </w:rPr>
              <w:t>3</w:t>
            </w:r>
            <w:r>
              <w:rPr>
                <w:rFonts w:hint="default" w:ascii="Times New Roman" w:hAnsi="Times New Roman" w:eastAsia="宋体" w:cs="Times New Roman"/>
                <w:b w:val="0"/>
                <w:bCs w:val="0"/>
                <w:color w:val="auto"/>
                <w:kern w:val="0"/>
                <w:sz w:val="24"/>
                <w:szCs w:val="24"/>
                <w:highlight w:val="none"/>
                <w:lang w:val="en-US" w:eastAsia="zh-CN"/>
              </w:rPr>
              <w:t>-原料，</w:t>
            </w:r>
            <w:r>
              <w:rPr>
                <w:rFonts w:hint="default" w:ascii="Times New Roman" w:hAnsi="Times New Roman" w:eastAsia="宋体" w:cs="Times New Roman"/>
                <w:color w:val="auto"/>
                <w:kern w:val="0"/>
                <w:sz w:val="24"/>
                <w:szCs w:val="24"/>
                <w:highlight w:val="none"/>
              </w:rPr>
              <w:t>本项目</w:t>
            </w:r>
            <w:r>
              <w:rPr>
                <w:rFonts w:hint="default" w:ascii="Times New Roman" w:hAnsi="Times New Roman" w:eastAsia="宋体" w:cs="Times New Roman"/>
                <w:color w:val="auto"/>
                <w:sz w:val="24"/>
                <w:szCs w:val="24"/>
                <w:highlight w:val="none"/>
                <w:shd w:val="clear" w:color="auto" w:fill="auto"/>
                <w:lang w:val="en-US" w:eastAsia="zh-CN"/>
              </w:rPr>
              <w:t>天然气</w:t>
            </w:r>
            <w:r>
              <w:rPr>
                <w:rFonts w:hint="default" w:ascii="Times New Roman" w:hAnsi="Times New Roman" w:eastAsia="宋体" w:cs="Times New Roman"/>
                <w:color w:val="auto"/>
                <w:sz w:val="24"/>
                <w:szCs w:val="24"/>
                <w:highlight w:val="none"/>
                <w:shd w:val="clear" w:color="auto" w:fill="auto"/>
              </w:rPr>
              <w:t>消耗量为97.08</w:t>
            </w:r>
            <w:r>
              <w:rPr>
                <w:rFonts w:hint="default" w:ascii="Times New Roman" w:hAnsi="Times New Roman" w:eastAsia="宋体" w:cs="Times New Roman"/>
                <w:color w:val="auto"/>
                <w:sz w:val="24"/>
                <w:szCs w:val="24"/>
                <w:highlight w:val="none"/>
                <w:shd w:val="clear" w:color="auto" w:fill="auto"/>
                <w:lang w:val="en-US" w:eastAsia="zh-CN"/>
              </w:rPr>
              <w:t>×10</w:t>
            </w:r>
            <w:r>
              <w:rPr>
                <w:rFonts w:hint="default" w:ascii="Times New Roman" w:hAnsi="Times New Roman" w:eastAsia="宋体" w:cs="Times New Roman"/>
                <w:color w:val="auto"/>
                <w:sz w:val="24"/>
                <w:szCs w:val="24"/>
                <w:highlight w:val="none"/>
                <w:shd w:val="clear" w:color="auto" w:fill="auto"/>
                <w:vertAlign w:val="superscript"/>
                <w:lang w:val="en-US" w:eastAsia="zh-CN"/>
              </w:rPr>
              <w:t>4</w:t>
            </w:r>
            <w:r>
              <w:rPr>
                <w:rFonts w:hint="default" w:ascii="Times New Roman" w:hAnsi="Times New Roman" w:eastAsia="宋体" w:cs="Times New Roman"/>
                <w:color w:val="auto"/>
                <w:sz w:val="24"/>
                <w:szCs w:val="24"/>
                <w:highlight w:val="none"/>
                <w:shd w:val="clear" w:color="auto" w:fill="auto"/>
                <w:lang w:val="en-US" w:eastAsia="zh-CN"/>
              </w:rPr>
              <w:t>m</w:t>
            </w:r>
            <w:r>
              <w:rPr>
                <w:rFonts w:hint="default" w:ascii="Times New Roman" w:hAnsi="Times New Roman" w:eastAsia="宋体" w:cs="Times New Roman"/>
                <w:color w:val="auto"/>
                <w:sz w:val="24"/>
                <w:szCs w:val="24"/>
                <w:highlight w:val="none"/>
                <w:shd w:val="clear" w:color="auto" w:fill="auto"/>
                <w:vertAlign w:val="superscript"/>
                <w:lang w:val="en-US" w:eastAsia="zh-CN"/>
              </w:rPr>
              <w:t>3</w:t>
            </w:r>
            <w:r>
              <w:rPr>
                <w:rFonts w:hint="default" w:ascii="Times New Roman" w:hAnsi="Times New Roman" w:eastAsia="宋体" w:cs="Times New Roman"/>
                <w:color w:val="auto"/>
                <w:sz w:val="24"/>
                <w:szCs w:val="24"/>
                <w:highlight w:val="none"/>
                <w:shd w:val="clear" w:color="auto" w:fill="auto"/>
              </w:rPr>
              <w:t>/a</w:t>
            </w:r>
            <w:r>
              <w:rPr>
                <w:rFonts w:hint="default" w:ascii="Times New Roman" w:hAnsi="Times New Roman" w:eastAsia="宋体" w:cs="Times New Roman"/>
                <w:color w:val="auto"/>
                <w:sz w:val="24"/>
                <w:szCs w:val="24"/>
                <w:highlight w:val="none"/>
                <w:shd w:val="clear" w:color="auto" w:fill="auto"/>
                <w:lang w:eastAsia="zh-CN"/>
              </w:rPr>
              <w:t>，根据《天然气》（GB17820-2018）天然气质量要求，本次评价总S含量按照</w:t>
            </w:r>
            <w:r>
              <w:rPr>
                <w:rFonts w:hint="default" w:ascii="Times New Roman" w:hAnsi="Times New Roman" w:eastAsia="宋体" w:cs="Times New Roman"/>
                <w:color w:val="auto"/>
                <w:sz w:val="24"/>
                <w:szCs w:val="24"/>
                <w:highlight w:val="none"/>
                <w:shd w:val="clear" w:color="auto" w:fill="auto"/>
                <w:lang w:val="en-US" w:eastAsia="zh-CN"/>
              </w:rPr>
              <w:t>2</w:t>
            </w:r>
            <w:r>
              <w:rPr>
                <w:rFonts w:hint="default" w:ascii="Times New Roman" w:hAnsi="Times New Roman" w:eastAsia="宋体" w:cs="Times New Roman"/>
                <w:color w:val="auto"/>
                <w:sz w:val="24"/>
                <w:szCs w:val="24"/>
                <w:highlight w:val="none"/>
                <w:shd w:val="clear" w:color="auto" w:fill="auto"/>
                <w:lang w:eastAsia="zh-CN"/>
              </w:rPr>
              <w:t>00mg/m</w:t>
            </w:r>
            <w:r>
              <w:rPr>
                <w:rFonts w:hint="default" w:ascii="Times New Roman" w:hAnsi="Times New Roman" w:eastAsia="宋体" w:cs="Times New Roman"/>
                <w:color w:val="auto"/>
                <w:sz w:val="24"/>
                <w:szCs w:val="24"/>
                <w:highlight w:val="none"/>
                <w:shd w:val="clear" w:color="auto" w:fill="auto"/>
                <w:vertAlign w:val="superscript"/>
                <w:lang w:eastAsia="zh-CN"/>
              </w:rPr>
              <w:t>3</w:t>
            </w:r>
            <w:r>
              <w:rPr>
                <w:rFonts w:hint="default" w:ascii="Times New Roman" w:hAnsi="Times New Roman" w:eastAsia="宋体" w:cs="Times New Roman"/>
                <w:color w:val="auto"/>
                <w:sz w:val="24"/>
                <w:szCs w:val="24"/>
                <w:highlight w:val="none"/>
                <w:shd w:val="clear" w:color="auto" w:fill="auto"/>
                <w:lang w:eastAsia="zh-CN"/>
              </w:rPr>
              <w:t>计。</w:t>
            </w:r>
            <w:r>
              <w:rPr>
                <w:rFonts w:hint="default" w:ascii="Times New Roman" w:hAnsi="Times New Roman" w:eastAsia="宋体" w:cs="Times New Roman"/>
                <w:color w:val="auto"/>
                <w:sz w:val="24"/>
                <w:szCs w:val="24"/>
                <w:highlight w:val="none"/>
              </w:rPr>
              <w:t>则</w:t>
            </w:r>
            <w:r>
              <w:rPr>
                <w:rFonts w:hint="default" w:ascii="Times New Roman" w:hAnsi="Times New Roman" w:eastAsia="宋体" w:cs="Times New Roman"/>
                <w:color w:val="auto"/>
                <w:kern w:val="0"/>
                <w:sz w:val="24"/>
                <w:szCs w:val="24"/>
                <w:highlight w:val="none"/>
                <w:lang w:eastAsia="zh-CN"/>
              </w:rPr>
              <w:t>二氧化硫产生量为0.388</w:t>
            </w:r>
            <w:r>
              <w:rPr>
                <w:rFonts w:hint="default" w:ascii="Times New Roman" w:hAnsi="Times New Roman" w:eastAsia="宋体" w:cs="Times New Roman"/>
                <w:color w:val="auto"/>
                <w:kern w:val="0"/>
                <w:sz w:val="24"/>
                <w:szCs w:val="24"/>
                <w:highlight w:val="none"/>
                <w:lang w:val="en-US" w:eastAsia="zh-CN"/>
              </w:rPr>
              <w:t>t/a</w:t>
            </w:r>
            <w:r>
              <w:rPr>
                <w:rFonts w:hint="default" w:ascii="Times New Roman" w:hAnsi="Times New Roman" w:eastAsia="宋体" w:cs="Times New Roman"/>
                <w:color w:val="auto"/>
                <w:sz w:val="24"/>
                <w:szCs w:val="24"/>
                <w:highlight w:val="none"/>
                <w:lang w:eastAsia="zh-CN"/>
              </w:rPr>
              <w:t>。</w:t>
            </w:r>
          </w:p>
          <w:p>
            <w:pPr>
              <w:spacing w:line="360" w:lineRule="auto"/>
              <w:ind w:firstLine="482" w:firstLineChars="200"/>
              <w:rPr>
                <w:rFonts w:hint="default" w:ascii="Times New Roman" w:hAnsi="Times New Roman" w:eastAsia="宋体" w:cs="Times New Roman"/>
                <w:b/>
                <w:bCs/>
                <w:color w:val="auto"/>
                <w:kern w:val="0"/>
                <w:sz w:val="24"/>
                <w:highlight w:val="none"/>
                <w:lang w:eastAsia="zh-CN"/>
              </w:rPr>
            </w:pPr>
            <w:r>
              <w:rPr>
                <w:rFonts w:hint="default" w:ascii="Times New Roman" w:hAnsi="Times New Roman" w:eastAsia="宋体" w:cs="Times New Roman"/>
                <w:b/>
                <w:bCs/>
                <w:color w:val="auto"/>
                <w:kern w:val="0"/>
                <w:sz w:val="24"/>
                <w:highlight w:val="none"/>
                <w:lang w:eastAsia="zh-CN"/>
              </w:rPr>
              <w:t>③氮氧化物</w:t>
            </w:r>
          </w:p>
          <w:p>
            <w:pPr>
              <w:pStyle w:val="28"/>
              <w:tabs>
                <w:tab w:val="left" w:pos="0"/>
              </w:tabs>
              <w:spacing w:after="0" w:line="360" w:lineRule="auto"/>
              <w:ind w:left="0" w:leftChars="0" w:firstLine="482"/>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根据《排放源统计调查产排污核算方法和系数手册》（公告2021年第24号）--4430工业锅炉（热力供应）行业系数手册--</w:t>
            </w:r>
            <w:r>
              <w:rPr>
                <w:rFonts w:hint="default" w:ascii="Times New Roman" w:hAnsi="Times New Roman" w:eastAsia="宋体" w:cs="Times New Roman"/>
                <w:color w:val="auto"/>
                <w:kern w:val="0"/>
                <w:sz w:val="24"/>
                <w:highlight w:val="none"/>
                <w:lang w:eastAsia="zh-CN"/>
              </w:rPr>
              <w:t>燃</w:t>
            </w:r>
            <w:r>
              <w:rPr>
                <w:rFonts w:hint="default" w:ascii="Times New Roman" w:hAnsi="Times New Roman" w:eastAsia="宋体" w:cs="Times New Roman"/>
                <w:color w:val="auto"/>
                <w:kern w:val="0"/>
                <w:sz w:val="24"/>
                <w:highlight w:val="none"/>
                <w:lang w:val="en-US" w:eastAsia="zh-CN"/>
              </w:rPr>
              <w:t>气</w:t>
            </w:r>
            <w:r>
              <w:rPr>
                <w:rFonts w:hint="default" w:ascii="Times New Roman" w:hAnsi="Times New Roman" w:eastAsia="宋体" w:cs="Times New Roman"/>
                <w:color w:val="auto"/>
                <w:kern w:val="0"/>
                <w:sz w:val="24"/>
                <w:highlight w:val="none"/>
                <w:lang w:eastAsia="zh-CN"/>
              </w:rPr>
              <w:t>工业锅炉（</w:t>
            </w:r>
            <w:r>
              <w:rPr>
                <w:rFonts w:hint="default" w:ascii="Times New Roman" w:hAnsi="Times New Roman" w:eastAsia="宋体" w:cs="Times New Roman"/>
                <w:color w:val="auto"/>
                <w:kern w:val="0"/>
                <w:sz w:val="24"/>
                <w:highlight w:val="none"/>
                <w:lang w:val="en-US" w:eastAsia="zh-CN"/>
              </w:rPr>
              <w:t>燃料为天然气</w:t>
            </w:r>
            <w:r>
              <w:rPr>
                <w:rFonts w:hint="default" w:ascii="Times New Roman" w:hAnsi="Times New Roman" w:eastAsia="宋体" w:cs="Times New Roman"/>
                <w:color w:val="auto"/>
                <w:kern w:val="0"/>
                <w:sz w:val="24"/>
                <w:highlight w:val="none"/>
                <w:lang w:eastAsia="zh-CN"/>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highlight w:val="none"/>
              </w:rPr>
              <w:t>氮氧化物产污系数按</w:t>
            </w:r>
            <w:r>
              <w:rPr>
                <w:rFonts w:hint="default" w:ascii="Times New Roman" w:hAnsi="Times New Roman" w:eastAsia="宋体" w:cs="Times New Roman"/>
                <w:color w:val="auto"/>
                <w:kern w:val="0"/>
                <w:sz w:val="24"/>
                <w:highlight w:val="none"/>
                <w:lang w:val="en-US" w:eastAsia="zh-CN"/>
              </w:rPr>
              <w:t>15.87</w:t>
            </w:r>
            <w:r>
              <w:rPr>
                <w:rFonts w:hint="default" w:ascii="Times New Roman" w:hAnsi="Times New Roman" w:eastAsia="宋体" w:cs="Times New Roman"/>
                <w:color w:val="auto"/>
                <w:kern w:val="0"/>
                <w:sz w:val="24"/>
                <w:highlight w:val="none"/>
              </w:rPr>
              <w:t>千克/万立方米--原料</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本项</w:t>
            </w:r>
            <w:r>
              <w:rPr>
                <w:rFonts w:hint="default" w:ascii="Times New Roman" w:hAnsi="Times New Roman" w:eastAsia="宋体" w:cs="Times New Roman"/>
                <w:color w:val="auto"/>
                <w:kern w:val="0"/>
                <w:sz w:val="24"/>
                <w:szCs w:val="24"/>
                <w:highlight w:val="none"/>
              </w:rPr>
              <w:t>目</w:t>
            </w:r>
            <w:r>
              <w:rPr>
                <w:rFonts w:hint="default" w:ascii="Times New Roman" w:hAnsi="Times New Roman" w:eastAsia="宋体" w:cs="Times New Roman"/>
                <w:color w:val="auto"/>
                <w:sz w:val="24"/>
                <w:szCs w:val="24"/>
                <w:highlight w:val="none"/>
                <w:shd w:val="clear" w:color="auto" w:fill="auto"/>
                <w:lang w:val="en-US" w:eastAsia="zh-CN"/>
              </w:rPr>
              <w:t>天然气</w:t>
            </w:r>
            <w:r>
              <w:rPr>
                <w:rFonts w:hint="default" w:ascii="Times New Roman" w:hAnsi="Times New Roman" w:eastAsia="宋体" w:cs="Times New Roman"/>
                <w:color w:val="auto"/>
                <w:sz w:val="24"/>
                <w:szCs w:val="24"/>
                <w:highlight w:val="none"/>
                <w:shd w:val="clear" w:color="auto" w:fill="auto"/>
              </w:rPr>
              <w:t>消耗量为97.08</w:t>
            </w:r>
            <w:r>
              <w:rPr>
                <w:rFonts w:hint="default" w:ascii="Times New Roman" w:hAnsi="Times New Roman" w:eastAsia="宋体" w:cs="Times New Roman"/>
                <w:color w:val="auto"/>
                <w:sz w:val="24"/>
                <w:szCs w:val="24"/>
                <w:highlight w:val="none"/>
                <w:shd w:val="clear" w:color="auto" w:fill="auto"/>
                <w:lang w:val="en-US" w:eastAsia="zh-CN"/>
              </w:rPr>
              <w:t>×10</w:t>
            </w:r>
            <w:r>
              <w:rPr>
                <w:rFonts w:hint="default" w:ascii="Times New Roman" w:hAnsi="Times New Roman" w:eastAsia="宋体" w:cs="Times New Roman"/>
                <w:color w:val="auto"/>
                <w:sz w:val="24"/>
                <w:szCs w:val="24"/>
                <w:highlight w:val="none"/>
                <w:shd w:val="clear" w:color="auto" w:fill="auto"/>
                <w:vertAlign w:val="superscript"/>
                <w:lang w:val="en-US" w:eastAsia="zh-CN"/>
              </w:rPr>
              <w:t>4</w:t>
            </w:r>
            <w:r>
              <w:rPr>
                <w:rFonts w:hint="default" w:ascii="Times New Roman" w:hAnsi="Times New Roman" w:eastAsia="宋体" w:cs="Times New Roman"/>
                <w:color w:val="auto"/>
                <w:sz w:val="24"/>
                <w:szCs w:val="24"/>
                <w:highlight w:val="none"/>
                <w:shd w:val="clear" w:color="auto" w:fill="auto"/>
                <w:lang w:val="en-US" w:eastAsia="zh-CN"/>
              </w:rPr>
              <w:t>m</w:t>
            </w:r>
            <w:r>
              <w:rPr>
                <w:rFonts w:hint="default" w:ascii="Times New Roman" w:hAnsi="Times New Roman" w:eastAsia="宋体" w:cs="Times New Roman"/>
                <w:color w:val="auto"/>
                <w:sz w:val="24"/>
                <w:szCs w:val="24"/>
                <w:highlight w:val="none"/>
                <w:shd w:val="clear" w:color="auto" w:fill="auto"/>
                <w:vertAlign w:val="superscript"/>
                <w:lang w:val="en-US" w:eastAsia="zh-CN"/>
              </w:rPr>
              <w:t>3</w:t>
            </w:r>
            <w:r>
              <w:rPr>
                <w:rFonts w:hint="default" w:ascii="Times New Roman" w:hAnsi="Times New Roman" w:eastAsia="宋体" w:cs="Times New Roman"/>
                <w:color w:val="auto"/>
                <w:sz w:val="24"/>
                <w:szCs w:val="24"/>
                <w:highlight w:val="none"/>
                <w:shd w:val="clear" w:color="auto" w:fill="auto"/>
              </w:rPr>
              <w:t>/a</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highlight w:val="none"/>
              </w:rPr>
              <w:t>则</w:t>
            </w:r>
            <w:r>
              <w:rPr>
                <w:rFonts w:hint="default" w:ascii="Times New Roman" w:hAnsi="Times New Roman" w:eastAsia="宋体" w:cs="Times New Roman"/>
                <w:color w:val="auto"/>
                <w:kern w:val="0"/>
                <w:sz w:val="24"/>
                <w:highlight w:val="none"/>
              </w:rPr>
              <w:t>氮氧化物</w:t>
            </w:r>
            <w:r>
              <w:rPr>
                <w:rFonts w:hint="default" w:ascii="Times New Roman" w:hAnsi="Times New Roman" w:eastAsia="宋体" w:cs="Times New Roman"/>
                <w:color w:val="auto"/>
                <w:kern w:val="0"/>
                <w:sz w:val="24"/>
                <w:highlight w:val="none"/>
                <w:lang w:eastAsia="zh-CN"/>
              </w:rPr>
              <w:t>产生量为</w:t>
            </w:r>
            <w:r>
              <w:rPr>
                <w:rFonts w:hint="default" w:ascii="Times New Roman" w:hAnsi="Times New Roman" w:eastAsia="宋体" w:cs="Times New Roman"/>
                <w:color w:val="auto"/>
                <w:kern w:val="0"/>
                <w:sz w:val="24"/>
                <w:highlight w:val="none"/>
                <w:lang w:val="en-US" w:eastAsia="zh-CN"/>
              </w:rPr>
              <w:t>1.541t/a</w:t>
            </w:r>
            <w:r>
              <w:rPr>
                <w:rFonts w:hint="default" w:ascii="Times New Roman" w:hAnsi="Times New Roman" w:eastAsia="宋体" w:cs="Times New Roman"/>
                <w:color w:val="auto"/>
                <w:sz w:val="24"/>
                <w:highlight w:val="none"/>
                <w:lang w:eastAsia="zh-CN"/>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天然气燃烧器</w:t>
            </w:r>
            <w:r>
              <w:rPr>
                <w:rFonts w:hint="default" w:ascii="Times New Roman" w:hAnsi="Times New Roman" w:eastAsia="宋体" w:cs="Times New Roman"/>
                <w:color w:val="auto"/>
                <w:highlight w:val="none"/>
                <w:lang w:val="en-US" w:eastAsia="zh-CN"/>
              </w:rPr>
              <w:t>位于滚筒烘干机下部，设置由密闭外罩，通过密闭吸风管道进入水膜除尘器（除尘效率75%），集气效率为100%，处理后由1根15m排气筒（DA001）排放</w:t>
            </w:r>
            <w:r>
              <w:rPr>
                <w:rFonts w:hint="default" w:ascii="Times New Roman" w:hAnsi="Times New Roman" w:eastAsia="宋体" w:cs="Times New Roman"/>
                <w:color w:val="auto"/>
                <w:highlight w:val="none"/>
                <w:lang w:eastAsia="zh-CN"/>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烘干废气</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本项目烘干出料过程中会产生粉尘。参考《逸散性工业粉尘控制技术》，烘干机出料的逸散尘排放因子为0.2kg/t-原料，本项目废硅物料含水率按55%计</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原料固体物料含量为</w:t>
            </w:r>
            <w:r>
              <w:rPr>
                <w:rFonts w:hint="default" w:ascii="Times New Roman" w:hAnsi="Times New Roman" w:eastAsia="宋体" w:cs="Times New Roman"/>
                <w:color w:val="auto"/>
                <w:highlight w:val="none"/>
              </w:rPr>
              <w:t>9000t/a，则烘干过程的</w:t>
            </w:r>
            <w:r>
              <w:rPr>
                <w:rFonts w:hint="default" w:ascii="Times New Roman" w:hAnsi="Times New Roman" w:eastAsia="宋体" w:cs="Times New Roman"/>
                <w:color w:val="auto"/>
                <w:highlight w:val="none"/>
                <w:lang w:val="en-US" w:eastAsia="zh-CN"/>
              </w:rPr>
              <w:t>颗粒物</w:t>
            </w:r>
            <w:r>
              <w:rPr>
                <w:rFonts w:hint="default" w:ascii="Times New Roman" w:hAnsi="Times New Roman" w:eastAsia="宋体" w:cs="Times New Roman"/>
                <w:color w:val="auto"/>
                <w:highlight w:val="none"/>
              </w:rPr>
              <w:t>产生量为1.8t/a。</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滚筒烘干机上方设置</w:t>
            </w:r>
            <w:r>
              <w:rPr>
                <w:rFonts w:hint="default" w:ascii="Times New Roman" w:hAnsi="Times New Roman" w:eastAsia="宋体" w:cs="Times New Roman"/>
                <w:color w:val="auto"/>
                <w:sz w:val="24"/>
                <w:szCs w:val="24"/>
                <w:highlight w:val="none"/>
                <w:lang w:val="en-US" w:eastAsia="zh-CN"/>
              </w:rPr>
              <w:t>有集气罩，</w:t>
            </w:r>
            <w:r>
              <w:rPr>
                <w:rFonts w:hint="default" w:ascii="Times New Roman" w:hAnsi="Times New Roman" w:eastAsia="宋体" w:cs="Times New Roman"/>
                <w:color w:val="auto"/>
                <w:sz w:val="24"/>
                <w:szCs w:val="24"/>
                <w:highlight w:val="none"/>
                <w:lang w:eastAsia="zh-CN"/>
              </w:rPr>
              <w:t>本次</w:t>
            </w:r>
            <w:r>
              <w:rPr>
                <w:rFonts w:hint="default" w:ascii="Times New Roman" w:hAnsi="Times New Roman" w:eastAsia="宋体" w:cs="Times New Roman"/>
                <w:color w:val="auto"/>
                <w:sz w:val="24"/>
                <w:szCs w:val="24"/>
                <w:highlight w:val="none"/>
                <w:lang w:val="en-US" w:eastAsia="zh-CN"/>
              </w:rPr>
              <w:t>环评</w:t>
            </w:r>
            <w:r>
              <w:rPr>
                <w:rFonts w:hint="default" w:ascii="Times New Roman" w:hAnsi="Times New Roman" w:eastAsia="宋体" w:cs="Times New Roman"/>
                <w:color w:val="auto"/>
                <w:sz w:val="24"/>
                <w:szCs w:val="24"/>
                <w:highlight w:val="none"/>
                <w:lang w:eastAsia="zh-CN"/>
              </w:rPr>
              <w:t>要求</w:t>
            </w:r>
            <w:r>
              <w:rPr>
                <w:rFonts w:hint="default" w:ascii="Times New Roman" w:hAnsi="Times New Roman" w:eastAsia="宋体" w:cs="Times New Roman"/>
                <w:color w:val="auto"/>
                <w:sz w:val="24"/>
                <w:highlight w:val="none"/>
                <w:lang w:val="en-US" w:eastAsia="zh-CN"/>
              </w:rPr>
              <w:t>感应炉</w:t>
            </w:r>
            <w:r>
              <w:rPr>
                <w:rFonts w:hint="default" w:ascii="Times New Roman" w:hAnsi="Times New Roman" w:eastAsia="宋体" w:cs="Times New Roman"/>
                <w:color w:val="auto"/>
                <w:sz w:val="24"/>
                <w:highlight w:val="none"/>
              </w:rPr>
              <w:t>熔</w:t>
            </w:r>
            <w:r>
              <w:rPr>
                <w:rFonts w:hint="default" w:ascii="Times New Roman" w:hAnsi="Times New Roman" w:eastAsia="宋体" w:cs="Times New Roman"/>
                <w:color w:val="auto"/>
                <w:sz w:val="24"/>
                <w:highlight w:val="none"/>
                <w:lang w:val="en-US" w:eastAsia="zh-CN"/>
              </w:rPr>
              <w:t>化</w:t>
            </w:r>
            <w:r>
              <w:rPr>
                <w:rFonts w:hint="default" w:ascii="Times New Roman" w:hAnsi="Times New Roman" w:eastAsia="宋体" w:cs="Times New Roman"/>
                <w:color w:val="auto"/>
                <w:sz w:val="24"/>
                <w:szCs w:val="24"/>
                <w:highlight w:val="none"/>
                <w:lang w:eastAsia="zh-CN"/>
              </w:rPr>
              <w:t>废气在其产生部位上方设集气罩收集，集气罩罩口尺寸应不小于集气罩所在位置的污染物扩散的断面面积，并采用低悬罩，以保证集气罩收集效率。集气效率按</w:t>
            </w:r>
            <w:r>
              <w:rPr>
                <w:rFonts w:hint="default" w:ascii="Times New Roman" w:hAnsi="Times New Roman" w:eastAsia="宋体" w:cs="Times New Roman"/>
                <w:color w:val="auto"/>
                <w:sz w:val="24"/>
                <w:szCs w:val="24"/>
                <w:highlight w:val="none"/>
                <w:lang w:val="en-US" w:eastAsia="zh-CN"/>
              </w:rPr>
              <w:t>90%计，则收集到的颗粒物量为1.62t/a，</w:t>
            </w:r>
            <w:r>
              <w:rPr>
                <w:rFonts w:hint="default" w:ascii="Times New Roman" w:hAnsi="Times New Roman" w:eastAsia="宋体" w:cs="Times New Roman"/>
                <w:color w:val="auto"/>
                <w:highlight w:val="none"/>
                <w:lang w:val="en-US" w:eastAsia="zh-CN"/>
              </w:rPr>
              <w:t>通过密闭吸风管道进入水膜除尘器（除尘效率75%），风机风量为1000m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/h，处理后由1根15m排气筒（DA001）排放。</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lang w:val="en-US" w:eastAsia="zh-CN"/>
              </w:rPr>
              <w:t>未收集的颗粒物量为0.18t/a，以无组织形式排放。</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表4-1天然气燃烧废气和烘干废气产生及排放情况</w:t>
            </w:r>
          </w:p>
          <w:tbl>
            <w:tblPr>
              <w:tblStyle w:val="29"/>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81"/>
              <w:gridCol w:w="681"/>
              <w:gridCol w:w="681"/>
              <w:gridCol w:w="682"/>
              <w:gridCol w:w="682"/>
              <w:gridCol w:w="682"/>
              <w:gridCol w:w="682"/>
              <w:gridCol w:w="682"/>
              <w:gridCol w:w="683"/>
              <w:gridCol w:w="683"/>
              <w:gridCol w:w="11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1" w:type="dxa"/>
                  <w:vMerge w:val="restart"/>
                  <w:tcBorders>
                    <w:top w:val="single" w:color="auto" w:sz="4" w:space="0"/>
                    <w:left w:val="single" w:color="auto" w:sz="0"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w:t>
                  </w:r>
                </w:p>
              </w:tc>
              <w:tc>
                <w:tcPr>
                  <w:tcW w:w="681" w:type="dxa"/>
                  <w:vMerge w:val="restart"/>
                  <w:tcBorders>
                    <w:top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排放方式</w:t>
                  </w:r>
                </w:p>
              </w:tc>
              <w:tc>
                <w:tcPr>
                  <w:tcW w:w="681" w:type="dxa"/>
                  <w:vMerge w:val="restart"/>
                  <w:tcBorders>
                    <w:top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污染因子</w:t>
                  </w:r>
                </w:p>
              </w:tc>
              <w:tc>
                <w:tcPr>
                  <w:tcW w:w="2046" w:type="dxa"/>
                  <w:gridSpan w:val="3"/>
                  <w:tcBorders>
                    <w:top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污染物产生情况</w:t>
                  </w:r>
                </w:p>
              </w:tc>
              <w:tc>
                <w:tcPr>
                  <w:tcW w:w="682" w:type="dxa"/>
                  <w:vMerge w:val="restart"/>
                  <w:tcBorders>
                    <w:top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治理措施</w:t>
                  </w:r>
                </w:p>
              </w:tc>
              <w:tc>
                <w:tcPr>
                  <w:tcW w:w="2048" w:type="dxa"/>
                  <w:gridSpan w:val="3"/>
                  <w:tcBorders>
                    <w:top w:val="single" w:color="auto" w:sz="4" w:space="0"/>
                    <w:righ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污染物排放情况</w:t>
                  </w:r>
                </w:p>
              </w:tc>
              <w:tc>
                <w:tcPr>
                  <w:tcW w:w="1118" w:type="dxa"/>
                  <w:vMerge w:val="restart"/>
                  <w:tcBorders>
                    <w:top w:val="single" w:color="auto" w:sz="4" w:space="0"/>
                    <w:righ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1" w:type="dxa"/>
                  <w:vMerge w:val="continue"/>
                  <w:tcBorders>
                    <w:lef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p>
              </w:tc>
              <w:tc>
                <w:tcPr>
                  <w:tcW w:w="681" w:type="dxa"/>
                  <w:vMerge w:val="continue"/>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p>
              </w:tc>
              <w:tc>
                <w:tcPr>
                  <w:tcW w:w="681" w:type="dxa"/>
                  <w:vMerge w:val="continue"/>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kg/h</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rPr>
                    <w:t>t/a</w:t>
                  </w:r>
                </w:p>
              </w:tc>
              <w:tc>
                <w:tcPr>
                  <w:tcW w:w="682" w:type="dxa"/>
                  <w:vMerge w:val="continue"/>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p>
              </w:tc>
              <w:tc>
                <w:tcPr>
                  <w:tcW w:w="683"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kg/h</w:t>
                  </w:r>
                </w:p>
              </w:tc>
              <w:tc>
                <w:tcPr>
                  <w:tcW w:w="683"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t/a</w:t>
                  </w:r>
                </w:p>
              </w:tc>
              <w:tc>
                <w:tcPr>
                  <w:tcW w:w="1118" w:type="dxa"/>
                  <w:vMerge w:val="continue"/>
                  <w:tcBorders>
                    <w:righ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1" w:type="dxa"/>
                  <w:vMerge w:val="restart"/>
                  <w:tcBorders>
                    <w:lef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天然气燃烧废气</w:t>
                  </w:r>
                </w:p>
              </w:tc>
              <w:tc>
                <w:tcPr>
                  <w:tcW w:w="681" w:type="dxa"/>
                  <w:vMerge w:val="restart"/>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有组织</w:t>
                  </w:r>
                </w:p>
              </w:tc>
              <w:tc>
                <w:tcPr>
                  <w:tcW w:w="681"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eastAsia="zh-CN"/>
                    </w:rPr>
                    <w:t>二氧化硫</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54</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0.054</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0.388</w:t>
                  </w:r>
                </w:p>
              </w:tc>
              <w:tc>
                <w:tcPr>
                  <w:tcW w:w="682" w:type="dxa"/>
                  <w:vMerge w:val="restart"/>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水膜除尘器+15m排气筒（DA001）</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54</w:t>
                  </w:r>
                </w:p>
              </w:tc>
              <w:tc>
                <w:tcPr>
                  <w:tcW w:w="683"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0.054</w:t>
                  </w:r>
                </w:p>
              </w:tc>
              <w:tc>
                <w:tcPr>
                  <w:tcW w:w="683"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0.388</w:t>
                  </w:r>
                </w:p>
              </w:tc>
              <w:tc>
                <w:tcPr>
                  <w:tcW w:w="1118" w:type="dxa"/>
                  <w:vMerge w:val="restart"/>
                  <w:tcBorders>
                    <w:righ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《大气污染物综合排放标准》（GB16297-1996）</w:t>
                  </w:r>
                  <w:r>
                    <w:rPr>
                      <w:rFonts w:hint="default" w:ascii="Times New Roman" w:hAnsi="Times New Roman" w:eastAsia="宋体" w:cs="Times New Roman"/>
                      <w:b w:val="0"/>
                      <w:bCs w:val="0"/>
                      <w:color w:val="auto"/>
                      <w:sz w:val="21"/>
                      <w:szCs w:val="21"/>
                      <w:highlight w:val="none"/>
                      <w:lang w:eastAsia="zh-CN"/>
                    </w:rPr>
                    <w:t>表</w:t>
                  </w:r>
                  <w:r>
                    <w:rPr>
                      <w:rFonts w:hint="default" w:ascii="Times New Roman" w:hAnsi="Times New Roman" w:eastAsia="宋体"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rPr>
                    <w:t>新污染源大气污染物排放限值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1" w:type="dxa"/>
                  <w:vMerge w:val="continue"/>
                  <w:tcBorders>
                    <w:lef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81" w:type="dxa"/>
                  <w:vMerge w:val="continue"/>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81"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eastAsia="zh-CN"/>
                    </w:rPr>
                    <w:t>氮氧化物</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214</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0.214</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1.541</w:t>
                  </w:r>
                </w:p>
              </w:tc>
              <w:tc>
                <w:tcPr>
                  <w:tcW w:w="682" w:type="dxa"/>
                  <w:vMerge w:val="continue"/>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214</w:t>
                  </w:r>
                </w:p>
              </w:tc>
              <w:tc>
                <w:tcPr>
                  <w:tcW w:w="683"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0.214</w:t>
                  </w:r>
                </w:p>
              </w:tc>
              <w:tc>
                <w:tcPr>
                  <w:tcW w:w="683"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1.541</w:t>
                  </w:r>
                </w:p>
              </w:tc>
              <w:tc>
                <w:tcPr>
                  <w:tcW w:w="1118" w:type="dxa"/>
                  <w:vMerge w:val="continue"/>
                  <w:tcBorders>
                    <w:righ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1" w:type="dxa"/>
                  <w:vMerge w:val="continue"/>
                  <w:tcBorders>
                    <w:lef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81" w:type="dxa"/>
                  <w:vMerge w:val="continue"/>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81"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eastAsia="zh-CN"/>
                    </w:rPr>
                  </w:pPr>
                  <w:r>
                    <w:rPr>
                      <w:rFonts w:hint="default" w:ascii="Times New Roman" w:hAnsi="Times New Roman" w:eastAsia="宋体" w:cs="Times New Roman"/>
                      <w:b w:val="0"/>
                      <w:bCs w:val="0"/>
                      <w:color w:val="auto"/>
                      <w:sz w:val="21"/>
                      <w:szCs w:val="21"/>
                      <w:highlight w:val="none"/>
                    </w:rPr>
                    <w:t>颗粒物</w:t>
                  </w:r>
                </w:p>
              </w:tc>
              <w:tc>
                <w:tcPr>
                  <w:tcW w:w="682" w:type="dxa"/>
                  <w:vMerge w:val="restart"/>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240</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0.015</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0.107</w:t>
                  </w:r>
                </w:p>
              </w:tc>
              <w:tc>
                <w:tcPr>
                  <w:tcW w:w="682" w:type="dxa"/>
                  <w:vMerge w:val="continue"/>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82" w:type="dxa"/>
                  <w:vMerge w:val="restart"/>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60</w:t>
                  </w:r>
                </w:p>
              </w:tc>
              <w:tc>
                <w:tcPr>
                  <w:tcW w:w="683" w:type="dxa"/>
                  <w:vMerge w:val="restart"/>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0.06</w:t>
                  </w:r>
                </w:p>
              </w:tc>
              <w:tc>
                <w:tcPr>
                  <w:tcW w:w="683" w:type="dxa"/>
                  <w:vMerge w:val="restart"/>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0.432</w:t>
                  </w:r>
                </w:p>
              </w:tc>
              <w:tc>
                <w:tcPr>
                  <w:tcW w:w="1118" w:type="dxa"/>
                  <w:vMerge w:val="continue"/>
                  <w:tcBorders>
                    <w:righ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1" w:type="dxa"/>
                  <w:vMerge w:val="restart"/>
                  <w:tcBorders>
                    <w:lef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烘干废气</w:t>
                  </w:r>
                </w:p>
              </w:tc>
              <w:tc>
                <w:tcPr>
                  <w:tcW w:w="681"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有组织</w:t>
                  </w:r>
                </w:p>
              </w:tc>
              <w:tc>
                <w:tcPr>
                  <w:tcW w:w="681"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eastAsia="zh-CN"/>
                    </w:rPr>
                  </w:pPr>
                  <w:r>
                    <w:rPr>
                      <w:rFonts w:hint="default" w:ascii="Times New Roman" w:hAnsi="Times New Roman" w:eastAsia="宋体" w:cs="Times New Roman"/>
                      <w:b w:val="0"/>
                      <w:bCs w:val="0"/>
                      <w:color w:val="auto"/>
                      <w:sz w:val="21"/>
                      <w:szCs w:val="21"/>
                      <w:highlight w:val="none"/>
                    </w:rPr>
                    <w:t>颗粒物</w:t>
                  </w:r>
                </w:p>
              </w:tc>
              <w:tc>
                <w:tcPr>
                  <w:tcW w:w="682" w:type="dxa"/>
                  <w:vMerge w:val="continue"/>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0.225</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1.62</w:t>
                  </w:r>
                </w:p>
              </w:tc>
              <w:tc>
                <w:tcPr>
                  <w:tcW w:w="682" w:type="dxa"/>
                  <w:vMerge w:val="continue"/>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82" w:type="dxa"/>
                  <w:vMerge w:val="continue"/>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83" w:type="dxa"/>
                  <w:vMerge w:val="continue"/>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83" w:type="dxa"/>
                  <w:vMerge w:val="continue"/>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118" w:type="dxa"/>
                  <w:vMerge w:val="continue"/>
                  <w:tcBorders>
                    <w:righ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81" w:type="dxa"/>
                  <w:vMerge w:val="continue"/>
                  <w:tcBorders>
                    <w:lef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81" w:type="dxa"/>
                  <w:tcBorders>
                    <w:tl2br w:val="nil"/>
                    <w:tr2bl w:val="nil"/>
                  </w:tcBorders>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无</w:t>
                  </w:r>
                  <w:r>
                    <w:rPr>
                      <w:rFonts w:hint="default" w:ascii="Times New Roman" w:hAnsi="Times New Roman" w:eastAsia="宋体" w:cs="Times New Roman"/>
                      <w:b w:val="0"/>
                      <w:bCs w:val="0"/>
                      <w:color w:val="auto"/>
                      <w:sz w:val="21"/>
                      <w:szCs w:val="21"/>
                      <w:highlight w:val="none"/>
                      <w:lang w:eastAsia="zh-CN"/>
                    </w:rPr>
                    <w:t>组织</w:t>
                  </w:r>
                </w:p>
              </w:tc>
              <w:tc>
                <w:tcPr>
                  <w:tcW w:w="681" w:type="dxa"/>
                  <w:tcBorders>
                    <w:tl2br w:val="nil"/>
                    <w:tr2bl w:val="nil"/>
                  </w:tcBorders>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颗粒物</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0.025</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0.18</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封闭生产车间内沉降后（降尘效率按60%计）</w:t>
                  </w:r>
                </w:p>
              </w:tc>
              <w:tc>
                <w:tcPr>
                  <w:tcW w:w="682"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683"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0.01</w:t>
                  </w:r>
                </w:p>
              </w:tc>
              <w:tc>
                <w:tcPr>
                  <w:tcW w:w="683" w:type="dxa"/>
                  <w:tcBorders>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0.072</w:t>
                  </w:r>
                </w:p>
              </w:tc>
              <w:tc>
                <w:tcPr>
                  <w:tcW w:w="1118" w:type="dxa"/>
                  <w:vMerge w:val="continue"/>
                  <w:tcBorders>
                    <w:right w:val="single" w:color="auto" w:sz="4" w:space="0"/>
                    <w:tl2br w:val="nil"/>
                    <w:tr2bl w:val="nil"/>
                  </w:tcBorders>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r>
          </w:tbl>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1.1.2感应炉废</w:t>
            </w:r>
            <w:r>
              <w:rPr>
                <w:rFonts w:hint="default" w:ascii="Times New Roman" w:hAnsi="Times New Roman" w:eastAsia="宋体" w:cs="Times New Roman"/>
                <w:b/>
                <w:bCs/>
                <w:color w:val="auto"/>
                <w:highlight w:val="none"/>
              </w:rPr>
              <w:t>气</w:t>
            </w:r>
            <w:r>
              <w:rPr>
                <w:rFonts w:hint="default" w:ascii="Times New Roman" w:hAnsi="Times New Roman" w:eastAsia="宋体" w:cs="Times New Roman"/>
                <w:b/>
                <w:bCs/>
                <w:color w:val="auto"/>
                <w:highlight w:val="none"/>
                <w:lang w:val="en-US" w:eastAsia="zh-CN"/>
              </w:rPr>
              <w:t>和浇铸废气</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（1）感应炉废气</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感应炉</w:t>
            </w:r>
            <w:r>
              <w:rPr>
                <w:rFonts w:hint="default" w:ascii="Times New Roman" w:hAnsi="Times New Roman" w:eastAsia="宋体" w:cs="Times New Roman"/>
                <w:color w:val="auto"/>
                <w:sz w:val="24"/>
                <w:highlight w:val="none"/>
              </w:rPr>
              <w:t>熔</w:t>
            </w:r>
            <w:r>
              <w:rPr>
                <w:rFonts w:hint="default" w:ascii="Times New Roman" w:hAnsi="Times New Roman" w:eastAsia="宋体" w:cs="Times New Roman"/>
                <w:color w:val="auto"/>
                <w:sz w:val="24"/>
                <w:highlight w:val="none"/>
                <w:lang w:val="en-US" w:eastAsia="zh-CN"/>
              </w:rPr>
              <w:t>化</w:t>
            </w:r>
            <w:r>
              <w:rPr>
                <w:rFonts w:hint="default" w:ascii="Times New Roman" w:hAnsi="Times New Roman" w:eastAsia="宋体" w:cs="Times New Roman"/>
                <w:color w:val="auto"/>
                <w:sz w:val="24"/>
                <w:highlight w:val="none"/>
              </w:rPr>
              <w:t>过程中会产生一定的熔</w:t>
            </w:r>
            <w:r>
              <w:rPr>
                <w:rFonts w:hint="default" w:ascii="Times New Roman" w:hAnsi="Times New Roman" w:eastAsia="宋体" w:cs="Times New Roman"/>
                <w:color w:val="auto"/>
                <w:sz w:val="24"/>
                <w:highlight w:val="none"/>
                <w:lang w:val="en-US" w:eastAsia="zh-CN"/>
              </w:rPr>
              <w:t>化</w:t>
            </w:r>
            <w:r>
              <w:rPr>
                <w:rFonts w:hint="default" w:ascii="Times New Roman" w:hAnsi="Times New Roman" w:eastAsia="宋体" w:cs="Times New Roman"/>
                <w:color w:val="auto"/>
                <w:sz w:val="24"/>
                <w:highlight w:val="none"/>
              </w:rPr>
              <w:t>废气，污染物为颗粒物</w:t>
            </w:r>
            <w:r>
              <w:rPr>
                <w:rFonts w:hint="default" w:ascii="Times New Roman" w:hAnsi="Times New Roman" w:eastAsia="宋体" w:cs="Times New Roman"/>
                <w:color w:val="auto"/>
                <w:sz w:val="24"/>
                <w:highlight w:val="none"/>
                <w:lang w:eastAsia="zh-CN"/>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参照《排放源统计调查产排污核算方法和系数手册》（公告2021年第24号）-</w:t>
            </w:r>
            <w:r>
              <w:rPr>
                <w:rFonts w:hint="default" w:ascii="Times New Roman" w:hAnsi="Times New Roman" w:eastAsia="宋体" w:cs="Times New Roman"/>
                <w:color w:val="auto"/>
                <w:sz w:val="24"/>
                <w:szCs w:val="24"/>
                <w:highlight w:val="none"/>
                <w:lang w:val="en-US" w:eastAsia="zh-CN"/>
              </w:rPr>
              <w:t>-3099其他非金属矿物制品制造行业，冶炼工序产污系数按13.88kg/t（产品）计，本项目年产7000t工业硅，则感应炉颗粒物产生量为97.16t/a，</w:t>
            </w:r>
            <w:r>
              <w:rPr>
                <w:rFonts w:hint="default" w:ascii="Times New Roman" w:hAnsi="Times New Roman" w:eastAsia="宋体" w:cs="Times New Roman"/>
                <w:color w:val="auto"/>
                <w:sz w:val="24"/>
                <w:highlight w:val="none"/>
                <w:lang w:val="en-US" w:eastAsia="zh-CN"/>
              </w:rPr>
              <w:t>3台3t</w:t>
            </w:r>
            <w:r>
              <w:rPr>
                <w:rFonts w:hint="default" w:ascii="Times New Roman" w:hAnsi="Times New Roman" w:eastAsia="宋体" w:cs="Times New Roman"/>
                <w:color w:val="auto"/>
                <w:sz w:val="24"/>
                <w:szCs w:val="24"/>
                <w:highlight w:val="none"/>
                <w:lang w:val="en-US" w:eastAsia="zh-CN"/>
              </w:rPr>
              <w:t>感应炉顶部各设置有1个集气罩（共3个）</w:t>
            </w:r>
            <w:r>
              <w:rPr>
                <w:rFonts w:hint="default" w:ascii="Times New Roman" w:hAnsi="Times New Roman" w:eastAsia="宋体" w:cs="Times New Roman"/>
                <w:color w:val="auto"/>
                <w:sz w:val="24"/>
                <w:szCs w:val="24"/>
                <w:highlight w:val="none"/>
                <w:lang w:eastAsia="zh-CN"/>
              </w:rPr>
              <w:t>。本次</w:t>
            </w:r>
            <w:r>
              <w:rPr>
                <w:rFonts w:hint="default" w:ascii="Times New Roman" w:hAnsi="Times New Roman" w:eastAsia="宋体" w:cs="Times New Roman"/>
                <w:color w:val="auto"/>
                <w:sz w:val="24"/>
                <w:szCs w:val="24"/>
                <w:highlight w:val="none"/>
                <w:lang w:val="en-US" w:eastAsia="zh-CN"/>
              </w:rPr>
              <w:t>环评</w:t>
            </w:r>
            <w:r>
              <w:rPr>
                <w:rFonts w:hint="default" w:ascii="Times New Roman" w:hAnsi="Times New Roman" w:eastAsia="宋体" w:cs="Times New Roman"/>
                <w:color w:val="auto"/>
                <w:sz w:val="24"/>
                <w:szCs w:val="24"/>
                <w:highlight w:val="none"/>
                <w:lang w:eastAsia="zh-CN"/>
              </w:rPr>
              <w:t>要求</w:t>
            </w:r>
            <w:r>
              <w:rPr>
                <w:rFonts w:hint="default" w:ascii="Times New Roman" w:hAnsi="Times New Roman" w:eastAsia="宋体" w:cs="Times New Roman"/>
                <w:color w:val="auto"/>
                <w:sz w:val="24"/>
                <w:highlight w:val="none"/>
                <w:lang w:val="en-US" w:eastAsia="zh-CN"/>
              </w:rPr>
              <w:t>感应炉</w:t>
            </w:r>
            <w:r>
              <w:rPr>
                <w:rFonts w:hint="default" w:ascii="Times New Roman" w:hAnsi="Times New Roman" w:eastAsia="宋体" w:cs="Times New Roman"/>
                <w:color w:val="auto"/>
                <w:sz w:val="24"/>
                <w:highlight w:val="none"/>
              </w:rPr>
              <w:t>熔</w:t>
            </w:r>
            <w:r>
              <w:rPr>
                <w:rFonts w:hint="default" w:ascii="Times New Roman" w:hAnsi="Times New Roman" w:eastAsia="宋体" w:cs="Times New Roman"/>
                <w:color w:val="auto"/>
                <w:sz w:val="24"/>
                <w:highlight w:val="none"/>
                <w:lang w:val="en-US" w:eastAsia="zh-CN"/>
              </w:rPr>
              <w:t>化</w:t>
            </w:r>
            <w:r>
              <w:rPr>
                <w:rFonts w:hint="default" w:ascii="Times New Roman" w:hAnsi="Times New Roman" w:eastAsia="宋体" w:cs="Times New Roman"/>
                <w:color w:val="auto"/>
                <w:sz w:val="24"/>
                <w:szCs w:val="24"/>
                <w:highlight w:val="none"/>
                <w:lang w:eastAsia="zh-CN"/>
              </w:rPr>
              <w:t>废气在其产生部位上方设集气罩收集，集气罩罩口尺寸应不小于集气罩所在位置的污染物扩散的断面面积，并采用低悬罩，以保证集气罩收集效率。集气效率按</w:t>
            </w:r>
            <w:r>
              <w:rPr>
                <w:rFonts w:hint="default" w:ascii="Times New Roman" w:hAnsi="Times New Roman" w:eastAsia="宋体" w:cs="Times New Roman"/>
                <w:color w:val="auto"/>
                <w:sz w:val="24"/>
                <w:szCs w:val="24"/>
                <w:highlight w:val="none"/>
                <w:lang w:val="en-US" w:eastAsia="zh-CN"/>
              </w:rPr>
              <w:t>90%计，则收集到的颗粒物量为87.444t/a，由吸风管送入同一台布袋除尘器处理，除尘效率按99%计算，处理后颗粒物排放量为0.874t/a，由1根15m高排气筒（</w:t>
            </w:r>
            <w:r>
              <w:rPr>
                <w:rFonts w:hint="default" w:ascii="Times New Roman" w:hAnsi="Times New Roman" w:eastAsia="宋体" w:cs="Times New Roman"/>
                <w:color w:val="auto"/>
                <w:highlight w:val="none"/>
              </w:rPr>
              <w:t>DA00</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sz w:val="24"/>
                <w:szCs w:val="24"/>
                <w:highlight w:val="none"/>
                <w:lang w:val="en-US" w:eastAsia="zh-CN"/>
              </w:rPr>
              <w:t>）排出；</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未收集的颗粒物量为9.716t/a，以无组织形式排放。</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）浇铸废气</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szCs w:val="24"/>
                <w:highlight w:val="none"/>
                <w:lang w:val="en-US" w:eastAsia="zh-CN"/>
              </w:rPr>
              <w:t>本项目年产7000t工业硅，</w:t>
            </w:r>
            <w:r>
              <w:rPr>
                <w:rFonts w:hint="default" w:ascii="Times New Roman" w:hAnsi="Times New Roman" w:eastAsia="宋体" w:cs="Times New Roman"/>
                <w:color w:val="auto"/>
                <w:highlight w:val="none"/>
              </w:rPr>
              <w:t>根据《逸散性工业粉尘控制技术》</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中国环境出版社，1989年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，浇铸过程烟</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粉</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尘产生系数约0.2kg/t-物料，则浇铸废气产生量为1.4t/a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4"/>
                <w:highlight w:val="none"/>
                <w:lang w:val="en-US" w:eastAsia="zh-CN"/>
              </w:rPr>
              <w:t>浇</w:t>
            </w:r>
            <w:r>
              <w:rPr>
                <w:rFonts w:hint="default" w:ascii="Times New Roman" w:hAnsi="Times New Roman" w:eastAsia="宋体" w:cs="Times New Roman"/>
                <w:color w:val="auto"/>
                <w:highlight w:val="none"/>
              </w:rPr>
              <w:t>铸</w:t>
            </w:r>
            <w:r>
              <w:rPr>
                <w:rFonts w:hint="default" w:ascii="Times New Roman" w:hAnsi="Times New Roman" w:eastAsia="宋体" w:cs="Times New Roman"/>
                <w:color w:val="auto"/>
                <w:highlight w:val="none"/>
                <w:lang w:val="en-US" w:eastAsia="zh-CN"/>
              </w:rPr>
              <w:t>工序</w:t>
            </w:r>
            <w:r>
              <w:rPr>
                <w:rFonts w:hint="default" w:ascii="Times New Roman" w:hAnsi="Times New Roman" w:eastAsia="宋体" w:cs="Times New Roman"/>
                <w:color w:val="auto"/>
                <w:sz w:val="24"/>
                <w:szCs w:val="24"/>
                <w:highlight w:val="none"/>
                <w:lang w:val="en-US" w:eastAsia="zh-CN"/>
              </w:rPr>
              <w:t>设置有1个集气罩</w:t>
            </w:r>
            <w:r>
              <w:rPr>
                <w:rFonts w:hint="default" w:ascii="Times New Roman" w:hAnsi="Times New Roman" w:eastAsia="宋体" w:cs="Times New Roman"/>
                <w:color w:val="auto"/>
                <w:sz w:val="24"/>
                <w:szCs w:val="24"/>
                <w:highlight w:val="none"/>
                <w:lang w:eastAsia="zh-CN"/>
              </w:rPr>
              <w:t>，本次</w:t>
            </w:r>
            <w:r>
              <w:rPr>
                <w:rFonts w:hint="default" w:ascii="Times New Roman" w:hAnsi="Times New Roman" w:eastAsia="宋体" w:cs="Times New Roman"/>
                <w:color w:val="auto"/>
                <w:sz w:val="24"/>
                <w:szCs w:val="24"/>
                <w:highlight w:val="none"/>
                <w:lang w:val="en-US" w:eastAsia="zh-CN"/>
              </w:rPr>
              <w:t>环评</w:t>
            </w:r>
            <w:r>
              <w:rPr>
                <w:rFonts w:hint="default" w:ascii="Times New Roman" w:hAnsi="Times New Roman" w:eastAsia="宋体" w:cs="Times New Roman"/>
                <w:color w:val="auto"/>
                <w:sz w:val="24"/>
                <w:szCs w:val="24"/>
                <w:highlight w:val="none"/>
                <w:lang w:eastAsia="zh-CN"/>
              </w:rPr>
              <w:t>要求</w:t>
            </w:r>
            <w:r>
              <w:rPr>
                <w:rFonts w:hint="default" w:ascii="Times New Roman" w:hAnsi="Times New Roman" w:eastAsia="宋体" w:cs="Times New Roman"/>
                <w:color w:val="auto"/>
                <w:sz w:val="24"/>
                <w:highlight w:val="none"/>
                <w:lang w:val="en-US" w:eastAsia="zh-CN"/>
              </w:rPr>
              <w:t>感应炉</w:t>
            </w:r>
            <w:r>
              <w:rPr>
                <w:rFonts w:hint="default" w:ascii="Times New Roman" w:hAnsi="Times New Roman" w:eastAsia="宋体" w:cs="Times New Roman"/>
                <w:color w:val="auto"/>
                <w:sz w:val="24"/>
                <w:highlight w:val="none"/>
              </w:rPr>
              <w:t>熔</w:t>
            </w:r>
            <w:r>
              <w:rPr>
                <w:rFonts w:hint="default" w:ascii="Times New Roman" w:hAnsi="Times New Roman" w:eastAsia="宋体" w:cs="Times New Roman"/>
                <w:color w:val="auto"/>
                <w:sz w:val="24"/>
                <w:highlight w:val="none"/>
                <w:lang w:val="en-US" w:eastAsia="zh-CN"/>
              </w:rPr>
              <w:t>化</w:t>
            </w:r>
            <w:r>
              <w:rPr>
                <w:rFonts w:hint="default" w:ascii="Times New Roman" w:hAnsi="Times New Roman" w:eastAsia="宋体" w:cs="Times New Roman"/>
                <w:color w:val="auto"/>
                <w:sz w:val="24"/>
                <w:szCs w:val="24"/>
                <w:highlight w:val="none"/>
                <w:lang w:eastAsia="zh-CN"/>
              </w:rPr>
              <w:t>废气在其产生部位上方设集气罩收集，集气罩罩口尺寸应不小于集气罩所在位置的污染物扩散的断面面积，并采用低悬罩，以保证集气罩收集效率。集气效率按</w:t>
            </w:r>
            <w:r>
              <w:rPr>
                <w:rFonts w:hint="default" w:ascii="Times New Roman" w:hAnsi="Times New Roman" w:eastAsia="宋体" w:cs="Times New Roman"/>
                <w:color w:val="auto"/>
                <w:sz w:val="24"/>
                <w:szCs w:val="24"/>
                <w:highlight w:val="none"/>
                <w:lang w:val="en-US" w:eastAsia="zh-CN"/>
              </w:rPr>
              <w:t>90%计，</w:t>
            </w:r>
            <w:r>
              <w:rPr>
                <w:rFonts w:hint="default" w:ascii="Times New Roman" w:hAnsi="Times New Roman" w:eastAsia="宋体" w:cs="Times New Roman"/>
                <w:color w:val="auto"/>
                <w:sz w:val="24"/>
                <w:szCs w:val="24"/>
                <w:highlight w:val="none"/>
                <w:lang w:eastAsia="zh-CN"/>
              </w:rPr>
              <w:t>集气效率按</w:t>
            </w:r>
            <w:r>
              <w:rPr>
                <w:rFonts w:hint="default" w:ascii="Times New Roman" w:hAnsi="Times New Roman" w:eastAsia="宋体" w:cs="Times New Roman"/>
                <w:color w:val="auto"/>
                <w:sz w:val="24"/>
                <w:szCs w:val="24"/>
                <w:highlight w:val="none"/>
                <w:lang w:val="en-US" w:eastAsia="zh-CN"/>
              </w:rPr>
              <w:t>90%计，则收集到的颗粒物量为1.26t/a，由吸风管送入同一台布袋除尘器处理，除尘效率按99%计算，处理后颗粒物排放量为0.013t/a，由1根15m高排气筒（</w:t>
            </w:r>
            <w:r>
              <w:rPr>
                <w:rFonts w:hint="default" w:ascii="Times New Roman" w:hAnsi="Times New Roman" w:eastAsia="宋体" w:cs="Times New Roman"/>
                <w:color w:val="auto"/>
                <w:highlight w:val="none"/>
              </w:rPr>
              <w:t>DA00</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sz w:val="24"/>
                <w:szCs w:val="24"/>
                <w:highlight w:val="none"/>
                <w:lang w:val="en-US" w:eastAsia="zh-CN"/>
              </w:rPr>
              <w:t>）排出；未收集的颗粒物量为0.14t/a，以无组织形式排放。</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感应炉废气和浇铸废气合并后，</w:t>
            </w:r>
            <w:r>
              <w:rPr>
                <w:rFonts w:hint="default" w:ascii="Times New Roman" w:hAnsi="Times New Roman" w:eastAsia="宋体" w:cs="Times New Roman"/>
                <w:color w:val="auto"/>
                <w:highlight w:val="none"/>
                <w:lang w:val="en-US" w:eastAsia="zh-CN"/>
              </w:rPr>
              <w:t>集气效率为90%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风机风量为3000m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rPr>
              <w:t>经1台</w:t>
            </w:r>
            <w:r>
              <w:rPr>
                <w:rFonts w:hint="default" w:ascii="Times New Roman" w:hAnsi="Times New Roman" w:eastAsia="宋体" w:cs="Times New Roman"/>
                <w:color w:val="auto"/>
                <w:highlight w:val="none"/>
                <w:lang w:val="en-US" w:eastAsia="zh-CN"/>
              </w:rPr>
              <w:t>布袋除尘器</w:t>
            </w:r>
            <w:r>
              <w:rPr>
                <w:rFonts w:hint="default" w:ascii="Times New Roman" w:hAnsi="Times New Roman" w:eastAsia="宋体" w:cs="Times New Roman"/>
                <w:color w:val="auto"/>
                <w:highlight w:val="none"/>
              </w:rPr>
              <w:t>处理后，</w:t>
            </w:r>
            <w:r>
              <w:rPr>
                <w:rFonts w:hint="default" w:ascii="Times New Roman" w:hAnsi="Times New Roman" w:eastAsia="宋体" w:cs="Times New Roman"/>
                <w:color w:val="auto"/>
                <w:highlight w:val="none"/>
                <w:lang w:eastAsia="zh-CN"/>
              </w:rPr>
              <w:t>由1根15m排气筒</w:t>
            </w:r>
            <w:r>
              <w:rPr>
                <w:rFonts w:hint="default" w:ascii="Times New Roman" w:hAnsi="Times New Roman" w:eastAsia="宋体" w:cs="Times New Roman"/>
                <w:color w:val="auto"/>
                <w:highlight w:val="none"/>
              </w:rPr>
              <w:t>（DA00</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）排放。</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4-2感应炉废气</w:t>
            </w:r>
            <w:r>
              <w:rPr>
                <w:rFonts w:hint="default" w:ascii="Times New Roman" w:hAnsi="Times New Roman" w:eastAsia="宋体" w:cs="Times New Roman"/>
                <w:b/>
                <w:bCs/>
                <w:color w:val="auto"/>
                <w:sz w:val="24"/>
                <w:szCs w:val="24"/>
                <w:highlight w:val="none"/>
              </w:rPr>
              <w:t>大气污染物产排情况汇总表</w:t>
            </w:r>
          </w:p>
          <w:tbl>
            <w:tblPr>
              <w:tblStyle w:val="29"/>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2"/>
              <w:gridCol w:w="592"/>
              <w:gridCol w:w="592"/>
              <w:gridCol w:w="593"/>
              <w:gridCol w:w="593"/>
              <w:gridCol w:w="593"/>
              <w:gridCol w:w="593"/>
              <w:gridCol w:w="593"/>
              <w:gridCol w:w="593"/>
              <w:gridCol w:w="594"/>
              <w:gridCol w:w="2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排放方式</w:t>
                  </w:r>
                </w:p>
              </w:tc>
              <w:tc>
                <w:tcPr>
                  <w:tcW w:w="663"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污染源</w:t>
                  </w:r>
                </w:p>
              </w:tc>
              <w:tc>
                <w:tcPr>
                  <w:tcW w:w="663"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污染因子</w:t>
                  </w:r>
                </w:p>
              </w:tc>
              <w:tc>
                <w:tcPr>
                  <w:tcW w:w="1992" w:type="dxa"/>
                  <w:gridSpan w:val="3"/>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污染物产生情况</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治理措施</w:t>
                  </w:r>
                </w:p>
              </w:tc>
              <w:tc>
                <w:tcPr>
                  <w:tcW w:w="1992" w:type="dxa"/>
                  <w:gridSpan w:val="3"/>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污染物排放情况</w:t>
                  </w:r>
                </w:p>
              </w:tc>
              <w:tc>
                <w:tcPr>
                  <w:tcW w:w="2268"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63"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63"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6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mg/m</w:t>
                  </w:r>
                  <w:r>
                    <w:rPr>
                      <w:rFonts w:hint="default" w:ascii="Times New Roman" w:hAnsi="Times New Roman" w:eastAsia="宋体" w:cs="Times New Roman"/>
                      <w:b w:val="0"/>
                      <w:bCs w:val="0"/>
                      <w:color w:val="auto"/>
                      <w:sz w:val="21"/>
                      <w:szCs w:val="21"/>
                      <w:highlight w:val="none"/>
                      <w:vertAlign w:val="superscript"/>
                    </w:rPr>
                    <w:t>3</w:t>
                  </w:r>
                </w:p>
              </w:tc>
              <w:tc>
                <w:tcPr>
                  <w:tcW w:w="66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kg/h</w:t>
                  </w:r>
                </w:p>
              </w:tc>
              <w:tc>
                <w:tcPr>
                  <w:tcW w:w="66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t/a</w:t>
                  </w: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6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mg/m</w:t>
                  </w:r>
                  <w:r>
                    <w:rPr>
                      <w:rFonts w:hint="default" w:ascii="Times New Roman" w:hAnsi="Times New Roman" w:eastAsia="宋体" w:cs="Times New Roman"/>
                      <w:b w:val="0"/>
                      <w:bCs w:val="0"/>
                      <w:color w:val="auto"/>
                      <w:sz w:val="21"/>
                      <w:szCs w:val="21"/>
                      <w:highlight w:val="none"/>
                      <w:vertAlign w:val="superscript"/>
                    </w:rPr>
                    <w:t>3</w:t>
                  </w:r>
                </w:p>
              </w:tc>
              <w:tc>
                <w:tcPr>
                  <w:tcW w:w="66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kg/h</w:t>
                  </w:r>
                </w:p>
              </w:tc>
              <w:tc>
                <w:tcPr>
                  <w:tcW w:w="66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t/a</w:t>
                  </w:r>
                </w:p>
              </w:tc>
              <w:tc>
                <w:tcPr>
                  <w:tcW w:w="226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感应炉废气</w:t>
                  </w:r>
                </w:p>
              </w:tc>
              <w:tc>
                <w:tcPr>
                  <w:tcW w:w="663"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有</w:t>
                  </w:r>
                  <w:r>
                    <w:rPr>
                      <w:rFonts w:hint="default" w:ascii="Times New Roman" w:hAnsi="Times New Roman" w:eastAsia="宋体" w:cs="Times New Roman"/>
                      <w:b w:val="0"/>
                      <w:bCs w:val="0"/>
                      <w:color w:val="auto"/>
                      <w:sz w:val="21"/>
                      <w:szCs w:val="21"/>
                      <w:highlight w:val="none"/>
                      <w:lang w:eastAsia="zh-CN"/>
                    </w:rPr>
                    <w:t>组织</w:t>
                  </w:r>
                </w:p>
              </w:tc>
              <w:tc>
                <w:tcPr>
                  <w:tcW w:w="663"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颗粒物</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4106.7</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12.320</w:t>
                  </w:r>
                </w:p>
              </w:tc>
              <w:tc>
                <w:tcPr>
                  <w:tcW w:w="66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87.444</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集气罩+布袋除尘器</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41</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0.123</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0.887</w:t>
                  </w:r>
                </w:p>
              </w:tc>
              <w:tc>
                <w:tcPr>
                  <w:tcW w:w="2268"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《大气污染物综合排放标准》（GB16297-1996）</w:t>
                  </w:r>
                  <w:r>
                    <w:rPr>
                      <w:rFonts w:hint="default" w:ascii="Times New Roman" w:hAnsi="Times New Roman" w:eastAsia="宋体" w:cs="Times New Roman"/>
                      <w:color w:val="auto"/>
                      <w:sz w:val="21"/>
                      <w:szCs w:val="21"/>
                      <w:highlight w:val="none"/>
                      <w:lang w:eastAsia="zh-CN"/>
                    </w:rPr>
                    <w:t>表</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新污染源大气污染物排放限值</w:t>
                  </w:r>
                  <w:r>
                    <w:rPr>
                      <w:rFonts w:hint="default" w:ascii="Times New Roman" w:hAnsi="Times New Roman" w:eastAsia="宋体" w:cs="Times New Roman"/>
                      <w:b w:val="0"/>
                      <w:bCs w:val="0"/>
                      <w:color w:val="auto"/>
                      <w:sz w:val="21"/>
                      <w:szCs w:val="21"/>
                      <w:highlight w:val="none"/>
                      <w:lang w:val="en-US" w:eastAsia="zh-CN"/>
                    </w:rPr>
                    <w:t>--排气高度为15m时，排放速率3.5kg/h和最高排放浓度120mg/m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的限值要求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浇铸废气</w:t>
                  </w:r>
                </w:p>
              </w:tc>
              <w:tc>
                <w:tcPr>
                  <w:tcW w:w="663"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63"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6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1.26</w:t>
                  </w: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226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感应炉废气</w:t>
                  </w:r>
                </w:p>
              </w:tc>
              <w:tc>
                <w:tcPr>
                  <w:tcW w:w="663"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无</w:t>
                  </w:r>
                  <w:r>
                    <w:rPr>
                      <w:rFonts w:hint="default" w:ascii="Times New Roman" w:hAnsi="Times New Roman" w:eastAsia="宋体" w:cs="Times New Roman"/>
                      <w:b w:val="0"/>
                      <w:bCs w:val="0"/>
                      <w:color w:val="auto"/>
                      <w:sz w:val="21"/>
                      <w:szCs w:val="21"/>
                      <w:highlight w:val="none"/>
                      <w:lang w:eastAsia="zh-CN"/>
                    </w:rPr>
                    <w:t>组织</w:t>
                  </w:r>
                </w:p>
              </w:tc>
              <w:tc>
                <w:tcPr>
                  <w:tcW w:w="663"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颗粒物</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9.856</w:t>
                  </w:r>
                </w:p>
              </w:tc>
              <w:tc>
                <w:tcPr>
                  <w:tcW w:w="66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9.716</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封闭生产车间内沉降后（降尘效率按60%计）</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420" w:firstLineChars="20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420" w:firstLineChars="20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66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3.942</w:t>
                  </w:r>
                </w:p>
              </w:tc>
              <w:tc>
                <w:tcPr>
                  <w:tcW w:w="2268"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《大气污染物综合排放标准》（GB16297-1996）表2新污染源大气污染物排放限值中无组织排放监控浓度限值1.0mg/m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浇铸废气</w:t>
                  </w:r>
                </w:p>
              </w:tc>
              <w:tc>
                <w:tcPr>
                  <w:tcW w:w="663"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63"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6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0.14</w:t>
                  </w: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420" w:firstLineChars="200"/>
                    <w:jc w:val="center"/>
                    <w:textAlignment w:val="auto"/>
                    <w:rPr>
                      <w:rFonts w:hint="default" w:ascii="Times New Roman" w:hAnsi="Times New Roman" w:eastAsia="宋体" w:cs="Times New Roman"/>
                      <w:b w:val="0"/>
                      <w:bCs w:val="0"/>
                      <w:color w:val="auto"/>
                      <w:sz w:val="21"/>
                      <w:szCs w:val="21"/>
                      <w:highlight w:val="none"/>
                    </w:rPr>
                  </w:pP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420" w:firstLineChars="20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6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226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r>
          </w:tbl>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kern w:val="2"/>
                <w:highlight w:val="none"/>
              </w:rPr>
            </w:pPr>
            <w:r>
              <w:rPr>
                <w:rFonts w:hint="default" w:ascii="Times New Roman" w:hAnsi="Times New Roman" w:eastAsia="宋体" w:cs="Times New Roman"/>
                <w:b/>
                <w:bCs/>
                <w:color w:val="auto"/>
                <w:kern w:val="2"/>
                <w:highlight w:val="none"/>
              </w:rPr>
              <w:t>1.1.</w:t>
            </w:r>
            <w:r>
              <w:rPr>
                <w:rFonts w:hint="default" w:ascii="Times New Roman" w:hAnsi="Times New Roman" w:eastAsia="宋体" w:cs="Times New Roman"/>
                <w:b/>
                <w:bCs/>
                <w:color w:val="auto"/>
                <w:kern w:val="2"/>
                <w:highlight w:val="none"/>
                <w:lang w:val="en-US" w:eastAsia="zh-CN"/>
              </w:rPr>
              <w:t>3</w:t>
            </w:r>
            <w:r>
              <w:rPr>
                <w:rFonts w:hint="default" w:ascii="Times New Roman" w:hAnsi="Times New Roman" w:eastAsia="宋体" w:cs="Times New Roman"/>
                <w:b/>
                <w:bCs/>
                <w:color w:val="auto"/>
                <w:kern w:val="2"/>
                <w:highlight w:val="none"/>
              </w:rPr>
              <w:t>破碎粉尘</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lang w:val="en-US" w:eastAsia="zh-CN"/>
              </w:rPr>
              <w:t>本项目人工破碎硅块过程中会产生</w:t>
            </w:r>
            <w:r>
              <w:rPr>
                <w:rFonts w:hint="default" w:ascii="Times New Roman" w:hAnsi="Times New Roman" w:eastAsia="宋体" w:cs="Times New Roman"/>
                <w:color w:val="auto"/>
                <w:kern w:val="2"/>
                <w:highlight w:val="none"/>
              </w:rPr>
              <w:t>粉尘</w:t>
            </w:r>
            <w:r>
              <w:rPr>
                <w:rFonts w:hint="default" w:ascii="Times New Roman" w:hAnsi="Times New Roman" w:eastAsia="宋体" w:cs="Times New Roman"/>
                <w:color w:val="auto"/>
                <w:kern w:val="2"/>
                <w:highlight w:val="none"/>
                <w:lang w:eastAsia="zh-CN"/>
              </w:rPr>
              <w:t>，</w:t>
            </w:r>
            <w:r>
              <w:rPr>
                <w:rFonts w:hint="default" w:ascii="Times New Roman" w:hAnsi="Times New Roman" w:eastAsia="宋体" w:cs="Times New Roman"/>
                <w:color w:val="auto"/>
                <w:kern w:val="2"/>
                <w:highlight w:val="none"/>
                <w:lang w:val="en-US" w:eastAsia="zh-CN"/>
              </w:rPr>
              <w:t>产生量</w:t>
            </w:r>
            <w:r>
              <w:rPr>
                <w:rFonts w:hint="default" w:ascii="Times New Roman" w:hAnsi="Times New Roman" w:eastAsia="宋体" w:cs="Times New Roman"/>
                <w:color w:val="auto"/>
                <w:kern w:val="2"/>
                <w:highlight w:val="none"/>
              </w:rPr>
              <w:t>参考《逸散性工业粉尘控制技术》中“物料初级破碎、搅拌、转运”颗粒物的产污系数为0.75kg/t产品，本项目产品产量为7000t/a，则破碎过程中产生的粉尘产生量约5.25t/a。</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4-3破碎工序</w:t>
            </w:r>
            <w:r>
              <w:rPr>
                <w:rFonts w:hint="default" w:ascii="Times New Roman" w:hAnsi="Times New Roman" w:eastAsia="宋体" w:cs="Times New Roman"/>
                <w:b/>
                <w:bCs/>
                <w:color w:val="auto"/>
                <w:sz w:val="24"/>
                <w:szCs w:val="24"/>
                <w:highlight w:val="none"/>
              </w:rPr>
              <w:t>大气污染物产排情况汇总表</w:t>
            </w:r>
          </w:p>
          <w:tbl>
            <w:tblPr>
              <w:tblStyle w:val="29"/>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2"/>
              <w:gridCol w:w="693"/>
              <w:gridCol w:w="693"/>
              <w:gridCol w:w="694"/>
              <w:gridCol w:w="694"/>
              <w:gridCol w:w="694"/>
              <w:gridCol w:w="694"/>
              <w:gridCol w:w="694"/>
              <w:gridCol w:w="694"/>
              <w:gridCol w:w="1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2"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排放方式</w:t>
                  </w:r>
                </w:p>
              </w:tc>
              <w:tc>
                <w:tcPr>
                  <w:tcW w:w="693"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污染源</w:t>
                  </w:r>
                </w:p>
              </w:tc>
              <w:tc>
                <w:tcPr>
                  <w:tcW w:w="693"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污染因子</w:t>
                  </w:r>
                </w:p>
              </w:tc>
              <w:tc>
                <w:tcPr>
                  <w:tcW w:w="1388" w:type="dxa"/>
                  <w:gridSpan w:val="2"/>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污染物产生情况</w:t>
                  </w:r>
                </w:p>
              </w:tc>
              <w:tc>
                <w:tcPr>
                  <w:tcW w:w="69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治理措施</w:t>
                  </w:r>
                </w:p>
              </w:tc>
              <w:tc>
                <w:tcPr>
                  <w:tcW w:w="2082" w:type="dxa"/>
                  <w:gridSpan w:val="3"/>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污染物排放情况</w:t>
                  </w:r>
                </w:p>
              </w:tc>
              <w:tc>
                <w:tcPr>
                  <w:tcW w:w="1695"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2"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93"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93"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9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mg/m</w:t>
                  </w:r>
                  <w:r>
                    <w:rPr>
                      <w:rFonts w:hint="default" w:ascii="Times New Roman" w:hAnsi="Times New Roman" w:eastAsia="宋体" w:cs="Times New Roman"/>
                      <w:b w:val="0"/>
                      <w:bCs w:val="0"/>
                      <w:color w:val="auto"/>
                      <w:sz w:val="21"/>
                      <w:szCs w:val="21"/>
                      <w:highlight w:val="none"/>
                      <w:vertAlign w:val="superscript"/>
                    </w:rPr>
                    <w:t>3</w:t>
                  </w:r>
                </w:p>
              </w:tc>
              <w:tc>
                <w:tcPr>
                  <w:tcW w:w="69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t/a</w:t>
                  </w:r>
                </w:p>
              </w:tc>
              <w:tc>
                <w:tcPr>
                  <w:tcW w:w="69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69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mg/m</w:t>
                  </w:r>
                  <w:r>
                    <w:rPr>
                      <w:rFonts w:hint="default" w:ascii="Times New Roman" w:hAnsi="Times New Roman" w:eastAsia="宋体" w:cs="Times New Roman"/>
                      <w:b w:val="0"/>
                      <w:bCs w:val="0"/>
                      <w:color w:val="auto"/>
                      <w:sz w:val="21"/>
                      <w:szCs w:val="21"/>
                      <w:highlight w:val="none"/>
                      <w:vertAlign w:val="superscript"/>
                    </w:rPr>
                    <w:t>3</w:t>
                  </w:r>
                </w:p>
              </w:tc>
              <w:tc>
                <w:tcPr>
                  <w:tcW w:w="69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kg/h</w:t>
                  </w:r>
                </w:p>
              </w:tc>
              <w:tc>
                <w:tcPr>
                  <w:tcW w:w="69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t/a</w:t>
                  </w:r>
                </w:p>
              </w:tc>
              <w:tc>
                <w:tcPr>
                  <w:tcW w:w="1695"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2"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无</w:t>
                  </w:r>
                  <w:r>
                    <w:rPr>
                      <w:rFonts w:hint="default" w:ascii="Times New Roman" w:hAnsi="Times New Roman" w:eastAsia="宋体" w:cs="Times New Roman"/>
                      <w:b w:val="0"/>
                      <w:bCs w:val="0"/>
                      <w:color w:val="auto"/>
                      <w:sz w:val="21"/>
                      <w:szCs w:val="21"/>
                      <w:highlight w:val="none"/>
                      <w:lang w:eastAsia="zh-CN"/>
                    </w:rPr>
                    <w:t>组织</w:t>
                  </w:r>
                </w:p>
              </w:tc>
              <w:tc>
                <w:tcPr>
                  <w:tcW w:w="693"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破碎</w:t>
                  </w:r>
                  <w:r>
                    <w:rPr>
                      <w:rFonts w:hint="default" w:ascii="Times New Roman" w:hAnsi="Times New Roman" w:eastAsia="宋体" w:cs="Times New Roman"/>
                      <w:b w:val="0"/>
                      <w:bCs w:val="0"/>
                      <w:color w:val="auto"/>
                      <w:sz w:val="21"/>
                      <w:szCs w:val="21"/>
                      <w:highlight w:val="none"/>
                      <w:lang w:val="en-US" w:eastAsia="zh-CN"/>
                    </w:rPr>
                    <w:t>过程</w:t>
                  </w:r>
                </w:p>
              </w:tc>
              <w:tc>
                <w:tcPr>
                  <w:tcW w:w="693"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颗粒物</w:t>
                  </w:r>
                </w:p>
              </w:tc>
              <w:tc>
                <w:tcPr>
                  <w:tcW w:w="69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w:t>
                  </w:r>
                </w:p>
              </w:tc>
              <w:tc>
                <w:tcPr>
                  <w:tcW w:w="69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5.25</w:t>
                  </w:r>
                </w:p>
              </w:tc>
              <w:tc>
                <w:tcPr>
                  <w:tcW w:w="69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封闭生产车间内沉降后（降尘效率按60%计）</w:t>
                  </w:r>
                </w:p>
              </w:tc>
              <w:tc>
                <w:tcPr>
                  <w:tcW w:w="69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420" w:firstLineChars="20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w:t>
                  </w:r>
                </w:p>
              </w:tc>
              <w:tc>
                <w:tcPr>
                  <w:tcW w:w="69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420" w:firstLineChars="20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69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2.1</w:t>
                  </w:r>
                </w:p>
              </w:tc>
              <w:tc>
                <w:tcPr>
                  <w:tcW w:w="1695"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《大气污染物综合排放标准》（GB16297-1996）表2新污染源大气污染物排放限值中无组织排放监控浓度限值1.0mg/m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的要求</w:t>
                  </w:r>
                </w:p>
              </w:tc>
            </w:tr>
          </w:tbl>
          <w:p>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1.1.4</w:t>
            </w:r>
            <w:r>
              <w:rPr>
                <w:rFonts w:hint="default" w:ascii="Times New Roman" w:hAnsi="Times New Roman" w:eastAsia="宋体" w:cs="Times New Roman"/>
                <w:b/>
                <w:bCs/>
                <w:color w:val="auto"/>
                <w:sz w:val="24"/>
                <w:highlight w:val="none"/>
              </w:rPr>
              <w:t>大气污染物产生和排放情况</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本项目大气污染源治理情况汇总表见表4-</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pPr>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表4-</w:t>
            </w:r>
            <w:r>
              <w:rPr>
                <w:rFonts w:hint="default"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大气污染物产生、排放、治理情况汇总表</w:t>
            </w:r>
          </w:p>
          <w:tbl>
            <w:tblPr>
              <w:tblStyle w:val="29"/>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3"/>
              <w:gridCol w:w="793"/>
              <w:gridCol w:w="794"/>
              <w:gridCol w:w="794"/>
              <w:gridCol w:w="794"/>
              <w:gridCol w:w="794"/>
              <w:gridCol w:w="794"/>
              <w:gridCol w:w="795"/>
              <w:gridCol w:w="1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3"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w:t>
                  </w:r>
                </w:p>
              </w:tc>
              <w:tc>
                <w:tcPr>
                  <w:tcW w:w="793"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排放方式</w:t>
                  </w:r>
                </w:p>
              </w:tc>
              <w:tc>
                <w:tcPr>
                  <w:tcW w:w="794"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污染因子</w:t>
                  </w:r>
                </w:p>
              </w:tc>
              <w:tc>
                <w:tcPr>
                  <w:tcW w:w="1588" w:type="dxa"/>
                  <w:gridSpan w:val="2"/>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污染物产生情况</w:t>
                  </w:r>
                </w:p>
              </w:tc>
              <w:tc>
                <w:tcPr>
                  <w:tcW w:w="794"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1589" w:type="dxa"/>
                  <w:gridSpan w:val="2"/>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污染物排放情况</w:t>
                  </w:r>
                </w:p>
              </w:tc>
              <w:tc>
                <w:tcPr>
                  <w:tcW w:w="1586"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3"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3"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p>
              </w:tc>
              <w:tc>
                <w:tcPr>
                  <w:tcW w:w="794"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c>
                <w:tcPr>
                  <w:tcW w:w="795"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p>
              </w:tc>
              <w:tc>
                <w:tcPr>
                  <w:tcW w:w="1586"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3"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天然气燃烧废气</w:t>
                  </w:r>
                </w:p>
              </w:tc>
              <w:tc>
                <w:tcPr>
                  <w:tcW w:w="793"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有组织</w:t>
                  </w:r>
                </w:p>
              </w:tc>
              <w:tc>
                <w:tcPr>
                  <w:tcW w:w="794" w:type="dxa"/>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eastAsia="zh-CN"/>
                    </w:rPr>
                    <w:t>二氧化硫</w:t>
                  </w:r>
                </w:p>
              </w:tc>
              <w:tc>
                <w:tcPr>
                  <w:tcW w:w="794" w:type="dxa"/>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54</w:t>
                  </w:r>
                </w:p>
              </w:tc>
              <w:tc>
                <w:tcPr>
                  <w:tcW w:w="794" w:type="dxa"/>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0.388</w:t>
                  </w:r>
                </w:p>
              </w:tc>
              <w:tc>
                <w:tcPr>
                  <w:tcW w:w="794"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水膜除尘器+15m排气筒（DA001）</w:t>
                  </w:r>
                </w:p>
              </w:tc>
              <w:tc>
                <w:tcPr>
                  <w:tcW w:w="794" w:type="dxa"/>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54</w:t>
                  </w:r>
                </w:p>
              </w:tc>
              <w:tc>
                <w:tcPr>
                  <w:tcW w:w="795" w:type="dxa"/>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0.388</w:t>
                  </w:r>
                </w:p>
              </w:tc>
              <w:tc>
                <w:tcPr>
                  <w:tcW w:w="1586"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《大气污染物综合排放标准》（GB16297-1996）</w:t>
                  </w:r>
                  <w:r>
                    <w:rPr>
                      <w:rFonts w:hint="default" w:ascii="Times New Roman" w:hAnsi="Times New Roman" w:eastAsia="宋体" w:cs="Times New Roman"/>
                      <w:b w:val="0"/>
                      <w:bCs w:val="0"/>
                      <w:color w:val="auto"/>
                      <w:sz w:val="21"/>
                      <w:szCs w:val="21"/>
                      <w:highlight w:val="none"/>
                      <w:lang w:eastAsia="zh-CN"/>
                    </w:rPr>
                    <w:t>表</w:t>
                  </w:r>
                  <w:r>
                    <w:rPr>
                      <w:rFonts w:hint="default" w:ascii="Times New Roman" w:hAnsi="Times New Roman" w:eastAsia="宋体"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rPr>
                    <w:t>新污染源大气污染物排放限值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3"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3"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eastAsia="zh-CN"/>
                    </w:rPr>
                    <w:t>氮氧化物</w:t>
                  </w:r>
                </w:p>
              </w:tc>
              <w:tc>
                <w:tcPr>
                  <w:tcW w:w="794" w:type="dxa"/>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214</w:t>
                  </w:r>
                </w:p>
              </w:tc>
              <w:tc>
                <w:tcPr>
                  <w:tcW w:w="794" w:type="dxa"/>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1.541</w:t>
                  </w:r>
                </w:p>
              </w:tc>
              <w:tc>
                <w:tcPr>
                  <w:tcW w:w="794"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214</w:t>
                  </w:r>
                </w:p>
              </w:tc>
              <w:tc>
                <w:tcPr>
                  <w:tcW w:w="795" w:type="dxa"/>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1.541</w:t>
                  </w:r>
                </w:p>
              </w:tc>
              <w:tc>
                <w:tcPr>
                  <w:tcW w:w="1586"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3"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3"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颗粒物</w:t>
                  </w:r>
                </w:p>
              </w:tc>
              <w:tc>
                <w:tcPr>
                  <w:tcW w:w="794"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240</w:t>
                  </w:r>
                </w:p>
              </w:tc>
              <w:tc>
                <w:tcPr>
                  <w:tcW w:w="794" w:type="dxa"/>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0.107</w:t>
                  </w:r>
                </w:p>
              </w:tc>
              <w:tc>
                <w:tcPr>
                  <w:tcW w:w="794"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795"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0.432</w:t>
                  </w:r>
                </w:p>
              </w:tc>
              <w:tc>
                <w:tcPr>
                  <w:tcW w:w="1586"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3"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烘干废气</w:t>
                  </w:r>
                </w:p>
              </w:tc>
              <w:tc>
                <w:tcPr>
                  <w:tcW w:w="793"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有组织</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颗粒物</w:t>
                  </w:r>
                </w:p>
              </w:tc>
              <w:tc>
                <w:tcPr>
                  <w:tcW w:w="794"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tcMar>
                    <w:left w:w="28" w:type="dxa"/>
                    <w:right w:w="28"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1.62</w:t>
                  </w:r>
                </w:p>
              </w:tc>
              <w:tc>
                <w:tcPr>
                  <w:tcW w:w="794"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5"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586"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93"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3"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无</w:t>
                  </w:r>
                  <w:r>
                    <w:rPr>
                      <w:rFonts w:hint="default" w:ascii="Times New Roman" w:hAnsi="Times New Roman" w:eastAsia="宋体" w:cs="Times New Roman"/>
                      <w:b w:val="0"/>
                      <w:bCs w:val="0"/>
                      <w:color w:val="auto"/>
                      <w:sz w:val="21"/>
                      <w:szCs w:val="21"/>
                      <w:highlight w:val="none"/>
                      <w:lang w:eastAsia="zh-CN"/>
                    </w:rPr>
                    <w:t>组织</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颗粒物</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0.18</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封闭生产车间</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95"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0.072</w:t>
                  </w:r>
                </w:p>
              </w:tc>
              <w:tc>
                <w:tcPr>
                  <w:tcW w:w="1586"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《大气污染物综合排放标准》（GB16297-1996）表2新污染源大气污染物排放限值中无组织排放监控浓度限值1.0mg/m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3"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感应炉废气</w:t>
                  </w:r>
                </w:p>
              </w:tc>
              <w:tc>
                <w:tcPr>
                  <w:tcW w:w="793"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有组织</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颗粒物</w:t>
                  </w:r>
                </w:p>
              </w:tc>
              <w:tc>
                <w:tcPr>
                  <w:tcW w:w="794"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4106.7</w:t>
                  </w:r>
                </w:p>
              </w:tc>
              <w:tc>
                <w:tcPr>
                  <w:tcW w:w="794" w:type="dxa"/>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87.444</w:t>
                  </w:r>
                </w:p>
              </w:tc>
              <w:tc>
                <w:tcPr>
                  <w:tcW w:w="794"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集气罩+布袋除尘器</w:t>
                  </w:r>
                </w:p>
              </w:tc>
              <w:tc>
                <w:tcPr>
                  <w:tcW w:w="794"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41</w:t>
                  </w:r>
                </w:p>
              </w:tc>
              <w:tc>
                <w:tcPr>
                  <w:tcW w:w="795"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0.887</w:t>
                  </w:r>
                </w:p>
              </w:tc>
              <w:tc>
                <w:tcPr>
                  <w:tcW w:w="1586"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《大气污染物综合排放标准》（GB16297-1996）</w:t>
                  </w:r>
                  <w:r>
                    <w:rPr>
                      <w:rFonts w:hint="default" w:ascii="Times New Roman" w:hAnsi="Times New Roman" w:eastAsia="宋体" w:cs="Times New Roman"/>
                      <w:color w:val="auto"/>
                      <w:sz w:val="21"/>
                      <w:szCs w:val="21"/>
                      <w:highlight w:val="none"/>
                      <w:lang w:eastAsia="zh-CN"/>
                    </w:rPr>
                    <w:t>表</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新污染源大气污染物排放限值</w:t>
                  </w:r>
                  <w:r>
                    <w:rPr>
                      <w:rFonts w:hint="default" w:ascii="Times New Roman" w:hAnsi="Times New Roman" w:eastAsia="宋体" w:cs="Times New Roman"/>
                      <w:b w:val="0"/>
                      <w:bCs w:val="0"/>
                      <w:color w:val="auto"/>
                      <w:sz w:val="21"/>
                      <w:szCs w:val="21"/>
                      <w:highlight w:val="none"/>
                      <w:lang w:val="en-US" w:eastAsia="zh-CN"/>
                    </w:rPr>
                    <w:t>--排气高度为15m时，排放速率3.5kg/h和最高排放浓度120mg/m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的限值要求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3"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浇铸废气</w:t>
                  </w:r>
                </w:p>
              </w:tc>
              <w:tc>
                <w:tcPr>
                  <w:tcW w:w="793"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颗粒物</w:t>
                  </w:r>
                </w:p>
              </w:tc>
              <w:tc>
                <w:tcPr>
                  <w:tcW w:w="794"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1.26</w:t>
                  </w:r>
                </w:p>
              </w:tc>
              <w:tc>
                <w:tcPr>
                  <w:tcW w:w="794"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5"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586"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93" w:type="dxa"/>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感应炉废气</w:t>
                  </w:r>
                </w:p>
              </w:tc>
              <w:tc>
                <w:tcPr>
                  <w:tcW w:w="793"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颗粒物</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94" w:type="dxa"/>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9.716</w:t>
                  </w:r>
                </w:p>
              </w:tc>
              <w:tc>
                <w:tcPr>
                  <w:tcW w:w="794"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封闭生产车间</w:t>
                  </w:r>
                </w:p>
              </w:tc>
              <w:tc>
                <w:tcPr>
                  <w:tcW w:w="794" w:type="dxa"/>
                  <w:vMerge w:val="restart"/>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95" w:type="dxa"/>
                  <w:vMerge w:val="restart"/>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3.942</w:t>
                  </w:r>
                </w:p>
              </w:tc>
              <w:tc>
                <w:tcPr>
                  <w:tcW w:w="1586" w:type="dxa"/>
                  <w:vMerge w:val="restart"/>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《大气污染物综合排放标准》（GB16297-1996）表2新污染源大气污染物排放限值中无组织排放监控浓度限值1.0mg/m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3" w:type="dxa"/>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浇铸废气</w:t>
                  </w:r>
                </w:p>
              </w:tc>
              <w:tc>
                <w:tcPr>
                  <w:tcW w:w="793"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颗粒物</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94" w:type="dxa"/>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0.14</w:t>
                  </w:r>
                </w:p>
              </w:tc>
              <w:tc>
                <w:tcPr>
                  <w:tcW w:w="794"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4"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95"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586" w:type="dxa"/>
                  <w:vMerge w:val="continue"/>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3"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人工</w:t>
                  </w:r>
                  <w:r>
                    <w:rPr>
                      <w:rFonts w:hint="default" w:ascii="Times New Roman" w:hAnsi="Times New Roman" w:eastAsia="宋体" w:cs="Times New Roman"/>
                      <w:b w:val="0"/>
                      <w:bCs w:val="0"/>
                      <w:color w:val="auto"/>
                      <w:sz w:val="21"/>
                      <w:szCs w:val="21"/>
                      <w:highlight w:val="none"/>
                      <w:lang w:eastAsia="zh-CN"/>
                    </w:rPr>
                    <w:t>破碎</w:t>
                  </w:r>
                  <w:r>
                    <w:rPr>
                      <w:rFonts w:hint="default" w:ascii="Times New Roman" w:hAnsi="Times New Roman" w:eastAsia="宋体" w:cs="Times New Roman"/>
                      <w:b w:val="0"/>
                      <w:bCs w:val="0"/>
                      <w:color w:val="auto"/>
                      <w:sz w:val="21"/>
                      <w:szCs w:val="21"/>
                      <w:highlight w:val="none"/>
                      <w:lang w:val="en-US" w:eastAsia="zh-CN"/>
                    </w:rPr>
                    <w:t>过程</w:t>
                  </w:r>
                </w:p>
              </w:tc>
              <w:tc>
                <w:tcPr>
                  <w:tcW w:w="793"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颗粒物</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5.25</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封闭生产车间</w:t>
                  </w:r>
                </w:p>
              </w:tc>
              <w:tc>
                <w:tcPr>
                  <w:tcW w:w="794" w:type="dxa"/>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795" w:type="dxa"/>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2.1</w:t>
                  </w:r>
                </w:p>
              </w:tc>
              <w:tc>
                <w:tcPr>
                  <w:tcW w:w="1586" w:type="dxa"/>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《大气污染物综合排放标准》（GB16297-1996）表2新污染源大气污染物排放限值中无组织排放监控浓度限值1.0mg/m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的要求</w:t>
                  </w:r>
                </w:p>
              </w:tc>
            </w:tr>
          </w:tbl>
          <w:p>
            <w:pPr>
              <w:keepNext w:val="0"/>
              <w:keepLines w:val="0"/>
              <w:pageBreakBefore w:val="0"/>
              <w:widowControl/>
              <w:kinsoku/>
              <w:wordWrap/>
              <w:overflowPunct/>
              <w:topLinePunct w:val="0"/>
              <w:autoSpaceDE/>
              <w:autoSpaceDN/>
              <w:bidi w:val="0"/>
              <w:adjustRightInd/>
              <w:snapToGrid/>
              <w:ind w:left="0" w:leftChars="0" w:firstLine="442" w:firstLineChars="200"/>
              <w:textAlignment w:val="auto"/>
              <w:rPr>
                <w:rFonts w:hint="default" w:ascii="Times New Roman" w:hAnsi="Times New Roman" w:eastAsia="宋体" w:cs="Times New Roman"/>
                <w:b/>
                <w:bCs/>
                <w:color w:val="auto"/>
                <w:spacing w:val="-10"/>
                <w:szCs w:val="21"/>
                <w:highlight w:val="none"/>
              </w:rPr>
            </w:pPr>
            <w:r>
              <w:rPr>
                <w:rFonts w:hint="default" w:ascii="Times New Roman" w:hAnsi="Times New Roman" w:eastAsia="宋体" w:cs="Times New Roman"/>
                <w:b/>
                <w:bCs/>
                <w:color w:val="auto"/>
                <w:spacing w:val="-10"/>
                <w:szCs w:val="21"/>
                <w:highlight w:val="none"/>
              </w:rPr>
              <w:t>1.2废气污染物防治措施可行性</w:t>
            </w:r>
          </w:p>
          <w:p>
            <w:pPr>
              <w:keepNext w:val="0"/>
              <w:keepLines w:val="0"/>
              <w:pageBreakBefore w:val="0"/>
              <w:widowControl w:val="0"/>
              <w:suppressLineNumbers w:val="0"/>
              <w:shd w:val="clear"/>
              <w:kinsoku/>
              <w:wordWrap/>
              <w:overflowPunct/>
              <w:topLinePunct w:val="0"/>
              <w:bidi w:val="0"/>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4-5</w:t>
            </w:r>
            <w:r>
              <w:rPr>
                <w:rFonts w:hint="default" w:ascii="Times New Roman" w:hAnsi="Times New Roman" w:eastAsia="宋体" w:cs="Times New Roman"/>
                <w:b/>
                <w:bCs/>
                <w:color w:val="auto"/>
                <w:sz w:val="24"/>
                <w:highlight w:val="none"/>
                <w:lang w:eastAsia="zh-CN"/>
              </w:rPr>
              <w:t>废气污染防治可行技术参考表</w:t>
            </w:r>
          </w:p>
          <w:tbl>
            <w:tblPr>
              <w:tblStyle w:val="29"/>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88"/>
              <w:gridCol w:w="1288"/>
              <w:gridCol w:w="1288"/>
              <w:gridCol w:w="1288"/>
              <w:gridCol w:w="1497"/>
              <w:gridCol w:w="1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379"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要素</w:t>
                  </w:r>
                </w:p>
              </w:tc>
              <w:tc>
                <w:tcPr>
                  <w:tcW w:w="1379"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监测点位</w:t>
                  </w:r>
                </w:p>
              </w:tc>
              <w:tc>
                <w:tcPr>
                  <w:tcW w:w="1379"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监测项目</w:t>
                  </w:r>
                </w:p>
              </w:tc>
              <w:tc>
                <w:tcPr>
                  <w:tcW w:w="1380"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可行技术</w:t>
                  </w:r>
                </w:p>
              </w:tc>
              <w:tc>
                <w:tcPr>
                  <w:tcW w:w="1604"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本项目设置情况</w:t>
                  </w:r>
                </w:p>
              </w:tc>
              <w:tc>
                <w:tcPr>
                  <w:tcW w:w="1380"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是否可行性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379"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379"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rPr>
                    <w:t>磨机、破碎机、振动筛等对应含颗粒物的废气</w:t>
                  </w:r>
                </w:p>
              </w:tc>
              <w:tc>
                <w:tcPr>
                  <w:tcW w:w="1379"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颗粒物</w:t>
                  </w:r>
                </w:p>
              </w:tc>
              <w:tc>
                <w:tcPr>
                  <w:tcW w:w="1380"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袋式除尘法</w:t>
                  </w:r>
                </w:p>
              </w:tc>
              <w:tc>
                <w:tcPr>
                  <w:tcW w:w="1604"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布袋除尘器</w:t>
                  </w:r>
                </w:p>
              </w:tc>
              <w:tc>
                <w:tcPr>
                  <w:tcW w:w="1380"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是</w:t>
                  </w:r>
                </w:p>
              </w:tc>
            </w:tr>
          </w:tbl>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val="0"/>
                <w:bCs w:val="0"/>
                <w:color w:val="auto"/>
                <w:sz w:val="24"/>
                <w:szCs w:val="24"/>
                <w:highlight w:val="none"/>
                <w:lang w:val="en-US" w:eastAsia="zh-CN"/>
              </w:rPr>
              <w:t>综上，本项目采用的废气防治措施为布袋除尘器，属于《排污许可证申请与核发技术规范石墨及其他非金属矿物制品制造》（HJ1119-2020）</w:t>
            </w:r>
            <w:r>
              <w:rPr>
                <w:rFonts w:hint="default" w:ascii="Times New Roman" w:hAnsi="Times New Roman" w:eastAsia="宋体" w:cs="Times New Roman"/>
                <w:color w:val="auto"/>
                <w:sz w:val="24"/>
                <w:szCs w:val="24"/>
                <w:highlight w:val="none"/>
                <w:lang w:eastAsia="zh-CN"/>
              </w:rPr>
              <w:t>中的可行技术。</w:t>
            </w:r>
          </w:p>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1.3废气监测计划</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根据《排污许可申请与核发技术规范总则》（HJ942-2018）、《排污单位自行监测技术指南总则》、《排污许可证申请与核发技术规范废弃资源加工工业》</w:t>
            </w:r>
            <w:r>
              <w:rPr>
                <w:rFonts w:hint="default" w:ascii="Times New Roman" w:hAnsi="Times New Roman" w:eastAsia="宋体" w:cs="Times New Roman"/>
                <w:bCs/>
                <w:color w:val="auto"/>
                <w:highlight w:val="none"/>
              </w:rPr>
              <w:t>（HJ1034-2019）</w:t>
            </w:r>
            <w:r>
              <w:rPr>
                <w:rFonts w:hint="default" w:ascii="Times New Roman" w:hAnsi="Times New Roman" w:eastAsia="宋体" w:cs="Times New Roman"/>
                <w:color w:val="auto"/>
                <w:highlight w:val="none"/>
              </w:rPr>
              <w:t>要求，本项目废气监测计划如下：</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表4-</w:t>
            </w:r>
            <w:r>
              <w:rPr>
                <w:rFonts w:hint="default" w:ascii="Times New Roman" w:hAnsi="Times New Roman" w:eastAsia="宋体" w:cs="Times New Roman"/>
                <w:b/>
                <w:bCs/>
                <w:color w:val="auto"/>
                <w:highlight w:val="none"/>
                <w:lang w:val="en-US" w:eastAsia="zh-CN"/>
              </w:rPr>
              <w:t>6</w:t>
            </w:r>
            <w:r>
              <w:rPr>
                <w:rFonts w:hint="default" w:ascii="Times New Roman" w:hAnsi="Times New Roman" w:eastAsia="宋体" w:cs="Times New Roman"/>
                <w:b/>
                <w:bCs/>
                <w:color w:val="auto"/>
                <w:highlight w:val="none"/>
              </w:rPr>
              <w:t>环境监测工作内容一览表</w:t>
            </w:r>
          </w:p>
          <w:tbl>
            <w:tblPr>
              <w:tblStyle w:val="29"/>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74"/>
              <w:gridCol w:w="1492"/>
              <w:gridCol w:w="1133"/>
              <w:gridCol w:w="1134"/>
              <w:gridCol w:w="34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774" w:type="dxa"/>
                  <w:tcBorders>
                    <w:top w:val="single" w:color="auto" w:sz="4" w:space="0"/>
                    <w:left w:val="single" w:color="auto" w:sz="0"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要素</w:t>
                  </w:r>
                </w:p>
              </w:tc>
              <w:tc>
                <w:tcPr>
                  <w:tcW w:w="1492" w:type="dxa"/>
                  <w:tcBorders>
                    <w:top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1133" w:type="dxa"/>
                  <w:tcBorders>
                    <w:top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监测项目</w:t>
                  </w:r>
                </w:p>
              </w:tc>
              <w:tc>
                <w:tcPr>
                  <w:tcW w:w="1134" w:type="dxa"/>
                  <w:tcBorders>
                    <w:top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c>
                <w:tcPr>
                  <w:tcW w:w="3404" w:type="dxa"/>
                  <w:tcBorders>
                    <w:top w:val="single" w:color="auto" w:sz="4" w:space="0"/>
                    <w:right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906" w:hRule="atLeast"/>
                <w:jc w:val="center"/>
              </w:trPr>
              <w:tc>
                <w:tcPr>
                  <w:tcW w:w="774" w:type="dxa"/>
                  <w:vMerge w:val="restart"/>
                  <w:tcBorders>
                    <w:left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w:t>
                  </w:r>
                </w:p>
              </w:tc>
              <w:tc>
                <w:tcPr>
                  <w:tcW w:w="1492" w:type="dxa"/>
                  <w:vMerge w:val="restart"/>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天然气燃烧废气和烘干废气DA001</w:t>
                  </w:r>
                </w:p>
              </w:tc>
              <w:tc>
                <w:tcPr>
                  <w:tcW w:w="1133" w:type="dxa"/>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134" w:type="dxa"/>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每年1次</w:t>
                  </w:r>
                </w:p>
              </w:tc>
              <w:tc>
                <w:tcPr>
                  <w:tcW w:w="3404" w:type="dxa"/>
                  <w:vMerge w:val="restart"/>
                  <w:tcBorders>
                    <w:right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《大气污染物综合排放标准》（GB16297-1996）</w:t>
                  </w:r>
                  <w:r>
                    <w:rPr>
                      <w:rFonts w:hint="default" w:ascii="Times New Roman" w:hAnsi="Times New Roman" w:eastAsia="宋体" w:cs="Times New Roman"/>
                      <w:color w:val="auto"/>
                      <w:sz w:val="21"/>
                      <w:szCs w:val="21"/>
                      <w:highlight w:val="none"/>
                      <w:lang w:eastAsia="zh-CN"/>
                    </w:rPr>
                    <w:t>表</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新污染源大气污染物排放限值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774" w:type="dxa"/>
                  <w:vMerge w:val="continue"/>
                  <w:tcBorders>
                    <w:left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492" w:type="dxa"/>
                  <w:vMerge w:val="continue"/>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3" w:type="dxa"/>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134" w:type="dxa"/>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每年1次</w:t>
                  </w:r>
                </w:p>
              </w:tc>
              <w:tc>
                <w:tcPr>
                  <w:tcW w:w="3404" w:type="dxa"/>
                  <w:vMerge w:val="continue"/>
                  <w:tcBorders>
                    <w:right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774" w:type="dxa"/>
                  <w:vMerge w:val="continue"/>
                  <w:tcBorders>
                    <w:left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492" w:type="dxa"/>
                  <w:vMerge w:val="continue"/>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3" w:type="dxa"/>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p>
              </w:tc>
              <w:tc>
                <w:tcPr>
                  <w:tcW w:w="1134" w:type="dxa"/>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每年1次</w:t>
                  </w:r>
                </w:p>
              </w:tc>
              <w:tc>
                <w:tcPr>
                  <w:tcW w:w="3404" w:type="dxa"/>
                  <w:vMerge w:val="continue"/>
                  <w:tcBorders>
                    <w:right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774" w:type="dxa"/>
                  <w:vMerge w:val="continue"/>
                  <w:tcBorders>
                    <w:left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492" w:type="dxa"/>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感应炉废气</w:t>
                  </w:r>
                  <w:r>
                    <w:rPr>
                      <w:rFonts w:hint="default" w:ascii="Times New Roman" w:hAnsi="Times New Roman" w:eastAsia="宋体" w:cs="Times New Roman"/>
                      <w:color w:val="auto"/>
                      <w:sz w:val="21"/>
                      <w:szCs w:val="21"/>
                      <w:highlight w:val="none"/>
                    </w:rPr>
                    <w:t>、浇铸废气DA002</w:t>
                  </w:r>
                </w:p>
              </w:tc>
              <w:tc>
                <w:tcPr>
                  <w:tcW w:w="1133" w:type="dxa"/>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134" w:type="dxa"/>
                  <w:tcBorders>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每年1次</w:t>
                  </w:r>
                </w:p>
              </w:tc>
              <w:tc>
                <w:tcPr>
                  <w:tcW w:w="3404" w:type="dxa"/>
                  <w:tcBorders>
                    <w:right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《大气污染物综合排放限值标准》（GB16297-1996）表2新污染源大气污染物排放限值中颗粒物120mg/m</w:t>
                  </w:r>
                  <w:r>
                    <w:rPr>
                      <w:rFonts w:hint="default" w:ascii="Times New Roman" w:hAnsi="Times New Roman" w:eastAsia="宋体" w:cs="Times New Roman"/>
                      <w:color w:val="auto"/>
                      <w:sz w:val="21"/>
                      <w:szCs w:val="21"/>
                      <w:highlight w:val="none"/>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774" w:type="dxa"/>
                  <w:vMerge w:val="continue"/>
                  <w:tcBorders>
                    <w:left w:val="single" w:color="auto" w:sz="4" w:space="0"/>
                    <w:bottom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492" w:type="dxa"/>
                  <w:tcBorders>
                    <w:bottom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w:t>
                  </w:r>
                </w:p>
              </w:tc>
              <w:tc>
                <w:tcPr>
                  <w:tcW w:w="1133" w:type="dxa"/>
                  <w:tcBorders>
                    <w:bottom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134" w:type="dxa"/>
                  <w:tcBorders>
                    <w:bottom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w:t>
                  </w:r>
                  <w:r>
                    <w:rPr>
                      <w:rFonts w:hint="default" w:ascii="Times New Roman" w:hAnsi="Times New Roman" w:eastAsia="宋体" w:cs="Times New Roman"/>
                      <w:color w:val="auto"/>
                      <w:sz w:val="21"/>
                      <w:szCs w:val="21"/>
                      <w:highlight w:val="none"/>
                      <w:lang w:val="en-US" w:eastAsia="zh-CN"/>
                    </w:rPr>
                    <w:t>季</w:t>
                  </w:r>
                  <w:r>
                    <w:rPr>
                      <w:rFonts w:hint="default" w:ascii="Times New Roman" w:hAnsi="Times New Roman" w:eastAsia="宋体" w:cs="Times New Roman"/>
                      <w:color w:val="auto"/>
                      <w:sz w:val="21"/>
                      <w:szCs w:val="21"/>
                      <w:highlight w:val="none"/>
                    </w:rPr>
                    <w:t>1次</w:t>
                  </w:r>
                </w:p>
              </w:tc>
              <w:tc>
                <w:tcPr>
                  <w:tcW w:w="3404" w:type="dxa"/>
                  <w:tcBorders>
                    <w:bottom w:val="single" w:color="auto" w:sz="4" w:space="0"/>
                    <w:right w:val="single" w:color="auto" w:sz="4" w:space="0"/>
                    <w:tl2br w:val="nil"/>
                    <w:tr2bl w:val="nil"/>
                  </w:tcBorders>
                  <w:tcMar>
                    <w:left w:w="0" w:type="dxa"/>
                    <w:right w:w="0"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《大气污染物综合排放限值标准》（GB16297-1996）表2新污染源大气污染物排放限值中无组织排放监控浓度限值1.0mg/m</w:t>
                  </w:r>
                  <w:r>
                    <w:rPr>
                      <w:rFonts w:hint="default" w:ascii="Times New Roman" w:hAnsi="Times New Roman" w:eastAsia="宋体" w:cs="Times New Roman"/>
                      <w:color w:val="auto"/>
                      <w:sz w:val="21"/>
                      <w:szCs w:val="21"/>
                      <w:highlight w:val="none"/>
                      <w:vertAlign w:val="superscript"/>
                    </w:rPr>
                    <w:t>3</w:t>
                  </w:r>
                </w:p>
              </w:tc>
            </w:tr>
          </w:tbl>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2、废水产排情况及治理措施可行性分析</w:t>
            </w:r>
          </w:p>
          <w:p>
            <w:pPr>
              <w:pageBreakBefore w:val="0"/>
              <w:kinsoku/>
              <w:wordWrap/>
              <w:overflowPunct/>
              <w:bidi w:val="0"/>
              <w:spacing w:line="360" w:lineRule="auto"/>
              <w:ind w:left="0" w:leftChars="0" w:right="0" w:rightChars="0" w:firstLine="482"/>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szCs w:val="22"/>
                <w:highlight w:val="none"/>
              </w:rPr>
              <w:t>2.1废水产排情况</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本项目运营期废水主要为生活污水</w:t>
            </w:r>
            <w:r>
              <w:rPr>
                <w:rFonts w:hint="default" w:ascii="Times New Roman" w:hAnsi="Times New Roman" w:eastAsia="宋体" w:cs="Times New Roman"/>
                <w:color w:val="auto"/>
                <w:highlight w:val="none"/>
                <w:lang w:eastAsia="zh-CN"/>
              </w:rPr>
              <w:t>、水膜除尘器</w:t>
            </w:r>
            <w:r>
              <w:rPr>
                <w:rFonts w:hint="default" w:ascii="Times New Roman" w:hAnsi="Times New Roman" w:eastAsia="宋体" w:cs="Times New Roman"/>
                <w:color w:val="auto"/>
                <w:highlight w:val="none"/>
              </w:rPr>
              <w:t>循环</w:t>
            </w:r>
            <w:r>
              <w:rPr>
                <w:rFonts w:hint="default" w:ascii="Times New Roman" w:hAnsi="Times New Roman" w:eastAsia="宋体" w:cs="Times New Roman"/>
                <w:color w:val="auto"/>
                <w:highlight w:val="none"/>
                <w:lang w:val="en-US" w:eastAsia="zh-CN"/>
              </w:rPr>
              <w:t>废水、感应炉循环冷却系统循环水</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）水膜除尘器</w:t>
            </w:r>
            <w:r>
              <w:rPr>
                <w:rFonts w:hint="default" w:ascii="Times New Roman" w:hAnsi="Times New Roman" w:eastAsia="宋体" w:cs="Times New Roman"/>
                <w:color w:val="auto"/>
                <w:highlight w:val="none"/>
              </w:rPr>
              <w:t>循环</w:t>
            </w:r>
            <w:r>
              <w:rPr>
                <w:rFonts w:hint="default" w:ascii="Times New Roman" w:hAnsi="Times New Roman" w:eastAsia="宋体" w:cs="Times New Roman"/>
                <w:color w:val="auto"/>
                <w:highlight w:val="none"/>
                <w:lang w:val="en-US" w:eastAsia="zh-CN"/>
              </w:rPr>
              <w:t>废水</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水膜除尘器</w:t>
            </w:r>
            <w:r>
              <w:rPr>
                <w:rFonts w:hint="default" w:ascii="Times New Roman" w:hAnsi="Times New Roman" w:eastAsia="宋体" w:cs="Times New Roman"/>
                <w:color w:val="auto"/>
                <w:highlight w:val="none"/>
                <w:lang w:val="en-US" w:eastAsia="zh-CN"/>
              </w:rPr>
              <w:t>用于处理天然气燃烧废气和烘干废水，水</w:t>
            </w:r>
            <w:r>
              <w:rPr>
                <w:rFonts w:hint="default" w:ascii="Times New Roman" w:hAnsi="Times New Roman" w:eastAsia="宋体" w:cs="Times New Roman"/>
                <w:color w:val="auto"/>
                <w:sz w:val="24"/>
                <w:szCs w:val="24"/>
                <w:highlight w:val="none"/>
                <w:lang w:val="en-US" w:eastAsia="zh-CN"/>
              </w:rPr>
              <w:t>膜除尘器循环水与废气接触后，吸收废气中颗粒物，沉淀于底部，经压滤机处理后，底泥综合利用；</w:t>
            </w:r>
            <w:r>
              <w:rPr>
                <w:rFonts w:hint="default" w:ascii="Times New Roman" w:hAnsi="Times New Roman" w:eastAsia="宋体" w:cs="Times New Roman"/>
                <w:color w:val="auto"/>
                <w:highlight w:val="none"/>
                <w:lang w:eastAsia="zh-CN"/>
              </w:rPr>
              <w:t>水膜除尘器</w:t>
            </w:r>
            <w:r>
              <w:rPr>
                <w:rFonts w:hint="default" w:ascii="Times New Roman" w:hAnsi="Times New Roman" w:eastAsia="宋体" w:cs="Times New Roman"/>
                <w:color w:val="auto"/>
                <w:highlight w:val="none"/>
                <w:lang w:val="en-US" w:eastAsia="zh-CN"/>
              </w:rPr>
              <w:t>用于处理废气，对水质要求较低，因此</w:t>
            </w:r>
            <w:r>
              <w:rPr>
                <w:rFonts w:hint="default" w:ascii="Times New Roman" w:hAnsi="Times New Roman" w:eastAsia="宋体" w:cs="Times New Roman"/>
                <w:color w:val="auto"/>
                <w:highlight w:val="none"/>
              </w:rPr>
              <w:t>循环使用，</w:t>
            </w:r>
            <w:r>
              <w:rPr>
                <w:rFonts w:hint="default" w:ascii="Times New Roman" w:hAnsi="Times New Roman" w:eastAsia="宋体" w:cs="Times New Roman"/>
                <w:color w:val="auto"/>
                <w:highlight w:val="none"/>
                <w:lang w:val="en-US" w:eastAsia="zh-CN"/>
              </w:rPr>
              <w:t>定期补水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不外排</w:t>
            </w:r>
            <w:r>
              <w:rPr>
                <w:rFonts w:hint="default" w:ascii="Times New Roman" w:hAnsi="Times New Roman" w:eastAsia="宋体" w:cs="Times New Roman"/>
                <w:color w:val="auto"/>
                <w:highlight w:val="none"/>
                <w:lang w:val="en-US" w:eastAsia="zh-CN"/>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（2）感应炉循环冷却系统循环水</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感应炉循环冷却系统循环水排入冷却水箱内，采用风扇制冷后循环使用，不外排</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冷却系统循环水不与生产物料接触，感应炉高温致使冷却系统循环水</w:t>
            </w:r>
            <w:r>
              <w:rPr>
                <w:rFonts w:hint="default" w:ascii="Times New Roman" w:hAnsi="Times New Roman" w:eastAsia="宋体" w:cs="Times New Roman"/>
                <w:color w:val="auto"/>
                <w:highlight w:val="none"/>
              </w:rPr>
              <w:t>蒸发损失，</w:t>
            </w:r>
            <w:r>
              <w:rPr>
                <w:rFonts w:hint="default" w:ascii="Times New Roman" w:hAnsi="Times New Roman" w:eastAsia="宋体" w:cs="Times New Roman"/>
                <w:color w:val="auto"/>
                <w:highlight w:val="none"/>
                <w:lang w:val="en-US" w:eastAsia="zh-CN"/>
              </w:rPr>
              <w:t>定期补水，水质未受污染，不影响循环使用。</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）生活污水</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生活污水产生量为生活用水的80%，则生活污水的产生量为</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val="en-US" w:eastAsia="zh-CN"/>
              </w:rPr>
              <w:t>720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eastAsia="zh-CN"/>
              </w:rPr>
              <w:t>生活污水排入厂区现有化粪池处理后，经园区污水管网进入乌拉特前旗工业园区污水处理厂</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根据《给水排水设计手册（第六册）》，我国北方典型生活污水水质，确定项目生活污水产生浓度分别为COD350mg/L，BOD</w:t>
            </w:r>
            <w:r>
              <w:rPr>
                <w:rFonts w:hint="default" w:ascii="Times New Roman" w:hAnsi="Times New Roman" w:eastAsia="宋体" w:cs="Times New Roman"/>
                <w:color w:val="auto"/>
                <w:highlight w:val="none"/>
                <w:vertAlign w:val="subscript"/>
              </w:rPr>
              <w:t>5</w:t>
            </w:r>
            <w:r>
              <w:rPr>
                <w:rFonts w:hint="default" w:ascii="Times New Roman" w:hAnsi="Times New Roman" w:eastAsia="宋体" w:cs="Times New Roman"/>
                <w:color w:val="auto"/>
                <w:highlight w:val="none"/>
              </w:rPr>
              <w:t>240mg/L，SS100mg/L，氨氮35mg/L。本项目污染物产排情况见表4-</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表4-</w:t>
            </w:r>
            <w:r>
              <w:rPr>
                <w:rFonts w:hint="default" w:ascii="Times New Roman" w:hAnsi="Times New Roman" w:eastAsia="宋体" w:cs="Times New Roman"/>
                <w:b/>
                <w:bCs/>
                <w:color w:val="auto"/>
                <w:highlight w:val="none"/>
                <w:lang w:val="en-US" w:eastAsia="zh-CN"/>
              </w:rPr>
              <w:t>7</w:t>
            </w:r>
            <w:r>
              <w:rPr>
                <w:rFonts w:hint="default" w:ascii="Times New Roman" w:hAnsi="Times New Roman" w:eastAsia="宋体" w:cs="Times New Roman"/>
                <w:b/>
                <w:bCs/>
                <w:color w:val="auto"/>
                <w:highlight w:val="none"/>
              </w:rPr>
              <w:t>生活污水污染物产排情况一览表</w:t>
            </w:r>
          </w:p>
          <w:tbl>
            <w:tblPr>
              <w:tblStyle w:val="29"/>
              <w:tblW w:w="793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69"/>
              <w:gridCol w:w="1132"/>
              <w:gridCol w:w="884"/>
              <w:gridCol w:w="1296"/>
              <w:gridCol w:w="1049"/>
              <w:gridCol w:w="1303"/>
              <w:gridCol w:w="13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69" w:type="dxa"/>
                  <w:tcBorders>
                    <w:top w:val="single" w:color="auto" w:sz="4" w:space="0"/>
                    <w:left w:val="single" w:color="auto" w:sz="0"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1132"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w:t>
                  </w:r>
                </w:p>
              </w:tc>
              <w:tc>
                <w:tcPr>
                  <w:tcW w:w="884"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废水量</w:t>
                  </w:r>
                </w:p>
              </w:tc>
              <w:tc>
                <w:tcPr>
                  <w:tcW w:w="1296"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污染物名称</w:t>
                  </w:r>
                </w:p>
              </w:tc>
              <w:tc>
                <w:tcPr>
                  <w:tcW w:w="1049"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排放浓度</w:t>
                  </w:r>
                </w:p>
              </w:tc>
              <w:tc>
                <w:tcPr>
                  <w:tcW w:w="1303"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产生量（t/a）</w:t>
                  </w:r>
                </w:p>
              </w:tc>
              <w:tc>
                <w:tcPr>
                  <w:tcW w:w="1304"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69" w:type="dxa"/>
                  <w:vMerge w:val="restart"/>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1132" w:type="dxa"/>
                  <w:vMerge w:val="restart"/>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w:t>
                  </w:r>
                </w:p>
              </w:tc>
              <w:tc>
                <w:tcPr>
                  <w:tcW w:w="884" w:type="dxa"/>
                  <w:vMerge w:val="restart"/>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720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/a</w:t>
                  </w:r>
                </w:p>
              </w:tc>
              <w:tc>
                <w:tcPr>
                  <w:tcW w:w="1296"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1049"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350mg/L</w:t>
                  </w:r>
                </w:p>
              </w:tc>
              <w:tc>
                <w:tcPr>
                  <w:tcW w:w="1303"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0.252</w:t>
                  </w:r>
                </w:p>
              </w:tc>
              <w:tc>
                <w:tcPr>
                  <w:tcW w:w="1304"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0.252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69" w:type="dxa"/>
                  <w:vMerge w:val="continue"/>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2" w:type="dxa"/>
                  <w:vMerge w:val="continue"/>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96"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1049"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35mg/L</w:t>
                  </w:r>
                </w:p>
              </w:tc>
              <w:tc>
                <w:tcPr>
                  <w:tcW w:w="1303"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0.0252</w:t>
                  </w:r>
                </w:p>
              </w:tc>
              <w:tc>
                <w:tcPr>
                  <w:tcW w:w="1304"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0.0252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69" w:type="dxa"/>
                  <w:vMerge w:val="continue"/>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2" w:type="dxa"/>
                  <w:vMerge w:val="continue"/>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96"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1049"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100mg/L</w:t>
                  </w:r>
                </w:p>
              </w:tc>
              <w:tc>
                <w:tcPr>
                  <w:tcW w:w="1303"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0.072</w:t>
                  </w:r>
                </w:p>
              </w:tc>
              <w:tc>
                <w:tcPr>
                  <w:tcW w:w="1304"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0.072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69" w:type="dxa"/>
                  <w:vMerge w:val="continue"/>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32" w:type="dxa"/>
                  <w:vMerge w:val="continue"/>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84" w:type="dxa"/>
                  <w:vMerge w:val="continue"/>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96"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1049"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240mg/L</w:t>
                  </w:r>
                </w:p>
              </w:tc>
              <w:tc>
                <w:tcPr>
                  <w:tcW w:w="1303"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0.1728</w:t>
                  </w:r>
                </w:p>
              </w:tc>
              <w:tc>
                <w:tcPr>
                  <w:tcW w:w="1304" w:type="dxa"/>
                  <w:tcBorders>
                    <w:top w:val="single" w:color="auto" w:sz="4" w:space="0"/>
                    <w:left w:val="single" w:color="auto" w:sz="4" w:space="0"/>
                    <w:bottom w:val="single" w:color="auto" w:sz="4" w:space="0"/>
                    <w:right w:val="single" w:color="auto" w:sz="4" w:space="0"/>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0.1728</w:t>
                  </w:r>
                </w:p>
              </w:tc>
            </w:tr>
          </w:tbl>
          <w:p>
            <w:pPr>
              <w:pStyle w:val="17"/>
              <w:keepNext w:val="0"/>
              <w:keepLines w:val="0"/>
              <w:pageBreakBefore w:val="0"/>
              <w:widowControl/>
              <w:kinsoku/>
              <w:wordWrap/>
              <w:overflowPunct/>
              <w:topLinePunct w:val="0"/>
              <w:autoSpaceDE/>
              <w:autoSpaceDN/>
              <w:bidi w:val="0"/>
              <w:adjustRightInd/>
              <w:snapToGrid/>
              <w:spacing w:after="0" w:afterLines="0" w:line="360" w:lineRule="auto"/>
              <w:ind w:left="0" w:leftChars="0" w:right="0" w:rightChars="0" w:firstLine="482" w:firstLineChars="200"/>
              <w:textAlignment w:val="auto"/>
              <w:rPr>
                <w:rFonts w:hint="default" w:ascii="Times New Roman" w:hAnsi="Times New Roman" w:eastAsia="宋体" w:cs="Times New Roman"/>
                <w:b/>
                <w:color w:val="auto"/>
                <w:sz w:val="24"/>
                <w:szCs w:val="24"/>
                <w:highlight w:val="none"/>
                <w:lang w:eastAsia="zh-CN"/>
              </w:rPr>
            </w:pPr>
            <w:r>
              <w:rPr>
                <w:rFonts w:hint="default" w:ascii="Times New Roman" w:hAnsi="Times New Roman" w:eastAsia="宋体" w:cs="Times New Roman"/>
                <w:b/>
                <w:color w:val="auto"/>
                <w:sz w:val="24"/>
                <w:szCs w:val="24"/>
                <w:highlight w:val="none"/>
                <w:lang w:val="en-US" w:eastAsia="zh-CN"/>
              </w:rPr>
              <w:t>2.2</w:t>
            </w:r>
            <w:r>
              <w:rPr>
                <w:rFonts w:hint="default" w:ascii="Times New Roman" w:hAnsi="Times New Roman" w:eastAsia="宋体" w:cs="Times New Roman"/>
                <w:b/>
                <w:color w:val="auto"/>
                <w:sz w:val="24"/>
                <w:szCs w:val="24"/>
                <w:highlight w:val="none"/>
              </w:rPr>
              <w:t>依托污水处理设施的可行性</w:t>
            </w:r>
            <w:r>
              <w:rPr>
                <w:rFonts w:hint="default" w:ascii="Times New Roman" w:hAnsi="Times New Roman" w:eastAsia="宋体" w:cs="Times New Roman"/>
                <w:b/>
                <w:color w:val="auto"/>
                <w:sz w:val="24"/>
                <w:szCs w:val="24"/>
                <w:highlight w:val="none"/>
                <w:lang w:eastAsia="zh-CN"/>
              </w:rPr>
              <w:t>分析</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乌拉特前旗污水处理厂（一期工程）设计日处理能力为2万m³/d，采用多级A/O浮链式微孔曝气处理工艺，出水的水质达到《城市污水处理厂污染物排放标准》（GB18918-2002）“一级标准A标准”，由利源公司供矿山企业使用和乌毛计湿地消纳，2010年巴彦淖尔市环境保护局以巴环发〔2010〕245号文对该工程进行了环保验收。</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2019年乌拉特前旗住房和城乡建设局启动了乌拉特前旗污水处理厂扩建工程，新建污水处理能2万t/d污水处理厂一座，污水处理工艺为二级处理采用“A</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O生物池”处理工艺；深度处理采用“反硝化深床滤池间+磁混凝沉淀池+纤维转盘滤池”处理工艺；污泥处理工艺为“浓缩池+叠螺脱水机”；除盐工艺采用“反渗透处理工艺”，出水《城市污水处理厂污染物排放标准》（GB18918-2002）“一级标准A标准”及《城市污水再生利用工业用水水质》（GB/T19923-2005），部分输送至内蒙古利源供水有限责任公司用于洗选用水，部分输送至北方联合电力有限责任公司乌拉特发电厂用于生产用水，2019年4月8日乌拉特前旗环保局以《乌拉特前旗污水处理厂改造工程建设项目环境影响报告表审批意见》（乌环表〔2019〕13号）对该扩建工程环境影响报告表进行了批复，该项目目前已经完成环保自主验收投入运行。</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本项目生活污水产生量较少，仅为2.4m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szCs w:val="24"/>
                <w:highlight w:val="none"/>
                <w:lang w:eastAsia="zh-CN"/>
              </w:rPr>
              <w:t>d</w:t>
            </w:r>
            <w:r>
              <w:rPr>
                <w:rFonts w:hint="default" w:ascii="Times New Roman" w:hAnsi="Times New Roman" w:eastAsia="宋体" w:cs="Times New Roman"/>
                <w:color w:val="auto"/>
                <w:sz w:val="24"/>
                <w:szCs w:val="24"/>
                <w:highlight w:val="none"/>
                <w:lang w:val="en-US" w:eastAsia="zh-CN"/>
              </w:rPr>
              <w:t>，目前乌拉特前旗污水处理厂处理污水日负荷为1.7万t，余量0.3万t/d，完全能够处理本项目产生的废水。</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b/>
                <w:bCs/>
                <w:color w:val="auto"/>
                <w:spacing w:val="-10"/>
                <w:szCs w:val="21"/>
                <w:highlight w:val="none"/>
              </w:rPr>
            </w:pPr>
            <w:r>
              <w:rPr>
                <w:rFonts w:hint="default" w:ascii="Times New Roman" w:hAnsi="Times New Roman" w:eastAsia="宋体" w:cs="Times New Roman"/>
                <w:color w:val="auto"/>
                <w:sz w:val="24"/>
                <w:szCs w:val="24"/>
                <w:highlight w:val="none"/>
                <w:lang w:val="en-US" w:eastAsia="zh-CN"/>
              </w:rPr>
              <w:t>综上，本项目生活污水依托乌拉特前旗污水处理厂是可行的。</w:t>
            </w:r>
          </w:p>
          <w:p>
            <w:pPr>
              <w:keepNext w:val="0"/>
              <w:keepLines w:val="0"/>
              <w:pageBreakBefore w:val="0"/>
              <w:widowControl/>
              <w:kinsoku/>
              <w:wordWrap/>
              <w:overflowPunct/>
              <w:topLinePunct w:val="0"/>
              <w:autoSpaceDE/>
              <w:autoSpaceDN/>
              <w:bidi w:val="0"/>
              <w:adjustRightInd/>
              <w:snapToGrid/>
              <w:ind w:left="0" w:leftChars="0" w:firstLine="442" w:firstLineChars="200"/>
              <w:textAlignment w:val="auto"/>
              <w:rPr>
                <w:rFonts w:hint="default" w:ascii="Times New Roman" w:hAnsi="Times New Roman" w:eastAsia="宋体" w:cs="Times New Roman"/>
                <w:b/>
                <w:bCs/>
                <w:color w:val="auto"/>
                <w:spacing w:val="-10"/>
                <w:szCs w:val="21"/>
                <w:highlight w:val="none"/>
              </w:rPr>
            </w:pPr>
            <w:r>
              <w:rPr>
                <w:rFonts w:hint="default" w:ascii="Times New Roman" w:hAnsi="Times New Roman" w:eastAsia="宋体" w:cs="Times New Roman"/>
                <w:b/>
                <w:bCs/>
                <w:color w:val="auto"/>
                <w:spacing w:val="-10"/>
                <w:szCs w:val="21"/>
                <w:highlight w:val="none"/>
              </w:rPr>
              <w:t>3、噪声环境影响分析及防治措施</w:t>
            </w:r>
          </w:p>
          <w:p>
            <w:pPr>
              <w:keepNext w:val="0"/>
              <w:keepLines w:val="0"/>
              <w:pageBreakBefore w:val="0"/>
              <w:widowControl/>
              <w:kinsoku/>
              <w:wordWrap/>
              <w:overflowPunct/>
              <w:topLinePunct w:val="0"/>
              <w:autoSpaceDE/>
              <w:autoSpaceDN/>
              <w:bidi w:val="0"/>
              <w:adjustRightInd/>
              <w:snapToGrid/>
              <w:ind w:left="0" w:leftChars="0" w:firstLine="442" w:firstLineChars="200"/>
              <w:textAlignment w:val="auto"/>
              <w:rPr>
                <w:rFonts w:hint="default" w:ascii="Times New Roman" w:hAnsi="Times New Roman" w:eastAsia="宋体" w:cs="Times New Roman"/>
                <w:b/>
                <w:bCs/>
                <w:color w:val="auto"/>
                <w:spacing w:val="-10"/>
                <w:szCs w:val="21"/>
                <w:highlight w:val="none"/>
              </w:rPr>
            </w:pPr>
            <w:r>
              <w:rPr>
                <w:rFonts w:hint="default" w:ascii="Times New Roman" w:hAnsi="Times New Roman" w:eastAsia="宋体" w:cs="Times New Roman"/>
                <w:b/>
                <w:bCs/>
                <w:color w:val="auto"/>
                <w:spacing w:val="-10"/>
                <w:szCs w:val="21"/>
                <w:highlight w:val="none"/>
              </w:rPr>
              <w:t>3.1噪声源强分析</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本项目运营期产生的主要声源为</w:t>
            </w:r>
            <w:r>
              <w:rPr>
                <w:rFonts w:hint="default" w:ascii="Times New Roman" w:hAnsi="Times New Roman" w:eastAsia="宋体" w:cs="Times New Roman"/>
                <w:color w:val="auto"/>
                <w:highlight w:val="none"/>
                <w:lang w:eastAsia="zh-CN"/>
              </w:rPr>
              <w:t>感应炉</w:t>
            </w:r>
            <w:r>
              <w:rPr>
                <w:rFonts w:hint="default" w:ascii="Times New Roman" w:hAnsi="Times New Roman" w:eastAsia="宋体" w:cs="Times New Roman"/>
                <w:color w:val="auto"/>
                <w:highlight w:val="none"/>
              </w:rPr>
              <w:t>、空压机、水泵和风机设备噪声，本项目设备源强在70-90dB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左右。为使项目运营期噪声影响降到最低，项目</w:t>
            </w:r>
            <w:r>
              <w:rPr>
                <w:rFonts w:hint="default" w:ascii="Times New Roman" w:hAnsi="Times New Roman" w:eastAsia="宋体" w:cs="Times New Roman"/>
                <w:color w:val="auto"/>
                <w:highlight w:val="none"/>
                <w:lang w:val="en-US" w:eastAsia="zh-CN"/>
              </w:rPr>
              <w:t>生产</w:t>
            </w:r>
            <w:r>
              <w:rPr>
                <w:rFonts w:hint="default" w:ascii="Times New Roman" w:hAnsi="Times New Roman" w:eastAsia="宋体" w:cs="Times New Roman"/>
                <w:color w:val="auto"/>
                <w:highlight w:val="none"/>
              </w:rPr>
              <w:t>设备均设于室内，做全封闭隔声同时进行减振处理，降噪值可达25dB（A）以上，设备噪声源值见表4-</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表4-</w:t>
            </w:r>
            <w:r>
              <w:rPr>
                <w:rFonts w:hint="default" w:ascii="Times New Roman" w:hAnsi="Times New Roman" w:eastAsia="宋体" w:cs="Times New Roman"/>
                <w:b/>
                <w:bCs/>
                <w:color w:val="auto"/>
                <w:highlight w:val="none"/>
                <w:lang w:val="en-US" w:eastAsia="zh-CN"/>
              </w:rPr>
              <w:t>8</w:t>
            </w:r>
            <w:r>
              <w:rPr>
                <w:rFonts w:hint="default" w:ascii="Times New Roman" w:hAnsi="Times New Roman" w:eastAsia="宋体" w:cs="Times New Roman"/>
                <w:b/>
                <w:bCs/>
                <w:color w:val="auto"/>
                <w:highlight w:val="none"/>
              </w:rPr>
              <w:t>设备噪声源值表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2"/>
              <w:gridCol w:w="535"/>
              <w:gridCol w:w="672"/>
              <w:gridCol w:w="569"/>
              <w:gridCol w:w="604"/>
              <w:gridCol w:w="604"/>
              <w:gridCol w:w="610"/>
              <w:gridCol w:w="521"/>
              <w:gridCol w:w="583"/>
              <w:gridCol w:w="730"/>
              <w:gridCol w:w="743"/>
              <w:gridCol w:w="615"/>
              <w:gridCol w:w="6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Merge w:val="restart"/>
                  <w:tcBorders>
                    <w:top w:val="single" w:color="auto" w:sz="4" w:space="0"/>
                    <w:left w:val="single" w:color="auto" w:sz="0"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bookmarkStart w:id="9" w:name="PT_6"/>
                  <w:r>
                    <w:rPr>
                      <w:rFonts w:hint="default" w:ascii="Times New Roman" w:hAnsi="Times New Roman" w:eastAsia="宋体" w:cs="Times New Roman"/>
                      <w:b/>
                      <w:bCs/>
                      <w:color w:val="auto"/>
                      <w:sz w:val="21"/>
                      <w:szCs w:val="20"/>
                      <w:highlight w:val="none"/>
                    </w:rPr>
                    <w:t>序号</w:t>
                  </w:r>
                </w:p>
              </w:tc>
              <w:tc>
                <w:tcPr>
                  <w:tcW w:w="342" w:type="pct"/>
                  <w:vMerge w:val="restart"/>
                  <w:tcBorders>
                    <w:top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声源名称</w:t>
                  </w:r>
                </w:p>
              </w:tc>
              <w:tc>
                <w:tcPr>
                  <w:tcW w:w="429" w:type="pct"/>
                  <w:tcBorders>
                    <w:top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声源源强</w:t>
                  </w:r>
                </w:p>
              </w:tc>
              <w:tc>
                <w:tcPr>
                  <w:tcW w:w="364" w:type="pct"/>
                  <w:vMerge w:val="restart"/>
                  <w:tcBorders>
                    <w:top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声源控制措施</w:t>
                  </w:r>
                </w:p>
              </w:tc>
              <w:tc>
                <w:tcPr>
                  <w:tcW w:w="1162" w:type="pct"/>
                  <w:gridSpan w:val="3"/>
                  <w:tcBorders>
                    <w:top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空间相对位置/m</w:t>
                  </w:r>
                </w:p>
              </w:tc>
              <w:tc>
                <w:tcPr>
                  <w:tcW w:w="333" w:type="pct"/>
                  <w:vMerge w:val="restart"/>
                  <w:tcBorders>
                    <w:top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距室内边界距离/m</w:t>
                  </w:r>
                </w:p>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p>
              </w:tc>
              <w:tc>
                <w:tcPr>
                  <w:tcW w:w="373" w:type="pct"/>
                  <w:vMerge w:val="restart"/>
                  <w:tcBorders>
                    <w:top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室内边界声级/dB</w:t>
                  </w:r>
                  <w:r>
                    <w:rPr>
                      <w:rFonts w:hint="default" w:ascii="Times New Roman" w:hAnsi="Times New Roman" w:eastAsia="宋体" w:cs="Times New Roman"/>
                      <w:b/>
                      <w:bCs/>
                      <w:color w:val="auto"/>
                      <w:sz w:val="21"/>
                      <w:szCs w:val="20"/>
                      <w:highlight w:val="none"/>
                      <w:lang w:eastAsia="zh-CN"/>
                    </w:rPr>
                    <w:t>（</w:t>
                  </w:r>
                  <w:r>
                    <w:rPr>
                      <w:rFonts w:hint="default" w:ascii="Times New Roman" w:hAnsi="Times New Roman" w:eastAsia="宋体" w:cs="Times New Roman"/>
                      <w:b/>
                      <w:bCs/>
                      <w:color w:val="auto"/>
                      <w:sz w:val="21"/>
                      <w:szCs w:val="20"/>
                      <w:highlight w:val="none"/>
                    </w:rPr>
                    <w:t>A</w:t>
                  </w:r>
                  <w:r>
                    <w:rPr>
                      <w:rFonts w:hint="eastAsia" w:cs="Times New Roman"/>
                      <w:b/>
                      <w:bCs/>
                      <w:color w:val="auto"/>
                      <w:sz w:val="21"/>
                      <w:szCs w:val="20"/>
                      <w:highlight w:val="none"/>
                      <w:lang w:eastAsia="zh-CN"/>
                    </w:rPr>
                    <w:t>）</w:t>
                  </w:r>
                </w:p>
              </w:tc>
              <w:tc>
                <w:tcPr>
                  <w:tcW w:w="467" w:type="pct"/>
                  <w:vMerge w:val="restart"/>
                  <w:tcBorders>
                    <w:top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运行时段</w:t>
                  </w:r>
                </w:p>
              </w:tc>
              <w:tc>
                <w:tcPr>
                  <w:tcW w:w="475" w:type="pct"/>
                  <w:vMerge w:val="restart"/>
                  <w:tcBorders>
                    <w:top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建筑物插入损失/dB</w:t>
                  </w:r>
                  <w:r>
                    <w:rPr>
                      <w:rFonts w:hint="default" w:ascii="Times New Roman" w:hAnsi="Times New Roman" w:eastAsia="宋体" w:cs="Times New Roman"/>
                      <w:b/>
                      <w:bCs/>
                      <w:color w:val="auto"/>
                      <w:sz w:val="21"/>
                      <w:szCs w:val="20"/>
                      <w:highlight w:val="none"/>
                      <w:lang w:eastAsia="zh-CN"/>
                    </w:rPr>
                    <w:t>（</w:t>
                  </w:r>
                  <w:r>
                    <w:rPr>
                      <w:rFonts w:hint="default" w:ascii="Times New Roman" w:hAnsi="Times New Roman" w:eastAsia="宋体" w:cs="Times New Roman"/>
                      <w:b/>
                      <w:bCs/>
                      <w:color w:val="auto"/>
                      <w:sz w:val="21"/>
                      <w:szCs w:val="20"/>
                      <w:highlight w:val="none"/>
                    </w:rPr>
                    <w:t>A</w:t>
                  </w:r>
                  <w:r>
                    <w:rPr>
                      <w:rFonts w:hint="eastAsia" w:cs="Times New Roman"/>
                      <w:b/>
                      <w:bCs/>
                      <w:color w:val="auto"/>
                      <w:sz w:val="21"/>
                      <w:szCs w:val="20"/>
                      <w:highlight w:val="none"/>
                      <w:lang w:eastAsia="zh-CN"/>
                    </w:rPr>
                    <w:t>）</w:t>
                  </w:r>
                  <w:bookmarkStart w:id="10" w:name="PT_10"/>
                  <w:bookmarkEnd w:id="10"/>
                </w:p>
              </w:tc>
              <w:tc>
                <w:tcPr>
                  <w:tcW w:w="785" w:type="pct"/>
                  <w:gridSpan w:val="2"/>
                  <w:tcBorders>
                    <w:top w:val="single" w:color="auto" w:sz="4" w:space="0"/>
                    <w:righ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建筑物外噪声声压级/dB</w:t>
                  </w:r>
                  <w:r>
                    <w:rPr>
                      <w:rFonts w:hint="default" w:ascii="Times New Roman" w:hAnsi="Times New Roman" w:eastAsia="宋体" w:cs="Times New Roman"/>
                      <w:b/>
                      <w:bCs/>
                      <w:color w:val="auto"/>
                      <w:sz w:val="21"/>
                      <w:szCs w:val="20"/>
                      <w:highlight w:val="none"/>
                      <w:lang w:eastAsia="zh-CN"/>
                    </w:rPr>
                    <w:t>（</w:t>
                  </w:r>
                  <w:r>
                    <w:rPr>
                      <w:rFonts w:hint="default" w:ascii="Times New Roman" w:hAnsi="Times New Roman" w:eastAsia="宋体" w:cs="Times New Roman"/>
                      <w:b/>
                      <w:bCs/>
                      <w:color w:val="auto"/>
                      <w:sz w:val="21"/>
                      <w:szCs w:val="20"/>
                      <w:highlight w:val="none"/>
                    </w:rPr>
                    <w:t>A</w:t>
                  </w:r>
                  <w:r>
                    <w:rPr>
                      <w:rFonts w:hint="eastAsia" w:cs="Times New Roman"/>
                      <w:b/>
                      <w:bCs/>
                      <w:color w:val="auto"/>
                      <w:sz w:val="21"/>
                      <w:szCs w:val="20"/>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vMerge w:val="continue"/>
                  <w:tcBorders>
                    <w:lef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p>
              </w:tc>
              <w:tc>
                <w:tcPr>
                  <w:tcW w:w="342" w:type="pct"/>
                  <w:vMerge w:val="continue"/>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p>
              </w:tc>
              <w:tc>
                <w:tcPr>
                  <w:tcW w:w="429"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声功率级/dB</w:t>
                  </w:r>
                  <w:r>
                    <w:rPr>
                      <w:rFonts w:hint="default" w:ascii="Times New Roman" w:hAnsi="Times New Roman" w:eastAsia="宋体" w:cs="Times New Roman"/>
                      <w:b/>
                      <w:bCs/>
                      <w:color w:val="auto"/>
                      <w:sz w:val="21"/>
                      <w:szCs w:val="20"/>
                      <w:highlight w:val="none"/>
                      <w:lang w:eastAsia="zh-CN"/>
                    </w:rPr>
                    <w:t>（</w:t>
                  </w:r>
                  <w:r>
                    <w:rPr>
                      <w:rFonts w:hint="default" w:ascii="Times New Roman" w:hAnsi="Times New Roman" w:eastAsia="宋体" w:cs="Times New Roman"/>
                      <w:b/>
                      <w:bCs/>
                      <w:color w:val="auto"/>
                      <w:sz w:val="21"/>
                      <w:szCs w:val="20"/>
                      <w:highlight w:val="none"/>
                    </w:rPr>
                    <w:t>A</w:t>
                  </w:r>
                  <w:r>
                    <w:rPr>
                      <w:rFonts w:hint="eastAsia" w:cs="Times New Roman"/>
                      <w:b/>
                      <w:bCs/>
                      <w:color w:val="auto"/>
                      <w:sz w:val="21"/>
                      <w:szCs w:val="20"/>
                      <w:highlight w:val="none"/>
                      <w:lang w:eastAsia="zh-CN"/>
                    </w:rPr>
                    <w:t>）</w:t>
                  </w:r>
                </w:p>
              </w:tc>
              <w:tc>
                <w:tcPr>
                  <w:tcW w:w="364" w:type="pct"/>
                  <w:vMerge w:val="continue"/>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X</w:t>
                  </w: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Y</w:t>
                  </w:r>
                </w:p>
              </w:tc>
              <w:tc>
                <w:tcPr>
                  <w:tcW w:w="390"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Z</w:t>
                  </w:r>
                </w:p>
              </w:tc>
              <w:tc>
                <w:tcPr>
                  <w:tcW w:w="333" w:type="pct"/>
                  <w:vMerge w:val="continue"/>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p>
              </w:tc>
              <w:tc>
                <w:tcPr>
                  <w:tcW w:w="373" w:type="pct"/>
                  <w:vMerge w:val="continue"/>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p>
              </w:tc>
              <w:tc>
                <w:tcPr>
                  <w:tcW w:w="467" w:type="pct"/>
                  <w:vMerge w:val="continue"/>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p>
              </w:tc>
              <w:tc>
                <w:tcPr>
                  <w:tcW w:w="475" w:type="pct"/>
                  <w:vMerge w:val="continue"/>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p>
              </w:tc>
              <w:tc>
                <w:tcPr>
                  <w:tcW w:w="39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声功率级/dB</w:t>
                  </w:r>
                  <w:r>
                    <w:rPr>
                      <w:rFonts w:hint="default" w:ascii="Times New Roman" w:hAnsi="Times New Roman" w:eastAsia="宋体" w:cs="Times New Roman"/>
                      <w:b/>
                      <w:bCs/>
                      <w:color w:val="auto"/>
                      <w:sz w:val="21"/>
                      <w:szCs w:val="20"/>
                      <w:highlight w:val="none"/>
                      <w:lang w:eastAsia="zh-CN"/>
                    </w:rPr>
                    <w:t>（</w:t>
                  </w:r>
                  <w:r>
                    <w:rPr>
                      <w:rFonts w:hint="default" w:ascii="Times New Roman" w:hAnsi="Times New Roman" w:eastAsia="宋体" w:cs="Times New Roman"/>
                      <w:b/>
                      <w:bCs/>
                      <w:color w:val="auto"/>
                      <w:sz w:val="21"/>
                      <w:szCs w:val="20"/>
                      <w:highlight w:val="none"/>
                    </w:rPr>
                    <w:t>A</w:t>
                  </w:r>
                  <w:r>
                    <w:rPr>
                      <w:rFonts w:hint="eastAsia" w:cs="Times New Roman"/>
                      <w:b/>
                      <w:bCs/>
                      <w:color w:val="auto"/>
                      <w:sz w:val="21"/>
                      <w:szCs w:val="20"/>
                      <w:highlight w:val="none"/>
                      <w:lang w:eastAsia="zh-CN"/>
                    </w:rPr>
                    <w:t>）</w:t>
                  </w:r>
                </w:p>
              </w:tc>
              <w:tc>
                <w:tcPr>
                  <w:tcW w:w="392" w:type="pct"/>
                  <w:tcBorders>
                    <w:righ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建筑物外距离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tcBorders>
                    <w:lef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342"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风机</w:t>
                  </w:r>
                </w:p>
              </w:tc>
              <w:tc>
                <w:tcPr>
                  <w:tcW w:w="429"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90</w:t>
                  </w:r>
                </w:p>
              </w:tc>
              <w:tc>
                <w:tcPr>
                  <w:tcW w:w="364" w:type="pct"/>
                  <w:vMerge w:val="restar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全封闭构筑物、低噪声设备，基础减振</w:t>
                  </w: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-50.2</w:t>
                  </w: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40.1</w:t>
                  </w:r>
                </w:p>
              </w:tc>
              <w:tc>
                <w:tcPr>
                  <w:tcW w:w="390"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33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106.7</w:t>
                  </w:r>
                </w:p>
              </w:tc>
              <w:tc>
                <w:tcPr>
                  <w:tcW w:w="37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71.6</w:t>
                  </w:r>
                </w:p>
              </w:tc>
              <w:tc>
                <w:tcPr>
                  <w:tcW w:w="467"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昼夜</w:t>
                  </w:r>
                </w:p>
              </w:tc>
              <w:tc>
                <w:tcPr>
                  <w:tcW w:w="475"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41.0</w:t>
                  </w:r>
                </w:p>
              </w:tc>
              <w:tc>
                <w:tcPr>
                  <w:tcW w:w="39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30.6</w:t>
                  </w:r>
                </w:p>
              </w:tc>
              <w:tc>
                <w:tcPr>
                  <w:tcW w:w="392" w:type="pct"/>
                  <w:tcBorders>
                    <w:righ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tcBorders>
                    <w:lef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w:t>
                  </w:r>
                </w:p>
              </w:tc>
              <w:tc>
                <w:tcPr>
                  <w:tcW w:w="342"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空压机2</w:t>
                  </w:r>
                </w:p>
              </w:tc>
              <w:tc>
                <w:tcPr>
                  <w:tcW w:w="429"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85</w:t>
                  </w:r>
                </w:p>
              </w:tc>
              <w:tc>
                <w:tcPr>
                  <w:tcW w:w="364" w:type="pct"/>
                  <w:vMerge w:val="continue"/>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23.4</w:t>
                  </w: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51</w:t>
                  </w:r>
                </w:p>
              </w:tc>
              <w:tc>
                <w:tcPr>
                  <w:tcW w:w="390"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33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32.4</w:t>
                  </w:r>
                </w:p>
              </w:tc>
              <w:tc>
                <w:tcPr>
                  <w:tcW w:w="37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66.6</w:t>
                  </w:r>
                </w:p>
              </w:tc>
              <w:tc>
                <w:tcPr>
                  <w:tcW w:w="467"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昼夜</w:t>
                  </w:r>
                </w:p>
              </w:tc>
              <w:tc>
                <w:tcPr>
                  <w:tcW w:w="475"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41.0</w:t>
                  </w:r>
                </w:p>
              </w:tc>
              <w:tc>
                <w:tcPr>
                  <w:tcW w:w="39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25.6</w:t>
                  </w:r>
                </w:p>
              </w:tc>
              <w:tc>
                <w:tcPr>
                  <w:tcW w:w="392" w:type="pct"/>
                  <w:tcBorders>
                    <w:righ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tcBorders>
                    <w:lef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w:t>
                  </w:r>
                </w:p>
              </w:tc>
              <w:tc>
                <w:tcPr>
                  <w:tcW w:w="342"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空压机1</w:t>
                  </w:r>
                </w:p>
              </w:tc>
              <w:tc>
                <w:tcPr>
                  <w:tcW w:w="429"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85</w:t>
                  </w:r>
                </w:p>
              </w:tc>
              <w:tc>
                <w:tcPr>
                  <w:tcW w:w="364" w:type="pct"/>
                  <w:vMerge w:val="continue"/>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w:t>
                  </w: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50.6</w:t>
                  </w:r>
                </w:p>
              </w:tc>
              <w:tc>
                <w:tcPr>
                  <w:tcW w:w="390"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33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45.8</w:t>
                  </w:r>
                </w:p>
              </w:tc>
              <w:tc>
                <w:tcPr>
                  <w:tcW w:w="37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66.6</w:t>
                  </w:r>
                </w:p>
              </w:tc>
              <w:tc>
                <w:tcPr>
                  <w:tcW w:w="467"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昼夜</w:t>
                  </w:r>
                </w:p>
              </w:tc>
              <w:tc>
                <w:tcPr>
                  <w:tcW w:w="475"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41.0</w:t>
                  </w:r>
                </w:p>
              </w:tc>
              <w:tc>
                <w:tcPr>
                  <w:tcW w:w="39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25.6</w:t>
                  </w:r>
                </w:p>
              </w:tc>
              <w:tc>
                <w:tcPr>
                  <w:tcW w:w="392" w:type="pct"/>
                  <w:tcBorders>
                    <w:righ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tcBorders>
                    <w:lef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w:t>
                  </w:r>
                </w:p>
              </w:tc>
              <w:tc>
                <w:tcPr>
                  <w:tcW w:w="342"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lang w:eastAsia="zh-CN"/>
                    </w:rPr>
                    <w:t>感应炉</w:t>
                  </w:r>
                  <w:r>
                    <w:rPr>
                      <w:rFonts w:hint="default" w:ascii="Times New Roman" w:hAnsi="Times New Roman" w:eastAsia="宋体" w:cs="Times New Roman"/>
                      <w:color w:val="auto"/>
                      <w:sz w:val="21"/>
                      <w:szCs w:val="20"/>
                      <w:highlight w:val="none"/>
                    </w:rPr>
                    <w:t>3</w:t>
                  </w:r>
                </w:p>
              </w:tc>
              <w:tc>
                <w:tcPr>
                  <w:tcW w:w="429"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90</w:t>
                  </w:r>
                </w:p>
              </w:tc>
              <w:tc>
                <w:tcPr>
                  <w:tcW w:w="364" w:type="pct"/>
                  <w:vMerge w:val="continue"/>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-39.7</w:t>
                  </w: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27</w:t>
                  </w:r>
                </w:p>
              </w:tc>
              <w:tc>
                <w:tcPr>
                  <w:tcW w:w="390"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33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97.1</w:t>
                  </w:r>
                </w:p>
              </w:tc>
              <w:tc>
                <w:tcPr>
                  <w:tcW w:w="37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71.6</w:t>
                  </w:r>
                </w:p>
              </w:tc>
              <w:tc>
                <w:tcPr>
                  <w:tcW w:w="467"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昼夜</w:t>
                  </w:r>
                </w:p>
              </w:tc>
              <w:tc>
                <w:tcPr>
                  <w:tcW w:w="475"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41.0</w:t>
                  </w:r>
                </w:p>
              </w:tc>
              <w:tc>
                <w:tcPr>
                  <w:tcW w:w="39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30.6</w:t>
                  </w:r>
                </w:p>
              </w:tc>
              <w:tc>
                <w:tcPr>
                  <w:tcW w:w="392" w:type="pct"/>
                  <w:tcBorders>
                    <w:righ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tcBorders>
                    <w:lef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w:t>
                  </w:r>
                </w:p>
              </w:tc>
              <w:tc>
                <w:tcPr>
                  <w:tcW w:w="342"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lang w:eastAsia="zh-CN"/>
                    </w:rPr>
                    <w:t>感应炉</w:t>
                  </w:r>
                  <w:r>
                    <w:rPr>
                      <w:rFonts w:hint="default" w:ascii="Times New Roman" w:hAnsi="Times New Roman" w:eastAsia="宋体" w:cs="Times New Roman"/>
                      <w:color w:val="auto"/>
                      <w:sz w:val="21"/>
                      <w:szCs w:val="20"/>
                      <w:highlight w:val="none"/>
                    </w:rPr>
                    <w:t>2</w:t>
                  </w:r>
                </w:p>
              </w:tc>
              <w:tc>
                <w:tcPr>
                  <w:tcW w:w="429"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90</w:t>
                  </w:r>
                </w:p>
              </w:tc>
              <w:tc>
                <w:tcPr>
                  <w:tcW w:w="364" w:type="pct"/>
                  <w:vMerge w:val="continue"/>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-39.3</w:t>
                  </w: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36.8</w:t>
                  </w:r>
                </w:p>
              </w:tc>
              <w:tc>
                <w:tcPr>
                  <w:tcW w:w="390"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33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96.0</w:t>
                  </w:r>
                </w:p>
              </w:tc>
              <w:tc>
                <w:tcPr>
                  <w:tcW w:w="37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71.6</w:t>
                  </w:r>
                </w:p>
              </w:tc>
              <w:tc>
                <w:tcPr>
                  <w:tcW w:w="467"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昼夜</w:t>
                  </w:r>
                </w:p>
              </w:tc>
              <w:tc>
                <w:tcPr>
                  <w:tcW w:w="475"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41.0</w:t>
                  </w:r>
                </w:p>
              </w:tc>
              <w:tc>
                <w:tcPr>
                  <w:tcW w:w="39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30.6</w:t>
                  </w:r>
                </w:p>
              </w:tc>
              <w:tc>
                <w:tcPr>
                  <w:tcW w:w="392" w:type="pct"/>
                  <w:tcBorders>
                    <w:righ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tcBorders>
                    <w:lef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w:t>
                  </w:r>
                </w:p>
              </w:tc>
              <w:tc>
                <w:tcPr>
                  <w:tcW w:w="342"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lang w:eastAsia="zh-CN"/>
                    </w:rPr>
                    <w:t>感应炉</w:t>
                  </w:r>
                  <w:r>
                    <w:rPr>
                      <w:rFonts w:hint="default" w:ascii="Times New Roman" w:hAnsi="Times New Roman" w:eastAsia="宋体" w:cs="Times New Roman"/>
                      <w:color w:val="auto"/>
                      <w:sz w:val="21"/>
                      <w:szCs w:val="20"/>
                      <w:highlight w:val="none"/>
                    </w:rPr>
                    <w:t>1</w:t>
                  </w:r>
                </w:p>
              </w:tc>
              <w:tc>
                <w:tcPr>
                  <w:tcW w:w="429"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90</w:t>
                  </w:r>
                </w:p>
              </w:tc>
              <w:tc>
                <w:tcPr>
                  <w:tcW w:w="364" w:type="pct"/>
                  <w:vMerge w:val="continue"/>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-40.8</w:t>
                  </w: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47</w:t>
                  </w:r>
                </w:p>
              </w:tc>
              <w:tc>
                <w:tcPr>
                  <w:tcW w:w="390"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33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96.8</w:t>
                  </w:r>
                </w:p>
              </w:tc>
              <w:tc>
                <w:tcPr>
                  <w:tcW w:w="37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71.6</w:t>
                  </w:r>
                </w:p>
              </w:tc>
              <w:tc>
                <w:tcPr>
                  <w:tcW w:w="467"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昼夜</w:t>
                  </w:r>
                </w:p>
              </w:tc>
              <w:tc>
                <w:tcPr>
                  <w:tcW w:w="475"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41.0</w:t>
                  </w:r>
                </w:p>
              </w:tc>
              <w:tc>
                <w:tcPr>
                  <w:tcW w:w="39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30.6</w:t>
                  </w:r>
                </w:p>
              </w:tc>
              <w:tc>
                <w:tcPr>
                  <w:tcW w:w="392" w:type="pct"/>
                  <w:tcBorders>
                    <w:righ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tcBorders>
                    <w:lef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w:t>
                  </w:r>
                </w:p>
              </w:tc>
              <w:tc>
                <w:tcPr>
                  <w:tcW w:w="342"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水泵</w:t>
                  </w:r>
                </w:p>
              </w:tc>
              <w:tc>
                <w:tcPr>
                  <w:tcW w:w="429"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70</w:t>
                  </w:r>
                </w:p>
              </w:tc>
              <w:tc>
                <w:tcPr>
                  <w:tcW w:w="364" w:type="pct"/>
                  <w:vMerge w:val="continue"/>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35.8</w:t>
                  </w:r>
                </w:p>
              </w:tc>
              <w:tc>
                <w:tcPr>
                  <w:tcW w:w="386"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22.3</w:t>
                  </w:r>
                </w:p>
              </w:tc>
              <w:tc>
                <w:tcPr>
                  <w:tcW w:w="390"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33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22.1</w:t>
                  </w:r>
                </w:p>
              </w:tc>
              <w:tc>
                <w:tcPr>
                  <w:tcW w:w="37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51.7</w:t>
                  </w:r>
                </w:p>
              </w:tc>
              <w:tc>
                <w:tcPr>
                  <w:tcW w:w="467"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昼夜</w:t>
                  </w:r>
                </w:p>
              </w:tc>
              <w:tc>
                <w:tcPr>
                  <w:tcW w:w="475"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41.0</w:t>
                  </w:r>
                </w:p>
              </w:tc>
              <w:tc>
                <w:tcPr>
                  <w:tcW w:w="393" w:type="pct"/>
                  <w:tcBorders>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10.7</w:t>
                  </w:r>
                </w:p>
              </w:tc>
              <w:tc>
                <w:tcPr>
                  <w:tcW w:w="392" w:type="pct"/>
                  <w:tcBorders>
                    <w:righ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0" w:type="pct"/>
                  <w:tcBorders>
                    <w:left w:val="single" w:color="auto" w:sz="4" w:space="0"/>
                    <w:bottom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8</w:t>
                  </w:r>
                </w:p>
              </w:tc>
              <w:tc>
                <w:tcPr>
                  <w:tcW w:w="342" w:type="pct"/>
                  <w:tcBorders>
                    <w:bottom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烘干机</w:t>
                  </w:r>
                </w:p>
              </w:tc>
              <w:tc>
                <w:tcPr>
                  <w:tcW w:w="429" w:type="pct"/>
                  <w:tcBorders>
                    <w:bottom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70</w:t>
                  </w:r>
                </w:p>
              </w:tc>
              <w:tc>
                <w:tcPr>
                  <w:tcW w:w="364" w:type="pct"/>
                  <w:vMerge w:val="continue"/>
                  <w:tcBorders>
                    <w:bottom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386" w:type="pct"/>
                  <w:tcBorders>
                    <w:bottom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35.8</w:t>
                  </w:r>
                </w:p>
              </w:tc>
              <w:tc>
                <w:tcPr>
                  <w:tcW w:w="386" w:type="pct"/>
                  <w:tcBorders>
                    <w:bottom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22.3</w:t>
                  </w:r>
                </w:p>
              </w:tc>
              <w:tc>
                <w:tcPr>
                  <w:tcW w:w="390" w:type="pct"/>
                  <w:tcBorders>
                    <w:bottom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333" w:type="pct"/>
                  <w:tcBorders>
                    <w:bottom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22.1</w:t>
                  </w:r>
                </w:p>
              </w:tc>
              <w:tc>
                <w:tcPr>
                  <w:tcW w:w="373" w:type="pct"/>
                  <w:tcBorders>
                    <w:bottom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51.7</w:t>
                  </w:r>
                </w:p>
              </w:tc>
              <w:tc>
                <w:tcPr>
                  <w:tcW w:w="467" w:type="pct"/>
                  <w:tcBorders>
                    <w:bottom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昼夜</w:t>
                  </w:r>
                </w:p>
              </w:tc>
              <w:tc>
                <w:tcPr>
                  <w:tcW w:w="475" w:type="pct"/>
                  <w:tcBorders>
                    <w:bottom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41.0</w:t>
                  </w:r>
                </w:p>
              </w:tc>
              <w:tc>
                <w:tcPr>
                  <w:tcW w:w="393" w:type="pct"/>
                  <w:tcBorders>
                    <w:bottom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10.7</w:t>
                  </w:r>
                </w:p>
              </w:tc>
              <w:tc>
                <w:tcPr>
                  <w:tcW w:w="392" w:type="pct"/>
                  <w:tcBorders>
                    <w:bottom w:val="single" w:color="auto" w:sz="4" w:space="0"/>
                    <w:right w:val="single" w:color="auto" w:sz="4" w:space="0"/>
                    <w:tl2br w:val="nil"/>
                    <w:tr2bl w:val="nil"/>
                  </w:tcBorders>
                  <w:shd w:val="clear" w:color="auto" w:fill="auto"/>
                  <w:tcMar>
                    <w:top w:w="0" w:type="dxa"/>
                    <w:left w:w="0" w:type="dxa"/>
                    <w:bottom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r>
            <w:bookmarkEnd w:id="9"/>
          </w:tbl>
          <w:p>
            <w:pPr>
              <w:keepNext w:val="0"/>
              <w:keepLines w:val="0"/>
              <w:pageBreakBefore w:val="0"/>
              <w:widowControl/>
              <w:kinsoku/>
              <w:wordWrap/>
              <w:overflowPunct/>
              <w:topLinePunct w:val="0"/>
              <w:autoSpaceDE/>
              <w:autoSpaceDN/>
              <w:bidi w:val="0"/>
              <w:adjustRightInd/>
              <w:snapToGrid/>
              <w:ind w:left="0" w:leftChars="0" w:firstLine="442" w:firstLineChars="200"/>
              <w:textAlignment w:val="auto"/>
              <w:rPr>
                <w:rFonts w:hint="default" w:ascii="Times New Roman" w:hAnsi="Times New Roman" w:eastAsia="宋体" w:cs="Times New Roman"/>
                <w:b/>
                <w:bCs/>
                <w:color w:val="auto"/>
                <w:spacing w:val="-10"/>
                <w:szCs w:val="21"/>
                <w:highlight w:val="none"/>
              </w:rPr>
            </w:pPr>
            <w:r>
              <w:rPr>
                <w:rFonts w:hint="default" w:ascii="Times New Roman" w:hAnsi="Times New Roman" w:eastAsia="宋体" w:cs="Times New Roman"/>
                <w:b/>
                <w:bCs/>
                <w:color w:val="auto"/>
                <w:spacing w:val="-10"/>
                <w:szCs w:val="21"/>
                <w:highlight w:val="none"/>
              </w:rPr>
              <w:t>3.2预测模式</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根据《环境影响评价技术导则声环境》（HJ2.4</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2021）中的要求，本次评价采取导则推荐模式。</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1）声级计算</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建设项目声源在预测点产生的等效声级贡献值</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Leqg</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计算公式：</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27" o:spt="75" type="#_x0000_t75" style="height:36pt;width:129.75pt;" o:ole="t" filled="f" o:preferrelative="t" stroked="f" coordsize="21600,21600">
                  <v:path/>
                  <v:fill on="f" focussize="0,0"/>
                  <v:stroke on="f" joinstyle="miter"/>
                  <v:imagedata r:id="rId27" o:title=""/>
                  <o:lock v:ext="edit" aspectratio="t"/>
                  <w10:wrap type="none"/>
                  <w10:anchorlock/>
                </v:shape>
                <o:OLEObject Type="Embed" ProgID="Equation.3" ShapeID="_x0000_i1027" DrawAspect="Content" ObjectID="_1468075727" r:id="rId26">
                  <o:LockedField>false</o:LockedField>
                </o:OLEObject>
              </w:objec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r>
              <w:rPr>
                <w:rFonts w:hint="default" w:ascii="Times New Roman" w:hAnsi="Times New Roman" w:eastAsia="宋体" w:cs="Times New Roman"/>
                <w:i/>
                <w:color w:val="auto"/>
                <w:highlight w:val="none"/>
              </w:rPr>
              <w:t>L</w:t>
            </w:r>
            <w:r>
              <w:rPr>
                <w:rFonts w:hint="default" w:ascii="Times New Roman" w:hAnsi="Times New Roman" w:eastAsia="宋体" w:cs="Times New Roman"/>
                <w:i/>
                <w:color w:val="auto"/>
                <w:highlight w:val="none"/>
                <w:vertAlign w:val="subscript"/>
              </w:rPr>
              <w:t>eqg</w:t>
            </w:r>
            <w:r>
              <w:rPr>
                <w:rFonts w:hint="default" w:ascii="Times New Roman" w:hAnsi="Times New Roman" w:eastAsia="宋体" w:cs="Times New Roman"/>
                <w:color w:val="auto"/>
                <w:highlight w:val="none"/>
              </w:rPr>
              <w:t>—建设项目声源在预测点的等效声级贡献值，dB</w:t>
            </w:r>
            <w:r>
              <w:rPr>
                <w:rFonts w:hint="eastAsia" w:cs="Times New Roman"/>
                <w:color w:val="auto"/>
                <w:highlight w:val="none"/>
                <w:lang w:eastAsia="zh-CN"/>
              </w:rPr>
              <w:t>(</w:t>
            </w:r>
            <w:r>
              <w:rPr>
                <w:rFonts w:hint="default" w:ascii="Times New Roman" w:hAnsi="Times New Roman" w:eastAsia="宋体" w:cs="Times New Roman"/>
                <w:color w:val="auto"/>
                <w:highlight w:val="none"/>
              </w:rPr>
              <w:t>A)；</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L</w:t>
            </w:r>
            <w:r>
              <w:rPr>
                <w:rFonts w:hint="default" w:ascii="Times New Roman" w:hAnsi="Times New Roman" w:eastAsia="宋体" w:cs="Times New Roman"/>
                <w:i/>
                <w:color w:val="auto"/>
                <w:highlight w:val="none"/>
                <w:vertAlign w:val="subscript"/>
              </w:rPr>
              <w:t>Ai</w:t>
            </w:r>
            <w:r>
              <w:rPr>
                <w:rFonts w:hint="default" w:ascii="Times New Roman" w:hAnsi="Times New Roman" w:eastAsia="宋体" w:cs="Times New Roman"/>
                <w:color w:val="auto"/>
                <w:highlight w:val="none"/>
              </w:rPr>
              <w:t>—i声源在预测点产生的A声级，dB</w:t>
            </w:r>
            <w:r>
              <w:rPr>
                <w:rFonts w:hint="eastAsia" w:cs="Times New Roman"/>
                <w:color w:val="auto"/>
                <w:highlight w:val="none"/>
                <w:lang w:eastAsia="zh-CN"/>
              </w:rPr>
              <w:t>(</w:t>
            </w:r>
            <w:r>
              <w:rPr>
                <w:rFonts w:hint="default" w:ascii="Times New Roman" w:hAnsi="Times New Roman" w:eastAsia="宋体" w:cs="Times New Roman"/>
                <w:color w:val="auto"/>
                <w:highlight w:val="none"/>
              </w:rPr>
              <w:t>A)；</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T</w:t>
            </w:r>
            <w:r>
              <w:rPr>
                <w:rFonts w:hint="default" w:ascii="Times New Roman" w:hAnsi="Times New Roman" w:eastAsia="宋体" w:cs="Times New Roman"/>
                <w:color w:val="auto"/>
                <w:highlight w:val="none"/>
              </w:rPr>
              <w:t>—预测计算的时间段，s；</w:t>
            </w:r>
          </w:p>
          <w:p>
            <w:pPr>
              <w:keepNext w:val="0"/>
              <w:keepLines w:val="0"/>
              <w:pageBreakBefore w:val="0"/>
              <w:widowControl/>
              <w:kinsoku/>
              <w:wordWrap/>
              <w:overflowPunct/>
              <w:topLinePunct w:val="0"/>
              <w:autoSpaceDE/>
              <w:autoSpaceDN/>
              <w:bidi w:val="0"/>
              <w:adjustRightInd/>
              <w:snapToGrid/>
              <w:ind w:left="0" w:leftChars="0" w:firstLine="442" w:firstLineChars="200"/>
              <w:textAlignment w:val="auto"/>
              <w:rPr>
                <w:rFonts w:hint="default" w:ascii="Times New Roman" w:hAnsi="Times New Roman" w:eastAsia="宋体" w:cs="Times New Roman"/>
                <w:b/>
                <w:bCs/>
                <w:color w:val="auto"/>
                <w:spacing w:val="-10"/>
                <w:szCs w:val="21"/>
                <w:highlight w:val="none"/>
              </w:rPr>
            </w:pPr>
            <w:r>
              <w:rPr>
                <w:rFonts w:hint="default" w:ascii="Times New Roman" w:hAnsi="Times New Roman" w:eastAsia="宋体" w:cs="Times New Roman"/>
                <w:b/>
                <w:bCs/>
                <w:i/>
                <w:color w:val="auto"/>
                <w:spacing w:val="-10"/>
                <w:szCs w:val="21"/>
                <w:highlight w:val="none"/>
              </w:rPr>
              <w:t>t</w:t>
            </w:r>
            <w:r>
              <w:rPr>
                <w:rFonts w:hint="default" w:ascii="Times New Roman" w:hAnsi="Times New Roman" w:eastAsia="宋体" w:cs="Times New Roman"/>
                <w:b/>
                <w:bCs/>
                <w:i/>
                <w:color w:val="auto"/>
                <w:spacing w:val="-10"/>
                <w:szCs w:val="21"/>
                <w:highlight w:val="none"/>
                <w:vertAlign w:val="subscript"/>
              </w:rPr>
              <w:t>i</w:t>
            </w:r>
            <w:r>
              <w:rPr>
                <w:rFonts w:hint="default" w:ascii="Times New Roman" w:hAnsi="Times New Roman" w:eastAsia="宋体" w:cs="Times New Roman"/>
                <w:b/>
                <w:bCs/>
                <w:color w:val="auto"/>
                <w:spacing w:val="-10"/>
                <w:szCs w:val="21"/>
                <w:highlight w:val="none"/>
              </w:rPr>
              <w:t>—i声源在T时段内的运行时间，s。</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2）预测点的预测等效声级</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Leq</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计算公式</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28" o:spt="75" type="#_x0000_t75" style="height:22.5pt;width:150pt;" o:ole="t" filled="f" o:preferrelative="t" stroked="f" coordsize="21600,21600">
                  <v:path/>
                  <v:fill on="f" focussize="0,0"/>
                  <v:stroke on="f" joinstyle="miter"/>
                  <v:imagedata r:id="rId29" o:title=""/>
                  <o:lock v:ext="edit" aspectratio="t"/>
                  <w10:wrap type="none"/>
                  <w10:anchorlock/>
                </v:shape>
                <o:OLEObject Type="Embed" ProgID="Equation.3" ShapeID="_x0000_i1028" DrawAspect="Content" ObjectID="_1468075728" r:id="rId28">
                  <o:LockedField>false</o:LockedField>
                </o:OLEObject>
              </w:objec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bookmarkStart w:id="11" w:name="_Toc269024991"/>
            <w:bookmarkStart w:id="12" w:name="_Toc270691827"/>
            <w:bookmarkStart w:id="13" w:name="_Toc269025278"/>
            <w:r>
              <w:rPr>
                <w:rFonts w:hint="default" w:ascii="Times New Roman" w:hAnsi="Times New Roman" w:eastAsia="宋体" w:cs="Times New Roman"/>
                <w:i/>
                <w:color w:val="auto"/>
                <w:highlight w:val="none"/>
              </w:rPr>
              <w:t>L</w:t>
            </w:r>
            <w:r>
              <w:rPr>
                <w:rFonts w:hint="default" w:ascii="Times New Roman" w:hAnsi="Times New Roman" w:eastAsia="宋体" w:cs="Times New Roman"/>
                <w:i/>
                <w:color w:val="auto"/>
                <w:highlight w:val="none"/>
                <w:vertAlign w:val="subscript"/>
              </w:rPr>
              <w:t>eqg</w:t>
            </w:r>
            <w:r>
              <w:rPr>
                <w:rFonts w:hint="default" w:ascii="Times New Roman" w:hAnsi="Times New Roman" w:eastAsia="宋体" w:cs="Times New Roman"/>
                <w:color w:val="auto"/>
                <w:highlight w:val="none"/>
              </w:rPr>
              <w:t>—建设项目声源在预测点的等效声级贡献值，dB</w:t>
            </w:r>
            <w:r>
              <w:rPr>
                <w:rFonts w:hint="eastAsia" w:cs="Times New Roman"/>
                <w:color w:val="auto"/>
                <w:highlight w:val="none"/>
                <w:lang w:eastAsia="zh-CN"/>
              </w:rPr>
              <w:t>(</w:t>
            </w:r>
            <w:r>
              <w:rPr>
                <w:rFonts w:hint="default" w:ascii="Times New Roman" w:hAnsi="Times New Roman" w:eastAsia="宋体" w:cs="Times New Roman"/>
                <w:color w:val="auto"/>
                <w:highlight w:val="none"/>
              </w:rPr>
              <w:t>A)；</w:t>
            </w:r>
            <w:bookmarkEnd w:id="11"/>
            <w:bookmarkEnd w:id="12"/>
            <w:bookmarkEnd w:id="13"/>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L</w:t>
            </w:r>
            <w:r>
              <w:rPr>
                <w:rFonts w:hint="default" w:ascii="Times New Roman" w:hAnsi="Times New Roman" w:eastAsia="宋体" w:cs="Times New Roman"/>
                <w:i/>
                <w:color w:val="auto"/>
                <w:highlight w:val="none"/>
                <w:vertAlign w:val="subscript"/>
              </w:rPr>
              <w:t>eqb</w:t>
            </w:r>
            <w:r>
              <w:rPr>
                <w:rFonts w:hint="default" w:ascii="Times New Roman" w:hAnsi="Times New Roman" w:eastAsia="宋体" w:cs="Times New Roman"/>
                <w:color w:val="auto"/>
                <w:highlight w:val="none"/>
              </w:rPr>
              <w:t>—预测点的背景值，dB</w:t>
            </w:r>
            <w:r>
              <w:rPr>
                <w:rFonts w:hint="eastAsia" w:cs="Times New Roman"/>
                <w:color w:val="auto"/>
                <w:highlight w:val="none"/>
                <w:lang w:eastAsia="zh-CN"/>
              </w:rPr>
              <w:t>(</w:t>
            </w:r>
            <w:r>
              <w:rPr>
                <w:rFonts w:hint="default" w:ascii="Times New Roman" w:hAnsi="Times New Roman" w:eastAsia="宋体" w:cs="Times New Roman"/>
                <w:color w:val="auto"/>
                <w:highlight w:val="none"/>
              </w:rPr>
              <w:t>A)</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3）户外声传播衰减计算</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户外声传播衰减包括几何发散（A</w:t>
            </w:r>
            <w:r>
              <w:rPr>
                <w:rFonts w:hint="default" w:ascii="Times New Roman" w:hAnsi="Times New Roman" w:eastAsia="宋体" w:cs="Times New Roman"/>
                <w:color w:val="auto"/>
                <w:highlight w:val="none"/>
                <w:vertAlign w:val="subscript"/>
              </w:rPr>
              <w:t>div</w:t>
            </w:r>
            <w:r>
              <w:rPr>
                <w:rFonts w:hint="default" w:ascii="Times New Roman" w:hAnsi="Times New Roman" w:eastAsia="宋体" w:cs="Times New Roman"/>
                <w:color w:val="auto"/>
                <w:highlight w:val="none"/>
              </w:rPr>
              <w:t>）、大气吸收（A</w:t>
            </w:r>
            <w:r>
              <w:rPr>
                <w:rFonts w:hint="default" w:ascii="Times New Roman" w:hAnsi="Times New Roman" w:eastAsia="宋体" w:cs="Times New Roman"/>
                <w:color w:val="auto"/>
                <w:highlight w:val="none"/>
                <w:vertAlign w:val="subscript"/>
              </w:rPr>
              <w:t>atm</w:t>
            </w:r>
            <w:r>
              <w:rPr>
                <w:rFonts w:hint="default" w:ascii="Times New Roman" w:hAnsi="Times New Roman" w:eastAsia="宋体" w:cs="Times New Roman"/>
                <w:color w:val="auto"/>
                <w:highlight w:val="none"/>
              </w:rPr>
              <w:t>）、地面效应（A</w:t>
            </w:r>
            <w:r>
              <w:rPr>
                <w:rFonts w:hint="default" w:ascii="Times New Roman" w:hAnsi="Times New Roman" w:eastAsia="宋体" w:cs="Times New Roman"/>
                <w:color w:val="auto"/>
                <w:highlight w:val="none"/>
                <w:vertAlign w:val="subscript"/>
              </w:rPr>
              <w:t>gr</w:t>
            </w:r>
            <w:r>
              <w:rPr>
                <w:rFonts w:hint="default" w:ascii="Times New Roman" w:hAnsi="Times New Roman" w:eastAsia="宋体" w:cs="Times New Roman"/>
                <w:color w:val="auto"/>
                <w:highlight w:val="none"/>
              </w:rPr>
              <w:t>）、屏障屏蔽（A</w:t>
            </w:r>
            <w:r>
              <w:rPr>
                <w:rFonts w:hint="default" w:ascii="Times New Roman" w:hAnsi="Times New Roman" w:eastAsia="宋体" w:cs="Times New Roman"/>
                <w:color w:val="auto"/>
                <w:highlight w:val="none"/>
                <w:vertAlign w:val="subscript"/>
              </w:rPr>
              <w:t>bar</w:t>
            </w:r>
            <w:r>
              <w:rPr>
                <w:rFonts w:hint="default" w:ascii="Times New Roman" w:hAnsi="Times New Roman" w:eastAsia="宋体" w:cs="Times New Roman"/>
                <w:color w:val="auto"/>
                <w:highlight w:val="none"/>
              </w:rPr>
              <w:t>）、其他多方面效应（A</w:t>
            </w:r>
            <w:r>
              <w:rPr>
                <w:rFonts w:hint="default" w:ascii="Times New Roman" w:hAnsi="Times New Roman" w:eastAsia="宋体" w:cs="Times New Roman"/>
                <w:color w:val="auto"/>
                <w:highlight w:val="none"/>
                <w:vertAlign w:val="subscript"/>
              </w:rPr>
              <w:t>misc</w:t>
            </w:r>
            <w:r>
              <w:rPr>
                <w:rFonts w:hint="default" w:ascii="Times New Roman" w:hAnsi="Times New Roman" w:eastAsia="宋体" w:cs="Times New Roman"/>
                <w:color w:val="auto"/>
                <w:highlight w:val="none"/>
              </w:rPr>
              <w:t>）引起的衰减。</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距声源点r处的A声级按下式计算：</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3422015" cy="358140"/>
                  <wp:effectExtent l="0" t="0" r="6985" b="381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30"/>
                          <a:stretch>
                            <a:fillRect/>
                          </a:stretch>
                        </pic:blipFill>
                        <pic:spPr>
                          <a:xfrm>
                            <a:off x="0" y="0"/>
                            <a:ext cx="3422015" cy="35814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在预测中考虑反射引起的修正、屏障引起的衰减、双绕射、室内声源等效室外声源等影响和计算方法。</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3.3预测结果</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根据模式预测结果，噪声源对各预测点的影响预测结果见表4-</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表4-</w:t>
            </w:r>
            <w:r>
              <w:rPr>
                <w:rFonts w:hint="default" w:ascii="Times New Roman" w:hAnsi="Times New Roman" w:eastAsia="宋体" w:cs="Times New Roman"/>
                <w:b/>
                <w:bCs/>
                <w:color w:val="auto"/>
                <w:highlight w:val="none"/>
                <w:lang w:val="en-US" w:eastAsia="zh-CN"/>
              </w:rPr>
              <w:t>9</w:t>
            </w:r>
            <w:r>
              <w:rPr>
                <w:rFonts w:hint="default" w:ascii="Times New Roman" w:hAnsi="Times New Roman" w:eastAsia="宋体" w:cs="Times New Roman"/>
                <w:b/>
                <w:bCs/>
                <w:color w:val="auto"/>
                <w:highlight w:val="none"/>
              </w:rPr>
              <w:t>厂界噪声预测结果（单位：dB</w:t>
            </w:r>
            <w:r>
              <w:rPr>
                <w:rFonts w:hint="eastAsia" w:cs="Times New Roman"/>
                <w:b/>
                <w:bCs/>
                <w:color w:val="auto"/>
                <w:highlight w:val="none"/>
                <w:lang w:eastAsia="zh-CN"/>
              </w:rPr>
              <w:t>(</w:t>
            </w:r>
            <w:r>
              <w:rPr>
                <w:rFonts w:hint="default" w:ascii="Times New Roman" w:hAnsi="Times New Roman" w:eastAsia="宋体" w:cs="Times New Roman"/>
                <w:b/>
                <w:bCs/>
                <w:color w:val="auto"/>
                <w:highlight w:val="none"/>
              </w:rPr>
              <w:t>A)）</w:t>
            </w:r>
          </w:p>
          <w:tbl>
            <w:tblPr>
              <w:tblStyle w:val="29"/>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8"/>
              <w:gridCol w:w="782"/>
              <w:gridCol w:w="782"/>
              <w:gridCol w:w="773"/>
              <w:gridCol w:w="940"/>
              <w:gridCol w:w="1395"/>
              <w:gridCol w:w="1396"/>
              <w:gridCol w:w="8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restart"/>
                  <w:tcBorders>
                    <w:top w:val="single" w:color="auto" w:sz="4" w:space="0"/>
                    <w:left w:val="single" w:color="auto" w:sz="0"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预测方位</w:t>
                  </w:r>
                </w:p>
              </w:tc>
              <w:tc>
                <w:tcPr>
                  <w:tcW w:w="2337" w:type="dxa"/>
                  <w:gridSpan w:val="3"/>
                  <w:tcBorders>
                    <w:top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最大值点空间相对位置/m</w:t>
                  </w:r>
                </w:p>
              </w:tc>
              <w:tc>
                <w:tcPr>
                  <w:tcW w:w="940" w:type="dxa"/>
                  <w:vMerge w:val="restart"/>
                  <w:tcBorders>
                    <w:top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时段</w:t>
                  </w:r>
                </w:p>
              </w:tc>
              <w:tc>
                <w:tcPr>
                  <w:tcW w:w="1394" w:type="dxa"/>
                  <w:vMerge w:val="restart"/>
                  <w:tcBorders>
                    <w:top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贡献值（dB</w:t>
                  </w:r>
                  <w:r>
                    <w:rPr>
                      <w:rFonts w:hint="default" w:ascii="Times New Roman" w:hAnsi="Times New Roman" w:eastAsia="宋体" w:cs="Times New Roman"/>
                      <w:color w:val="auto"/>
                      <w:sz w:val="21"/>
                      <w:szCs w:val="20"/>
                      <w:highlight w:val="none"/>
                      <w:lang w:eastAsia="zh-CN"/>
                    </w:rPr>
                    <w:t>（</w:t>
                  </w:r>
                  <w:r>
                    <w:rPr>
                      <w:rFonts w:hint="default" w:ascii="Times New Roman" w:hAnsi="Times New Roman" w:eastAsia="宋体" w:cs="Times New Roman"/>
                      <w:color w:val="auto"/>
                      <w:sz w:val="21"/>
                      <w:szCs w:val="20"/>
                      <w:highlight w:val="none"/>
                    </w:rPr>
                    <w:t>A</w:t>
                  </w:r>
                  <w:r>
                    <w:rPr>
                      <w:rFonts w:hint="eastAsia" w:cs="Times New Roman"/>
                      <w:color w:val="auto"/>
                      <w:sz w:val="21"/>
                      <w:szCs w:val="20"/>
                      <w:highlight w:val="none"/>
                      <w:lang w:eastAsia="zh-CN"/>
                    </w:rPr>
                    <w:t>）</w:t>
                  </w:r>
                  <w:r>
                    <w:rPr>
                      <w:rFonts w:hint="default" w:ascii="Times New Roman" w:hAnsi="Times New Roman" w:eastAsia="宋体" w:cs="Times New Roman"/>
                      <w:color w:val="auto"/>
                      <w:sz w:val="21"/>
                      <w:szCs w:val="20"/>
                      <w:highlight w:val="none"/>
                    </w:rPr>
                    <w:t>）</w:t>
                  </w:r>
                </w:p>
              </w:tc>
              <w:tc>
                <w:tcPr>
                  <w:tcW w:w="1395" w:type="dxa"/>
                  <w:vMerge w:val="restart"/>
                  <w:tcBorders>
                    <w:top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标准限值（dB</w:t>
                  </w:r>
                  <w:r>
                    <w:rPr>
                      <w:rFonts w:hint="default" w:ascii="Times New Roman" w:hAnsi="Times New Roman" w:eastAsia="宋体" w:cs="Times New Roman"/>
                      <w:color w:val="auto"/>
                      <w:sz w:val="21"/>
                      <w:szCs w:val="20"/>
                      <w:highlight w:val="none"/>
                      <w:lang w:eastAsia="zh-CN"/>
                    </w:rPr>
                    <w:t>（</w:t>
                  </w:r>
                  <w:r>
                    <w:rPr>
                      <w:rFonts w:hint="default" w:ascii="Times New Roman" w:hAnsi="Times New Roman" w:eastAsia="宋体" w:cs="Times New Roman"/>
                      <w:color w:val="auto"/>
                      <w:sz w:val="21"/>
                      <w:szCs w:val="20"/>
                      <w:highlight w:val="none"/>
                    </w:rPr>
                    <w:t>A</w:t>
                  </w:r>
                  <w:r>
                    <w:rPr>
                      <w:rFonts w:hint="eastAsia" w:cs="Times New Roman"/>
                      <w:color w:val="auto"/>
                      <w:sz w:val="21"/>
                      <w:szCs w:val="20"/>
                      <w:highlight w:val="none"/>
                      <w:lang w:eastAsia="zh-CN"/>
                    </w:rPr>
                    <w:t>）</w:t>
                  </w:r>
                  <w:r>
                    <w:rPr>
                      <w:rFonts w:hint="default" w:ascii="Times New Roman" w:hAnsi="Times New Roman" w:eastAsia="宋体" w:cs="Times New Roman"/>
                      <w:color w:val="auto"/>
                      <w:sz w:val="21"/>
                      <w:szCs w:val="20"/>
                      <w:highlight w:val="none"/>
                    </w:rPr>
                    <w:t>）</w:t>
                  </w:r>
                </w:p>
              </w:tc>
              <w:tc>
                <w:tcPr>
                  <w:tcW w:w="830" w:type="dxa"/>
                  <w:vMerge w:val="restart"/>
                  <w:tcBorders>
                    <w:top w:val="single" w:color="auto" w:sz="4" w:space="0"/>
                    <w:righ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continue"/>
                  <w:tcBorders>
                    <w:lef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X</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Y</w:t>
                  </w:r>
                </w:p>
              </w:tc>
              <w:tc>
                <w:tcPr>
                  <w:tcW w:w="773"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Z</w:t>
                  </w:r>
                </w:p>
              </w:tc>
              <w:tc>
                <w:tcPr>
                  <w:tcW w:w="940" w:type="dxa"/>
                  <w:vMerge w:val="continue"/>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94" w:type="dxa"/>
                  <w:vMerge w:val="continue"/>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95" w:type="dxa"/>
                  <w:vMerge w:val="continue"/>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830" w:type="dxa"/>
                  <w:vMerge w:val="continue"/>
                  <w:tcBorders>
                    <w:righ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restart"/>
                  <w:tcBorders>
                    <w:lef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东侧</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63.4</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46.6</w:t>
                  </w:r>
                </w:p>
              </w:tc>
              <w:tc>
                <w:tcPr>
                  <w:tcW w:w="773"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940"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昼间</w:t>
                  </w:r>
                </w:p>
              </w:tc>
              <w:tc>
                <w:tcPr>
                  <w:tcW w:w="1394"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31.7</w:t>
                  </w:r>
                </w:p>
              </w:tc>
              <w:tc>
                <w:tcPr>
                  <w:tcW w:w="1395"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65</w:t>
                  </w:r>
                </w:p>
              </w:tc>
              <w:tc>
                <w:tcPr>
                  <w:tcW w:w="830" w:type="dxa"/>
                  <w:tcBorders>
                    <w:righ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continue"/>
                  <w:tcBorders>
                    <w:lef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东侧</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63.4</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46.6</w:t>
                  </w:r>
                </w:p>
              </w:tc>
              <w:tc>
                <w:tcPr>
                  <w:tcW w:w="773"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940"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夜间</w:t>
                  </w:r>
                </w:p>
              </w:tc>
              <w:tc>
                <w:tcPr>
                  <w:tcW w:w="1394"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31.7</w:t>
                  </w:r>
                </w:p>
              </w:tc>
              <w:tc>
                <w:tcPr>
                  <w:tcW w:w="1395"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55</w:t>
                  </w:r>
                </w:p>
              </w:tc>
              <w:tc>
                <w:tcPr>
                  <w:tcW w:w="830" w:type="dxa"/>
                  <w:tcBorders>
                    <w:righ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restart"/>
                  <w:tcBorders>
                    <w:lef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南侧</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-63.8</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-64.1</w:t>
                  </w:r>
                </w:p>
              </w:tc>
              <w:tc>
                <w:tcPr>
                  <w:tcW w:w="773"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940"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昼间</w:t>
                  </w:r>
                </w:p>
              </w:tc>
              <w:tc>
                <w:tcPr>
                  <w:tcW w:w="1394"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29.3</w:t>
                  </w:r>
                </w:p>
              </w:tc>
              <w:tc>
                <w:tcPr>
                  <w:tcW w:w="1395"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65</w:t>
                  </w:r>
                </w:p>
              </w:tc>
              <w:tc>
                <w:tcPr>
                  <w:tcW w:w="830" w:type="dxa"/>
                  <w:tcBorders>
                    <w:righ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continue"/>
                  <w:tcBorders>
                    <w:lef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南侧</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-63.8</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-64.1</w:t>
                  </w:r>
                </w:p>
              </w:tc>
              <w:tc>
                <w:tcPr>
                  <w:tcW w:w="773"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940"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夜间</w:t>
                  </w:r>
                </w:p>
              </w:tc>
              <w:tc>
                <w:tcPr>
                  <w:tcW w:w="1394"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29.3</w:t>
                  </w:r>
                </w:p>
              </w:tc>
              <w:tc>
                <w:tcPr>
                  <w:tcW w:w="1395"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55</w:t>
                  </w:r>
                </w:p>
              </w:tc>
              <w:tc>
                <w:tcPr>
                  <w:tcW w:w="830" w:type="dxa"/>
                  <w:tcBorders>
                    <w:righ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restart"/>
                  <w:tcBorders>
                    <w:lef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西侧</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-69.7</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34.8</w:t>
                  </w:r>
                </w:p>
              </w:tc>
              <w:tc>
                <w:tcPr>
                  <w:tcW w:w="773"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940"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昼间</w:t>
                  </w:r>
                </w:p>
              </w:tc>
              <w:tc>
                <w:tcPr>
                  <w:tcW w:w="1394"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41.1</w:t>
                  </w:r>
                </w:p>
              </w:tc>
              <w:tc>
                <w:tcPr>
                  <w:tcW w:w="1395"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65</w:t>
                  </w:r>
                </w:p>
              </w:tc>
              <w:tc>
                <w:tcPr>
                  <w:tcW w:w="830" w:type="dxa"/>
                  <w:tcBorders>
                    <w:righ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continue"/>
                  <w:tcBorders>
                    <w:lef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西侧</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-69.7</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34.8</w:t>
                  </w:r>
                </w:p>
              </w:tc>
              <w:tc>
                <w:tcPr>
                  <w:tcW w:w="773"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940"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夜间</w:t>
                  </w:r>
                </w:p>
              </w:tc>
              <w:tc>
                <w:tcPr>
                  <w:tcW w:w="1394"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41.1</w:t>
                  </w:r>
                </w:p>
              </w:tc>
              <w:tc>
                <w:tcPr>
                  <w:tcW w:w="1395"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55</w:t>
                  </w:r>
                </w:p>
              </w:tc>
              <w:tc>
                <w:tcPr>
                  <w:tcW w:w="830" w:type="dxa"/>
                  <w:tcBorders>
                    <w:righ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restart"/>
                  <w:tcBorders>
                    <w:lef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北侧</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-31</w:t>
                  </w:r>
                </w:p>
              </w:tc>
              <w:tc>
                <w:tcPr>
                  <w:tcW w:w="782"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91.9</w:t>
                  </w:r>
                </w:p>
              </w:tc>
              <w:tc>
                <w:tcPr>
                  <w:tcW w:w="773"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940"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昼间</w:t>
                  </w:r>
                </w:p>
              </w:tc>
              <w:tc>
                <w:tcPr>
                  <w:tcW w:w="1394"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38.2</w:t>
                  </w:r>
                </w:p>
              </w:tc>
              <w:tc>
                <w:tcPr>
                  <w:tcW w:w="1395" w:type="dxa"/>
                  <w:tcBorders>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65</w:t>
                  </w:r>
                </w:p>
              </w:tc>
              <w:tc>
                <w:tcPr>
                  <w:tcW w:w="830" w:type="dxa"/>
                  <w:tcBorders>
                    <w:righ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Merge w:val="continue"/>
                  <w:tcBorders>
                    <w:left w:val="single" w:color="auto" w:sz="4" w:space="0"/>
                    <w:bottom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北侧</w:t>
                  </w:r>
                </w:p>
              </w:tc>
              <w:tc>
                <w:tcPr>
                  <w:tcW w:w="782" w:type="dxa"/>
                  <w:tcBorders>
                    <w:bottom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-31</w:t>
                  </w:r>
                </w:p>
              </w:tc>
              <w:tc>
                <w:tcPr>
                  <w:tcW w:w="782" w:type="dxa"/>
                  <w:tcBorders>
                    <w:bottom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91.9</w:t>
                  </w:r>
                </w:p>
              </w:tc>
              <w:tc>
                <w:tcPr>
                  <w:tcW w:w="773" w:type="dxa"/>
                  <w:tcBorders>
                    <w:bottom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940" w:type="dxa"/>
                  <w:tcBorders>
                    <w:bottom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夜间</w:t>
                  </w:r>
                </w:p>
              </w:tc>
              <w:tc>
                <w:tcPr>
                  <w:tcW w:w="1394" w:type="dxa"/>
                  <w:tcBorders>
                    <w:bottom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38.2</w:t>
                  </w:r>
                </w:p>
              </w:tc>
              <w:tc>
                <w:tcPr>
                  <w:tcW w:w="1395" w:type="dxa"/>
                  <w:tcBorders>
                    <w:bottom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55</w:t>
                  </w:r>
                </w:p>
              </w:tc>
              <w:tc>
                <w:tcPr>
                  <w:tcW w:w="830" w:type="dxa"/>
                  <w:tcBorders>
                    <w:bottom w:val="single" w:color="auto" w:sz="4" w:space="0"/>
                    <w:right w:val="single" w:color="auto" w:sz="4" w:space="0"/>
                    <w:tl2br w:val="nil"/>
                    <w:tr2bl w:val="nil"/>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达标</w:t>
                  </w:r>
                </w:p>
              </w:tc>
            </w:tr>
          </w:tbl>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预测结果表明，本项目投产后，厂界</w:t>
            </w:r>
            <w:r>
              <w:rPr>
                <w:rFonts w:hint="default" w:ascii="Times New Roman" w:hAnsi="Times New Roman" w:eastAsia="宋体" w:cs="Times New Roman"/>
                <w:color w:val="auto"/>
                <w:highlight w:val="none"/>
                <w:lang w:eastAsia="zh-CN"/>
              </w:rPr>
              <w:t>贡献值</w:t>
            </w:r>
            <w:r>
              <w:rPr>
                <w:rFonts w:hint="default" w:ascii="Times New Roman" w:hAnsi="Times New Roman" w:eastAsia="宋体" w:cs="Times New Roman"/>
                <w:color w:val="auto"/>
                <w:highlight w:val="none"/>
              </w:rPr>
              <w:t>均能满足《工业企业厂界环境噪声排放标准》（GB12348-2008）中的3类标准。</w:t>
            </w:r>
          </w:p>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3.4噪声监测计划</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根据《排污单位自行监测技术指南总则》（HJ819-2017）、《排污许可申请核发技术规范工业噪声》（HJ1301-2023）以及该项目的特点，噪声环境监测计划详见表4-</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表4-</w:t>
            </w:r>
            <w:r>
              <w:rPr>
                <w:rFonts w:hint="default" w:ascii="Times New Roman" w:hAnsi="Times New Roman" w:eastAsia="宋体" w:cs="Times New Roman"/>
                <w:b/>
                <w:bCs/>
                <w:color w:val="auto"/>
                <w:highlight w:val="none"/>
                <w:lang w:val="en-US" w:eastAsia="zh-CN"/>
              </w:rPr>
              <w:t>10</w:t>
            </w:r>
            <w:r>
              <w:rPr>
                <w:rFonts w:hint="default" w:ascii="Times New Roman" w:hAnsi="Times New Roman" w:eastAsia="宋体" w:cs="Times New Roman"/>
                <w:b/>
                <w:bCs/>
                <w:color w:val="auto"/>
                <w:highlight w:val="none"/>
              </w:rPr>
              <w:t>环境监测计划一览表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76"/>
              <w:gridCol w:w="1376"/>
              <w:gridCol w:w="1375"/>
              <w:gridCol w:w="982"/>
              <w:gridCol w:w="27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80" w:type="pct"/>
                  <w:tcBorders>
                    <w:top w:val="single" w:color="auto" w:sz="4" w:space="0"/>
                    <w:left w:val="single" w:color="auto" w:sz="0" w:space="0"/>
                    <w:tl2br w:val="nil"/>
                    <w:tr2bl w:val="nil"/>
                  </w:tcBorders>
                  <w:tcMar>
                    <w:left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监测要素</w:t>
                  </w:r>
                </w:p>
              </w:tc>
              <w:tc>
                <w:tcPr>
                  <w:tcW w:w="880" w:type="pct"/>
                  <w:tcBorders>
                    <w:top w:val="single" w:color="auto" w:sz="4" w:space="0"/>
                    <w:tl2br w:val="nil"/>
                    <w:tr2bl w:val="nil"/>
                  </w:tcBorders>
                  <w:tcMar>
                    <w:left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监测点位</w:t>
                  </w:r>
                </w:p>
              </w:tc>
              <w:tc>
                <w:tcPr>
                  <w:tcW w:w="879" w:type="pct"/>
                  <w:tcBorders>
                    <w:top w:val="single" w:color="auto" w:sz="4" w:space="0"/>
                    <w:tl2br w:val="nil"/>
                    <w:tr2bl w:val="nil"/>
                  </w:tcBorders>
                  <w:tcMar>
                    <w:left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监测项目</w:t>
                  </w:r>
                </w:p>
              </w:tc>
              <w:tc>
                <w:tcPr>
                  <w:tcW w:w="628" w:type="pct"/>
                  <w:tcBorders>
                    <w:top w:val="single" w:color="auto" w:sz="4" w:space="0"/>
                    <w:tl2br w:val="nil"/>
                    <w:tr2bl w:val="nil"/>
                  </w:tcBorders>
                  <w:tcMar>
                    <w:left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监测频次</w:t>
                  </w:r>
                </w:p>
              </w:tc>
              <w:tc>
                <w:tcPr>
                  <w:tcW w:w="1733" w:type="pct"/>
                  <w:tcBorders>
                    <w:top w:val="single" w:color="auto" w:sz="4" w:space="0"/>
                    <w:right w:val="single" w:color="auto" w:sz="4" w:space="0"/>
                    <w:tl2br w:val="nil"/>
                    <w:tr2bl w:val="nil"/>
                  </w:tcBorders>
                  <w:tcMar>
                    <w:left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80" w:type="pct"/>
                  <w:tcBorders>
                    <w:left w:val="single" w:color="auto" w:sz="4" w:space="0"/>
                    <w:bottom w:val="single" w:color="auto" w:sz="4" w:space="0"/>
                    <w:tl2br w:val="nil"/>
                    <w:tr2bl w:val="nil"/>
                  </w:tcBorders>
                  <w:tcMar>
                    <w:left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噪声</w:t>
                  </w:r>
                </w:p>
              </w:tc>
              <w:tc>
                <w:tcPr>
                  <w:tcW w:w="880" w:type="pct"/>
                  <w:tcBorders>
                    <w:bottom w:val="single" w:color="auto" w:sz="4" w:space="0"/>
                    <w:tl2br w:val="nil"/>
                    <w:tr2bl w:val="nil"/>
                  </w:tcBorders>
                  <w:tcMar>
                    <w:left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厂界四周</w:t>
                  </w:r>
                </w:p>
              </w:tc>
              <w:tc>
                <w:tcPr>
                  <w:tcW w:w="879" w:type="pct"/>
                  <w:tcBorders>
                    <w:bottom w:val="single" w:color="auto" w:sz="4" w:space="0"/>
                    <w:tl2br w:val="nil"/>
                    <w:tr2bl w:val="nil"/>
                  </w:tcBorders>
                  <w:tcMar>
                    <w:left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等效连续A声级</w:t>
                  </w:r>
                </w:p>
              </w:tc>
              <w:tc>
                <w:tcPr>
                  <w:tcW w:w="628" w:type="pct"/>
                  <w:tcBorders>
                    <w:bottom w:val="single" w:color="auto" w:sz="4" w:space="0"/>
                    <w:tl2br w:val="nil"/>
                    <w:tr2bl w:val="nil"/>
                  </w:tcBorders>
                  <w:tcMar>
                    <w:left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每季度1次</w:t>
                  </w:r>
                </w:p>
              </w:tc>
              <w:tc>
                <w:tcPr>
                  <w:tcW w:w="1733" w:type="pct"/>
                  <w:tcBorders>
                    <w:bottom w:val="single" w:color="auto" w:sz="4" w:space="0"/>
                    <w:right w:val="single" w:color="auto" w:sz="4" w:space="0"/>
                    <w:tl2br w:val="nil"/>
                    <w:tr2bl w:val="nil"/>
                  </w:tcBorders>
                  <w:tcMar>
                    <w:left w:w="0" w:type="dxa"/>
                    <w:right w:w="0" w:type="dxa"/>
                  </w:tcMar>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《工业企业厂界环境噪声排放标准》（GB12348-2008）3类标准</w:t>
                  </w:r>
                </w:p>
              </w:tc>
            </w:tr>
          </w:tbl>
          <w:p>
            <w:pPr>
              <w:keepNext w:val="0"/>
              <w:keepLines w:val="0"/>
              <w:pageBreakBefore w:val="0"/>
              <w:widowControl/>
              <w:kinsoku/>
              <w:wordWrap/>
              <w:overflowPunct/>
              <w:topLinePunct w:val="0"/>
              <w:autoSpaceDE/>
              <w:autoSpaceDN/>
              <w:bidi w:val="0"/>
              <w:adjustRightInd/>
              <w:snapToGrid/>
              <w:ind w:left="0" w:leftChars="0" w:firstLine="442" w:firstLineChars="200"/>
              <w:textAlignment w:val="auto"/>
              <w:rPr>
                <w:rFonts w:hint="default" w:ascii="Times New Roman" w:hAnsi="Times New Roman" w:eastAsia="宋体" w:cs="Times New Roman"/>
                <w:b/>
                <w:bCs/>
                <w:color w:val="auto"/>
                <w:spacing w:val="-10"/>
                <w:szCs w:val="21"/>
                <w:highlight w:val="none"/>
              </w:rPr>
            </w:pPr>
            <w:r>
              <w:rPr>
                <w:rFonts w:hint="default" w:ascii="Times New Roman" w:hAnsi="Times New Roman" w:eastAsia="宋体" w:cs="Times New Roman"/>
                <w:b/>
                <w:bCs/>
                <w:color w:val="auto"/>
                <w:spacing w:val="-10"/>
                <w:szCs w:val="21"/>
                <w:highlight w:val="none"/>
              </w:rPr>
              <w:t>4、固体废物产生及处置情况</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）废弃包装袋</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原辅材料产生废包装袋，</w:t>
            </w:r>
            <w:r>
              <w:rPr>
                <w:rFonts w:hint="default" w:ascii="Times New Roman" w:hAnsi="Times New Roman" w:eastAsia="宋体" w:cs="Times New Roman"/>
                <w:color w:val="auto"/>
                <w:highlight w:val="none"/>
                <w:lang w:val="en-US" w:eastAsia="zh-CN"/>
              </w:rPr>
              <w:t>产生量为0.3t/a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属于一般工业固废，暂存于一般固废暂存间内，定期外售综合利用。</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底泥</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水膜除尘器</w:t>
            </w:r>
            <w:r>
              <w:rPr>
                <w:rFonts w:hint="default" w:ascii="Times New Roman" w:hAnsi="Times New Roman" w:eastAsia="宋体" w:cs="Times New Roman"/>
                <w:color w:val="auto"/>
                <w:highlight w:val="none"/>
                <w:lang w:val="en-US" w:eastAsia="zh-CN"/>
              </w:rPr>
              <w:t>收集的底泥</w:t>
            </w:r>
            <w:r>
              <w:rPr>
                <w:rFonts w:hint="default" w:ascii="Times New Roman" w:hAnsi="Times New Roman" w:eastAsia="宋体" w:cs="Times New Roman"/>
                <w:color w:val="auto"/>
                <w:highlight w:val="none"/>
              </w:rPr>
              <w:t>，产生量为</w:t>
            </w:r>
            <w:r>
              <w:rPr>
                <w:rFonts w:hint="default" w:ascii="Times New Roman" w:hAnsi="Times New Roman" w:eastAsia="宋体" w:cs="Times New Roman"/>
                <w:color w:val="auto"/>
                <w:highlight w:val="none"/>
                <w:lang w:val="en-US" w:eastAsia="zh-CN"/>
              </w:rPr>
              <w:t>1.295</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highlight w:val="none"/>
                <w:lang w:val="en-US" w:eastAsia="zh-CN"/>
              </w:rPr>
              <w:t>每半个月清掏一次，</w:t>
            </w:r>
            <w:r>
              <w:rPr>
                <w:rFonts w:hint="default" w:ascii="Times New Roman" w:hAnsi="Times New Roman" w:eastAsia="宋体" w:cs="Times New Roman"/>
                <w:color w:val="auto"/>
                <w:highlight w:val="none"/>
              </w:rPr>
              <w:t>属于一般工业固废，暂存于一般固废暂存间内，作为原料进行二次烘干</w:t>
            </w:r>
            <w:r>
              <w:rPr>
                <w:rFonts w:hint="default" w:ascii="Times New Roman" w:hAnsi="Times New Roman" w:eastAsia="宋体" w:cs="Times New Roman"/>
                <w:color w:val="auto"/>
                <w:highlight w:val="none"/>
                <w:lang w:eastAsia="zh-CN"/>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（3）废耐火材料</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感应炉产生的废耐火材料，产生量为</w:t>
            </w:r>
            <w:r>
              <w:rPr>
                <w:rFonts w:hint="default" w:ascii="Times New Roman" w:hAnsi="Times New Roman" w:eastAsia="宋体" w:cs="Times New Roman"/>
                <w:color w:val="auto"/>
                <w:sz w:val="24"/>
                <w:szCs w:val="24"/>
                <w:highlight w:val="none"/>
              </w:rPr>
              <w:t>415t/a，</w:t>
            </w:r>
            <w:r>
              <w:rPr>
                <w:rFonts w:hint="default" w:ascii="Times New Roman" w:hAnsi="Times New Roman" w:eastAsia="宋体" w:cs="Times New Roman"/>
                <w:color w:val="auto"/>
                <w:highlight w:val="none"/>
                <w:lang w:val="en-US" w:eastAsia="zh-CN"/>
              </w:rPr>
              <w:t>每3个月更换一次，</w:t>
            </w:r>
            <w:r>
              <w:rPr>
                <w:rFonts w:hint="default" w:ascii="Times New Roman" w:hAnsi="Times New Roman" w:eastAsia="宋体" w:cs="Times New Roman"/>
                <w:color w:val="auto"/>
                <w:sz w:val="24"/>
                <w:szCs w:val="24"/>
                <w:highlight w:val="none"/>
              </w:rPr>
              <w:t>属于一般工业固废，暂存于一般固废暂存间内，</w:t>
            </w:r>
            <w:r>
              <w:rPr>
                <w:rFonts w:hint="default" w:ascii="Times New Roman" w:hAnsi="Times New Roman" w:eastAsia="宋体" w:cs="Times New Roman"/>
                <w:color w:val="auto"/>
                <w:sz w:val="24"/>
                <w:szCs w:val="24"/>
                <w:highlight w:val="none"/>
                <w:lang w:val="en-US" w:eastAsia="zh-CN"/>
              </w:rPr>
              <w:t>定期由厂家回收综合利用</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废电极</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感应炉产生的废电极，产生量为30t/a，</w:t>
            </w:r>
            <w:r>
              <w:rPr>
                <w:rFonts w:hint="default" w:ascii="Times New Roman" w:hAnsi="Times New Roman" w:eastAsia="宋体" w:cs="Times New Roman"/>
                <w:color w:val="auto"/>
                <w:highlight w:val="none"/>
                <w:lang w:val="en-US" w:eastAsia="zh-CN"/>
              </w:rPr>
              <w:t>每1个月更换一次，</w:t>
            </w:r>
            <w:r>
              <w:rPr>
                <w:rFonts w:hint="default" w:ascii="Times New Roman" w:hAnsi="Times New Roman" w:eastAsia="宋体" w:cs="Times New Roman"/>
                <w:color w:val="auto"/>
                <w:highlight w:val="none"/>
              </w:rPr>
              <w:t>属于一般工业固废，暂存于一般固废暂存间内，定期由厂家回收综合利用。</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eastAsia="zh-CN"/>
              </w:rPr>
              <w:t>）硅渣</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感应炉产生的硅渣，产生量为</w:t>
            </w:r>
            <w:r>
              <w:rPr>
                <w:rFonts w:hint="default" w:ascii="Times New Roman" w:hAnsi="Times New Roman" w:eastAsia="宋体" w:cs="Times New Roman"/>
                <w:color w:val="auto"/>
                <w:highlight w:val="none"/>
                <w:lang w:eastAsia="zh-CN"/>
              </w:rPr>
              <w:t>2103.454</w:t>
            </w:r>
            <w:r>
              <w:rPr>
                <w:rFonts w:hint="default" w:ascii="Times New Roman" w:hAnsi="Times New Roman" w:eastAsia="宋体" w:cs="Times New Roman"/>
                <w:color w:val="auto"/>
                <w:highlight w:val="none"/>
              </w:rPr>
              <w:t>t/a，属于一般工业固废，暂存于一般固废暂存间内，</w:t>
            </w:r>
            <w:r>
              <w:rPr>
                <w:rFonts w:hint="default" w:ascii="Times New Roman" w:hAnsi="Times New Roman" w:eastAsia="宋体" w:cs="Times New Roman"/>
                <w:color w:val="auto"/>
                <w:highlight w:val="none"/>
                <w:lang w:val="en-US" w:eastAsia="zh-CN"/>
              </w:rPr>
              <w:t>每个月清运一次，</w:t>
            </w:r>
            <w:r>
              <w:rPr>
                <w:rFonts w:hint="default" w:ascii="Times New Roman" w:hAnsi="Times New Roman" w:eastAsia="宋体" w:cs="Times New Roman"/>
                <w:color w:val="auto"/>
                <w:highlight w:val="none"/>
              </w:rPr>
              <w:t>外售综合利用。</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除尘灰</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布袋除尘器收集的除尘灰，产生量为</w:t>
            </w:r>
            <w:r>
              <w:rPr>
                <w:rFonts w:hint="default" w:ascii="Times New Roman" w:hAnsi="Times New Roman" w:eastAsia="宋体" w:cs="Times New Roman"/>
                <w:color w:val="auto"/>
                <w:highlight w:val="none"/>
                <w:lang w:val="en-US" w:eastAsia="zh-CN"/>
              </w:rPr>
              <w:t>87.817</w:t>
            </w:r>
            <w:r>
              <w:rPr>
                <w:rFonts w:hint="default" w:ascii="Times New Roman" w:hAnsi="Times New Roman" w:eastAsia="宋体" w:cs="Times New Roman"/>
                <w:color w:val="auto"/>
                <w:highlight w:val="none"/>
              </w:rPr>
              <w:t>t/a，属于一般工业固废，暂存于一般固废暂存间内，定期外售综合利用。</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废润滑油</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设备维护过程产生的废润滑油，产生量为</w:t>
            </w:r>
            <w:r>
              <w:rPr>
                <w:rFonts w:hint="default" w:ascii="Times New Roman" w:hAnsi="Times New Roman" w:eastAsia="宋体" w:cs="Times New Roman"/>
                <w:color w:val="auto"/>
                <w:highlight w:val="none"/>
                <w:lang w:val="en-US" w:eastAsia="zh-CN"/>
              </w:rPr>
              <w:t>0.1</w:t>
            </w:r>
            <w:r>
              <w:rPr>
                <w:rFonts w:hint="default" w:ascii="Times New Roman" w:hAnsi="Times New Roman" w:eastAsia="宋体" w:cs="Times New Roman"/>
                <w:color w:val="auto"/>
                <w:highlight w:val="none"/>
              </w:rPr>
              <w:t>t/a，收集至PE桶中，属于危险废物，</w:t>
            </w:r>
            <w:r>
              <w:rPr>
                <w:rFonts w:hint="default" w:ascii="Times New Roman" w:hAnsi="Times New Roman" w:eastAsia="宋体" w:cs="Times New Roman"/>
                <w:color w:val="auto"/>
                <w:sz w:val="24"/>
                <w:szCs w:val="24"/>
                <w:highlight w:val="none"/>
              </w:rPr>
              <w:t>暂存于危废暂存间内，定期委托有资质单位处置。</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生活垃圾</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本项目新增工作人员50人，产生量按0.5kg/人·d计，则生活垃圾产生量约为25kg/d（7.5t/a），经垃圾桶收集后，定期委托环卫部门清运。</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5、地下水环境、土壤环境影响分析</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本项目地下水与土壤污染防治措施和对策，应坚持“源头控制、分区防治、污染监控、应急响应”的原则。本项目拟采取的地下水与土壤的防治措施如下所述。</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1）源头控制措施</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①积极推行实施清洁生产，实现各类废物循环利用，减少污染物的排放量；</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②项目应根据国家现行相关规范加强环境管理，采取防止和降低污染物跑、冒、滴、漏的措施。正常生产过程中应加强巡检及时处理污染物跑、冒、滴、漏，同时应加强对防渗工程的检查；</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③对工艺、管道、设备、污水储存及处理构筑物采取控制措施，防止污染物的跑、冒、滴、漏，将污染物泄漏的环境风险事故降到最低限度。</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2）分区防治措施</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将全厂按物料或者污染物泄漏的途径和生产功能单元所处的位置划分为三类地下水污染防治区域：</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重点防渗区：包括危废暂存间等地面全部采用2mm</w:t>
            </w:r>
            <w:r>
              <w:rPr>
                <w:rFonts w:hint="default" w:ascii="Times New Roman" w:hAnsi="Times New Roman" w:eastAsia="宋体" w:cs="Times New Roman"/>
                <w:color w:val="auto"/>
                <w:highlight w:val="none"/>
                <w:lang w:eastAsia="zh-CN"/>
              </w:rPr>
              <w:t>厚</w:t>
            </w:r>
            <w:r>
              <w:rPr>
                <w:rFonts w:hint="default" w:ascii="Times New Roman" w:hAnsi="Times New Roman" w:eastAsia="宋体" w:cs="Times New Roman"/>
                <w:color w:val="auto"/>
                <w:highlight w:val="none"/>
              </w:rPr>
              <w:t>的HDPE膜做防渗处理。</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一般防渗区：包括一般固废暂存间、化粪池，地面进行防渗，采用混凝土+渗透结晶型防水剂铺设；渗透系数≤10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简单防渗区：包括生产车间、</w:t>
            </w:r>
            <w:r>
              <w:rPr>
                <w:rFonts w:hint="default" w:ascii="Times New Roman" w:hAnsi="Times New Roman" w:eastAsia="宋体" w:cs="Times New Roman"/>
                <w:color w:val="auto"/>
                <w:highlight w:val="none"/>
                <w:lang w:eastAsia="zh-CN"/>
              </w:rPr>
              <w:t>原料库</w:t>
            </w:r>
            <w:r>
              <w:rPr>
                <w:rFonts w:hint="default" w:ascii="Times New Roman" w:hAnsi="Times New Roman" w:eastAsia="宋体" w:cs="Times New Roman"/>
                <w:color w:val="auto"/>
                <w:highlight w:val="none"/>
              </w:rPr>
              <w:t>和</w:t>
            </w:r>
            <w:r>
              <w:rPr>
                <w:rFonts w:hint="default" w:ascii="Times New Roman" w:hAnsi="Times New Roman" w:eastAsia="宋体" w:cs="Times New Roman"/>
                <w:color w:val="auto"/>
                <w:highlight w:val="none"/>
                <w:lang w:eastAsia="zh-CN"/>
              </w:rPr>
              <w:t>成品库</w:t>
            </w:r>
            <w:r>
              <w:rPr>
                <w:rFonts w:hint="default" w:ascii="Times New Roman" w:hAnsi="Times New Roman" w:eastAsia="宋体" w:cs="Times New Roman"/>
                <w:color w:val="auto"/>
                <w:highlight w:val="none"/>
              </w:rPr>
              <w:t>等地面全部采用钢筋混凝土硬化处理。</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（2）过程防控措施</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各区域应做好防渗层的检查维修工作，及时对破损的防渗层进行修补。生产过程中的各种物料及污染物均须确保与天然土壤隔离，不会通过裸露区</w:t>
            </w:r>
            <w:r>
              <w:rPr>
                <w:rFonts w:hint="default" w:ascii="Times New Roman" w:hAnsi="Times New Roman" w:eastAsia="宋体" w:cs="Times New Roman"/>
                <w:color w:val="auto"/>
                <w:highlight w:val="none"/>
                <w:lang w:eastAsia="zh-CN"/>
              </w:rPr>
              <w:t>渗入</w:t>
            </w:r>
            <w:r>
              <w:rPr>
                <w:rFonts w:hint="default" w:ascii="Times New Roman" w:hAnsi="Times New Roman" w:eastAsia="宋体" w:cs="Times New Roman"/>
                <w:color w:val="auto"/>
                <w:highlight w:val="none"/>
              </w:rPr>
              <w:t>土壤中，尽可能避免对地下水环境、土壤环境造成不利影响。项目生产车间地面进行硬化，做一般防渗处理，</w:t>
            </w:r>
            <w:r>
              <w:rPr>
                <w:rFonts w:hint="default" w:ascii="Times New Roman" w:hAnsi="Times New Roman" w:eastAsia="宋体" w:cs="Times New Roman"/>
                <w:color w:val="auto"/>
                <w:highlight w:val="none"/>
                <w:lang w:val="en-US" w:eastAsia="zh-CN"/>
              </w:rPr>
              <w:t>危废暂存间</w:t>
            </w:r>
            <w:r>
              <w:rPr>
                <w:rFonts w:hint="default" w:ascii="Times New Roman" w:hAnsi="Times New Roman" w:eastAsia="宋体" w:cs="Times New Roman"/>
                <w:color w:val="auto"/>
                <w:highlight w:val="none"/>
              </w:rPr>
              <w:t>按照要求进行了重点防渗，正常情况下不会发生污染物渗漏。因此，正常情况项目运行不会对土壤造成不利影响。</w:t>
            </w:r>
          </w:p>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6、环境风险评价</w:t>
            </w:r>
          </w:p>
          <w:p>
            <w:pPr>
              <w:keepLines w:val="0"/>
              <w:kinsoku/>
              <w:wordWrap/>
              <w:topLinePunct w:val="0"/>
              <w:bidi w:val="0"/>
              <w:spacing w:line="360" w:lineRule="auto"/>
              <w:ind w:left="0" w:leftChars="0" w:right="0" w:rightChars="0" w:firstLine="482" w:firstLineChars="200"/>
              <w:rPr>
                <w:rFonts w:hint="default" w:ascii="Times New Roman" w:hAnsi="Times New Roman" w:eastAsia="宋体" w:cs="Times New Roman"/>
                <w:b/>
                <w:bCs/>
                <w:color w:val="auto"/>
                <w:sz w:val="24"/>
                <w:highlight w:val="none"/>
                <w:lang w:eastAsia="zh-CN"/>
              </w:rPr>
            </w:pPr>
            <w:bookmarkStart w:id="14" w:name="_Toc7407"/>
            <w:bookmarkStart w:id="15" w:name="_Toc34512929"/>
            <w:bookmarkStart w:id="16" w:name="_Toc9353016"/>
            <w:r>
              <w:rPr>
                <w:rFonts w:hint="default" w:ascii="Times New Roman" w:hAnsi="Times New Roman" w:eastAsia="宋体" w:cs="Times New Roman"/>
                <w:b/>
                <w:bCs/>
                <w:color w:val="auto"/>
                <w:sz w:val="24"/>
                <w:highlight w:val="none"/>
                <w:lang w:eastAsia="zh-CN"/>
              </w:rPr>
              <w:t>6.1环境风险潜势初判</w:t>
            </w:r>
          </w:p>
          <w:p>
            <w:pPr>
              <w:keepLines w:val="0"/>
              <w:kinsoku/>
              <w:wordWrap/>
              <w:topLinePunct w:val="0"/>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（1）危险物质及风险源分布情况</w:t>
            </w:r>
          </w:p>
          <w:p>
            <w:pPr>
              <w:keepLines w:val="0"/>
              <w:kinsoku/>
              <w:wordWrap/>
              <w:topLinePunct w:val="0"/>
              <w:bidi w:val="0"/>
              <w:spacing w:line="360" w:lineRule="auto"/>
              <w:ind w:left="0" w:leftChars="0" w:right="0" w:rightChars="0"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本项目运营期涉及的风险物质为</w:t>
            </w:r>
            <w:r>
              <w:rPr>
                <w:rFonts w:hint="default" w:ascii="Times New Roman" w:hAnsi="Times New Roman" w:eastAsia="宋体" w:cs="Times New Roman"/>
                <w:color w:val="auto"/>
                <w:highlight w:val="none"/>
                <w:lang w:eastAsia="zh-CN"/>
              </w:rPr>
              <w:t>废润滑油</w:t>
            </w:r>
            <w:r>
              <w:rPr>
                <w:rFonts w:hint="default" w:ascii="Times New Roman" w:hAnsi="Times New Roman" w:eastAsia="宋体" w:cs="Times New Roman"/>
                <w:color w:val="auto"/>
                <w:highlight w:val="none"/>
              </w:rPr>
              <w:t>和天然气。</w:t>
            </w:r>
            <w:r>
              <w:rPr>
                <w:rFonts w:hint="default" w:ascii="Times New Roman" w:hAnsi="Times New Roman" w:eastAsia="宋体" w:cs="Times New Roman"/>
                <w:color w:val="auto"/>
                <w:highlight w:val="none"/>
                <w:lang w:eastAsia="zh-CN"/>
              </w:rPr>
              <w:t>废润滑油</w:t>
            </w:r>
            <w:r>
              <w:rPr>
                <w:rFonts w:hint="default" w:ascii="Times New Roman" w:hAnsi="Times New Roman" w:eastAsia="宋体" w:cs="Times New Roman"/>
                <w:color w:val="auto"/>
                <w:highlight w:val="none"/>
              </w:rPr>
              <w:t>设计最大储存量为0.</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t。本项目不设天然气储气柜，直接通过输气管道接入本项目，调压后供本项目使用。天然气贮存量仅为输气管道的贮存量，项目区内输气管道长约100m，管道直径0.1m，设计管道压力为4.6MPa，则管道体积为0.79m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，经计算输气管道天然气贮存量为0.023t（4.6MPa压力下天然气密度是29.691kg/m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pPr>
              <w:keepLines w:val="0"/>
              <w:kinsoku/>
              <w:wordWrap/>
              <w:topLinePunct w:val="0"/>
              <w:bidi w:val="0"/>
              <w:spacing w:line="360" w:lineRule="auto"/>
              <w:ind w:left="0" w:leftChars="0" w:right="0" w:rightChars="0"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）危险物质数量与临界量比值（Q）</w:t>
            </w:r>
          </w:p>
          <w:p>
            <w:pPr>
              <w:keepLines w:val="0"/>
              <w:kinsoku/>
              <w:wordWrap/>
              <w:topLinePunct w:val="0"/>
              <w:bidi w:val="0"/>
              <w:spacing w:line="360" w:lineRule="auto"/>
              <w:ind w:left="0" w:leftChars="0" w:right="0" w:rightChars="0" w:firstLine="480" w:firstLineChars="200"/>
              <w:rPr>
                <w:rFonts w:hint="default" w:ascii="Times New Roman" w:hAnsi="Times New Roman" w:eastAsia="宋体" w:cs="Times New Roman"/>
                <w:b/>
                <w:color w:val="auto"/>
                <w:kern w:val="0"/>
                <w:sz w:val="24"/>
                <w:szCs w:val="24"/>
                <w:highlight w:val="none"/>
                <w:lang w:val="zh-CN" w:eastAsia="zh-CN" w:bidi="ar-SA"/>
              </w:rPr>
            </w:pPr>
            <w:r>
              <w:rPr>
                <w:rFonts w:hint="default" w:ascii="Times New Roman" w:hAnsi="Times New Roman" w:eastAsia="宋体" w:cs="Times New Roman"/>
                <w:color w:val="auto"/>
                <w:sz w:val="24"/>
                <w:highlight w:val="none"/>
                <w:lang w:val="en-US" w:eastAsia="zh-CN"/>
              </w:rPr>
              <w:t>根据《建设项目环境风险评价技术导则》（HJ169-2018）附录B，各风险物质的数量与临界量的比值（Q）见下表4-11：</w:t>
            </w:r>
          </w:p>
          <w:p>
            <w:pPr>
              <w:keepLines w:val="0"/>
              <w:kinsoku/>
              <w:wordWrap/>
              <w:topLinePunct w:val="0"/>
              <w:bidi w:val="0"/>
              <w:spacing w:line="360" w:lineRule="auto"/>
              <w:ind w:left="0" w:leftChars="0" w:right="0" w:rightChars="0" w:firstLine="482" w:firstLineChars="200"/>
              <w:jc w:val="center"/>
              <w:rPr>
                <w:rFonts w:hint="default" w:ascii="Times New Roman" w:hAnsi="Times New Roman" w:eastAsia="宋体" w:cs="Times New Roman"/>
                <w:b/>
                <w:color w:val="auto"/>
                <w:kern w:val="0"/>
                <w:sz w:val="24"/>
                <w:szCs w:val="24"/>
                <w:highlight w:val="none"/>
                <w:lang w:val="zh-CN" w:eastAsia="zh-CN" w:bidi="ar-SA"/>
              </w:rPr>
            </w:pPr>
            <w:r>
              <w:rPr>
                <w:rFonts w:hint="default" w:ascii="Times New Roman" w:hAnsi="Times New Roman" w:eastAsia="宋体" w:cs="Times New Roman"/>
                <w:b/>
                <w:color w:val="auto"/>
                <w:kern w:val="0"/>
                <w:sz w:val="24"/>
                <w:szCs w:val="24"/>
                <w:highlight w:val="none"/>
                <w:lang w:val="zh-CN" w:eastAsia="zh-CN" w:bidi="ar-SA"/>
              </w:rPr>
              <w:t>表</w:t>
            </w:r>
            <w:r>
              <w:rPr>
                <w:rFonts w:hint="default" w:ascii="Times New Roman" w:hAnsi="Times New Roman" w:eastAsia="宋体" w:cs="Times New Roman"/>
                <w:b/>
                <w:color w:val="auto"/>
                <w:kern w:val="0"/>
                <w:sz w:val="24"/>
                <w:szCs w:val="24"/>
                <w:highlight w:val="none"/>
                <w:lang w:val="en-US" w:eastAsia="zh-CN" w:bidi="ar-SA"/>
              </w:rPr>
              <w:t>4-11</w:t>
            </w:r>
            <w:r>
              <w:rPr>
                <w:rFonts w:hint="default" w:ascii="Times New Roman" w:hAnsi="Times New Roman" w:eastAsia="宋体" w:cs="Times New Roman"/>
                <w:b/>
                <w:color w:val="auto"/>
                <w:kern w:val="0"/>
                <w:sz w:val="24"/>
                <w:szCs w:val="24"/>
                <w:highlight w:val="none"/>
                <w:lang w:val="zh-CN" w:eastAsia="zh-CN" w:bidi="ar-SA"/>
              </w:rPr>
              <w:t>风险物质与临界量的比值</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276"/>
              <w:gridCol w:w="1151"/>
              <w:gridCol w:w="1842"/>
              <w:gridCol w:w="1236"/>
              <w:gridCol w:w="16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bidi="ar"/>
                    </w:rPr>
                    <w:t>序号</w:t>
                  </w:r>
                </w:p>
              </w:tc>
              <w:tc>
                <w:tcPr>
                  <w:tcW w:w="8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superscript"/>
                    </w:rPr>
                  </w:pPr>
                  <w:r>
                    <w:rPr>
                      <w:rFonts w:hint="default" w:ascii="Times New Roman" w:hAnsi="Times New Roman" w:eastAsia="宋体" w:cs="Times New Roman"/>
                      <w:b/>
                      <w:bCs/>
                      <w:color w:val="auto"/>
                      <w:sz w:val="21"/>
                      <w:szCs w:val="21"/>
                      <w:highlight w:val="none"/>
                      <w:lang w:bidi="ar"/>
                    </w:rPr>
                    <w:t>危险物质名称</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bidi="ar"/>
                    </w:rPr>
                    <w:t>CAS号</w:t>
                  </w:r>
                </w:p>
              </w:tc>
              <w:tc>
                <w:tcPr>
                  <w:tcW w:w="11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bidi="ar"/>
                    </w:rPr>
                    <w:t>最大存在总量q</w:t>
                  </w:r>
                  <w:r>
                    <w:rPr>
                      <w:rFonts w:hint="default" w:ascii="Times New Roman" w:hAnsi="Times New Roman" w:eastAsia="宋体" w:cs="Times New Roman"/>
                      <w:b/>
                      <w:bCs/>
                      <w:color w:val="auto"/>
                      <w:sz w:val="21"/>
                      <w:szCs w:val="21"/>
                      <w:highlight w:val="none"/>
                      <w:vertAlign w:val="subscript"/>
                      <w:lang w:bidi="ar"/>
                    </w:rPr>
                    <w:t>n</w:t>
                  </w:r>
                  <w:r>
                    <w:rPr>
                      <w:rFonts w:hint="default" w:ascii="Times New Roman" w:hAnsi="Times New Roman" w:eastAsia="宋体" w:cs="Times New Roman"/>
                      <w:b/>
                      <w:bCs/>
                      <w:color w:val="auto"/>
                      <w:sz w:val="21"/>
                      <w:szCs w:val="21"/>
                      <w:highlight w:val="none"/>
                      <w:lang w:bidi="ar"/>
                    </w:rPr>
                    <w:t>/t</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bidi="ar"/>
                    </w:rPr>
                    <w:t>临界量Q</w:t>
                  </w:r>
                  <w:r>
                    <w:rPr>
                      <w:rFonts w:hint="default" w:ascii="Times New Roman" w:hAnsi="Times New Roman" w:eastAsia="宋体" w:cs="Times New Roman"/>
                      <w:b/>
                      <w:bCs/>
                      <w:color w:val="auto"/>
                      <w:sz w:val="21"/>
                      <w:szCs w:val="21"/>
                      <w:highlight w:val="none"/>
                      <w:vertAlign w:val="subscript"/>
                      <w:lang w:bidi="ar"/>
                    </w:rPr>
                    <w:t>n</w:t>
                  </w:r>
                  <w:r>
                    <w:rPr>
                      <w:rFonts w:hint="default" w:ascii="Times New Roman" w:hAnsi="Times New Roman" w:eastAsia="宋体" w:cs="Times New Roman"/>
                      <w:b/>
                      <w:bCs/>
                      <w:color w:val="auto"/>
                      <w:sz w:val="21"/>
                      <w:szCs w:val="21"/>
                      <w:highlight w:val="none"/>
                      <w:lang w:bidi="ar"/>
                    </w:rPr>
                    <w:t>/t</w:t>
                  </w:r>
                </w:p>
              </w:tc>
              <w:tc>
                <w:tcPr>
                  <w:tcW w:w="10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bidi="ar"/>
                    </w:rPr>
                    <w:t>该种危险物质Q值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1</w:t>
                  </w:r>
                </w:p>
              </w:tc>
              <w:tc>
                <w:tcPr>
                  <w:tcW w:w="8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bidi="ar"/>
                    </w:rPr>
                  </w:pPr>
                  <w:r>
                    <w:rPr>
                      <w:rFonts w:hint="default" w:ascii="Times New Roman" w:hAnsi="Times New Roman" w:eastAsia="宋体" w:cs="Times New Roman"/>
                      <w:color w:val="auto"/>
                      <w:sz w:val="21"/>
                      <w:szCs w:val="21"/>
                      <w:highlight w:val="none"/>
                      <w:lang w:eastAsia="zh-CN"/>
                    </w:rPr>
                    <w:t>废润滑油</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bidi="ar"/>
                    </w:rPr>
                  </w:pPr>
                  <w:r>
                    <w:rPr>
                      <w:rFonts w:hint="default" w:ascii="Times New Roman" w:hAnsi="Times New Roman" w:eastAsia="宋体" w:cs="Times New Roman"/>
                      <w:color w:val="auto"/>
                      <w:sz w:val="21"/>
                      <w:szCs w:val="21"/>
                      <w:highlight w:val="none"/>
                      <w:lang w:val="en-US" w:eastAsia="zh-CN"/>
                    </w:rPr>
                    <w:t>/</w:t>
                  </w:r>
                </w:p>
              </w:tc>
              <w:tc>
                <w:tcPr>
                  <w:tcW w:w="11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bidi="ar"/>
                    </w:rPr>
                  </w:pPr>
                  <w:r>
                    <w:rPr>
                      <w:rFonts w:hint="default" w:ascii="Times New Roman" w:hAnsi="Times New Roman" w:eastAsia="宋体" w:cs="Times New Roman"/>
                      <w:color w:val="auto"/>
                      <w:sz w:val="21"/>
                      <w:szCs w:val="21"/>
                      <w:highlight w:val="none"/>
                      <w:lang w:val="en-US" w:eastAsia="zh-CN"/>
                    </w:rPr>
                    <w:t>0.1</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rPr>
                    <w:t>2500</w:t>
                  </w:r>
                </w:p>
              </w:tc>
              <w:tc>
                <w:tcPr>
                  <w:tcW w:w="10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bidi="ar"/>
                    </w:rPr>
                  </w:pPr>
                  <w:r>
                    <w:rPr>
                      <w:rFonts w:hint="default" w:ascii="Times New Roman" w:hAnsi="Times New Roman" w:eastAsia="宋体" w:cs="Times New Roman"/>
                      <w:color w:val="auto"/>
                      <w:sz w:val="21"/>
                      <w:szCs w:val="21"/>
                      <w:highlight w:val="none"/>
                      <w:lang w:val="en-US" w:eastAsia="zh-CN"/>
                    </w:rPr>
                    <w:t>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2</w:t>
                  </w:r>
                </w:p>
              </w:tc>
              <w:tc>
                <w:tcPr>
                  <w:tcW w:w="8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天然气</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1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0.023</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0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71" w:type="pct"/>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项目Q值∑</w:t>
                  </w:r>
                </w:p>
              </w:tc>
              <w:tc>
                <w:tcPr>
                  <w:tcW w:w="10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0.00234</w:t>
                  </w:r>
                </w:p>
              </w:tc>
            </w:tr>
          </w:tbl>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bidi="ar"/>
              </w:rPr>
              <w:t>本项目</w:t>
            </w:r>
            <w:r>
              <w:rPr>
                <w:rFonts w:hint="default" w:ascii="Times New Roman" w:hAnsi="Times New Roman" w:eastAsia="宋体" w:cs="Times New Roman"/>
                <w:color w:val="auto"/>
                <w:sz w:val="24"/>
                <w:highlight w:val="none"/>
                <w:lang w:bidi="ar"/>
              </w:rPr>
              <w:t>建成后</w:t>
            </w:r>
            <w:r>
              <w:rPr>
                <w:rFonts w:hint="default" w:ascii="Times New Roman" w:hAnsi="Times New Roman" w:eastAsia="宋体" w:cs="Times New Roman"/>
                <w:color w:val="auto"/>
                <w:spacing w:val="-4"/>
                <w:sz w:val="24"/>
                <w:highlight w:val="none"/>
                <w:lang w:bidi="ar"/>
              </w:rPr>
              <w:t>危险物质总量</w:t>
            </w:r>
            <w:r>
              <w:rPr>
                <w:rFonts w:hint="default" w:ascii="Times New Roman" w:hAnsi="Times New Roman" w:eastAsia="宋体" w:cs="Times New Roman"/>
                <w:color w:val="auto"/>
                <w:spacing w:val="-4"/>
                <w:sz w:val="24"/>
                <w:highlight w:val="none"/>
                <w:lang w:val="en-US" w:eastAsia="zh-CN" w:bidi="ar"/>
              </w:rPr>
              <w:t>未超过临界量且Q值</w:t>
            </w:r>
            <w:r>
              <w:rPr>
                <w:rFonts w:hint="default" w:ascii="Times New Roman" w:hAnsi="Times New Roman" w:eastAsia="宋体" w:cs="Times New Roman"/>
                <w:color w:val="auto"/>
                <w:spacing w:val="-4"/>
                <w:sz w:val="24"/>
                <w:highlight w:val="none"/>
                <w:lang w:bidi="ar"/>
              </w:rPr>
              <w:t>为0.00</w:t>
            </w:r>
            <w:r>
              <w:rPr>
                <w:rFonts w:hint="default" w:ascii="Times New Roman" w:hAnsi="Times New Roman" w:eastAsia="宋体" w:cs="Times New Roman"/>
                <w:color w:val="auto"/>
                <w:spacing w:val="-4"/>
                <w:sz w:val="24"/>
                <w:highlight w:val="none"/>
                <w:lang w:val="en-US" w:eastAsia="zh-CN" w:bidi="ar"/>
              </w:rPr>
              <w:t>784</w:t>
            </w:r>
            <w:r>
              <w:rPr>
                <w:rFonts w:hint="default" w:ascii="Times New Roman" w:hAnsi="Times New Roman" w:eastAsia="宋体" w:cs="Times New Roman"/>
                <w:color w:val="auto"/>
                <w:sz w:val="24"/>
                <w:highlight w:val="none"/>
                <w:lang w:bidi="ar"/>
              </w:rPr>
              <w:t>＜</w:t>
            </w:r>
            <w:r>
              <w:rPr>
                <w:rFonts w:hint="default" w:ascii="Times New Roman" w:hAnsi="Times New Roman" w:eastAsia="宋体" w:cs="Times New Roman"/>
                <w:color w:val="auto"/>
                <w:sz w:val="24"/>
                <w:highlight w:val="none"/>
                <w:lang w:val="en-US" w:eastAsia="zh-CN" w:bidi="ar"/>
              </w:rPr>
              <w:t>1</w:t>
            </w:r>
            <w:r>
              <w:rPr>
                <w:rFonts w:hint="default" w:ascii="Times New Roman" w:hAnsi="Times New Roman" w:eastAsia="宋体" w:cs="Times New Roman"/>
                <w:color w:val="auto"/>
                <w:sz w:val="24"/>
                <w:highlight w:val="none"/>
                <w:lang w:bidi="ar"/>
              </w:rPr>
              <w:t>，</w:t>
            </w:r>
            <w:r>
              <w:rPr>
                <w:rFonts w:hint="default" w:ascii="Times New Roman" w:hAnsi="Times New Roman" w:eastAsia="宋体" w:cs="Times New Roman"/>
                <w:color w:val="auto"/>
                <w:sz w:val="24"/>
                <w:highlight w:val="none"/>
                <w:lang w:val="en-US" w:eastAsia="zh-CN" w:bidi="ar"/>
              </w:rPr>
              <w:t>因此</w:t>
            </w:r>
            <w:r>
              <w:rPr>
                <w:rFonts w:hint="default" w:ascii="Times New Roman" w:hAnsi="Times New Roman" w:eastAsia="宋体" w:cs="Times New Roman"/>
                <w:color w:val="auto"/>
                <w:sz w:val="24"/>
                <w:highlight w:val="none"/>
                <w:lang w:eastAsia="zh-CN" w:bidi="ar"/>
              </w:rPr>
              <w:t>本项目</w:t>
            </w:r>
            <w:r>
              <w:rPr>
                <w:rFonts w:hint="default" w:ascii="Times New Roman" w:hAnsi="Times New Roman" w:eastAsia="宋体" w:cs="Times New Roman"/>
                <w:color w:val="auto"/>
                <w:sz w:val="24"/>
                <w:highlight w:val="none"/>
                <w:lang w:bidi="ar"/>
              </w:rPr>
              <w:t>无需进行环境风险专项评价</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val="en-US" w:eastAsia="zh-CN" w:bidi="ar"/>
              </w:rPr>
              <w:t>仅进行简单分析</w:t>
            </w:r>
            <w:r>
              <w:rPr>
                <w:rFonts w:hint="default" w:ascii="Times New Roman" w:hAnsi="Times New Roman" w:eastAsia="宋体" w:cs="Times New Roman"/>
                <w:color w:val="auto"/>
                <w:sz w:val="24"/>
                <w:highlight w:val="none"/>
                <w:lang w:bidi="ar"/>
              </w:rPr>
              <w:t>。</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b/>
                <w:color w:val="auto"/>
                <w:kern w:val="0"/>
                <w:sz w:val="24"/>
                <w:szCs w:val="24"/>
                <w:highlight w:val="none"/>
                <w:lang w:val="zh-CN" w:eastAsia="zh-CN" w:bidi="ar-SA"/>
              </w:rPr>
            </w:pPr>
            <w:r>
              <w:rPr>
                <w:rFonts w:hint="default" w:ascii="Times New Roman" w:hAnsi="Times New Roman" w:eastAsia="宋体" w:cs="Times New Roman"/>
                <w:color w:val="auto"/>
                <w:sz w:val="24"/>
                <w:highlight w:val="none"/>
                <w:lang w:bidi="ar"/>
              </w:rPr>
              <w:t>本次工程涉及的主要危险物质为</w:t>
            </w:r>
            <w:r>
              <w:rPr>
                <w:rFonts w:hint="default" w:ascii="Times New Roman" w:hAnsi="Times New Roman" w:eastAsia="宋体" w:cs="Times New Roman"/>
                <w:color w:val="auto"/>
                <w:sz w:val="24"/>
                <w:highlight w:val="none"/>
                <w:lang w:val="en-US" w:eastAsia="zh-CN" w:bidi="ar"/>
              </w:rPr>
              <w:t>废润滑油和天然气</w:t>
            </w:r>
            <w:r>
              <w:rPr>
                <w:rFonts w:hint="default" w:ascii="Times New Roman" w:hAnsi="Times New Roman" w:eastAsia="宋体" w:cs="Times New Roman"/>
                <w:color w:val="auto"/>
                <w:sz w:val="24"/>
                <w:highlight w:val="none"/>
                <w:lang w:bidi="ar"/>
              </w:rPr>
              <w:t>。物质特性如下：</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2" w:firstLineChars="200"/>
              <w:jc w:val="center"/>
              <w:textAlignment w:val="auto"/>
              <w:rPr>
                <w:rFonts w:hint="default" w:ascii="Times New Roman" w:hAnsi="Times New Roman" w:eastAsia="宋体" w:cs="Times New Roman"/>
                <w:b/>
                <w:color w:val="auto"/>
                <w:kern w:val="0"/>
                <w:sz w:val="24"/>
                <w:szCs w:val="24"/>
                <w:highlight w:val="none"/>
                <w:lang w:val="zh-CN" w:eastAsia="zh-CN" w:bidi="ar-SA"/>
              </w:rPr>
            </w:pPr>
            <w:r>
              <w:rPr>
                <w:rFonts w:hint="default" w:ascii="Times New Roman" w:hAnsi="Times New Roman" w:eastAsia="宋体" w:cs="Times New Roman"/>
                <w:b/>
                <w:color w:val="auto"/>
                <w:kern w:val="0"/>
                <w:sz w:val="24"/>
                <w:szCs w:val="24"/>
                <w:highlight w:val="none"/>
                <w:lang w:val="zh-CN" w:eastAsia="zh-CN" w:bidi="ar-SA"/>
              </w:rPr>
              <w:t>表</w:t>
            </w:r>
            <w:r>
              <w:rPr>
                <w:rFonts w:hint="default" w:ascii="Times New Roman" w:hAnsi="Times New Roman" w:eastAsia="宋体" w:cs="Times New Roman"/>
                <w:b/>
                <w:color w:val="auto"/>
                <w:kern w:val="0"/>
                <w:sz w:val="24"/>
                <w:szCs w:val="24"/>
                <w:highlight w:val="none"/>
                <w:lang w:val="en-US" w:eastAsia="zh-CN" w:bidi="ar-SA"/>
              </w:rPr>
              <w:t>4-12</w:t>
            </w:r>
            <w:r>
              <w:rPr>
                <w:rFonts w:hint="default" w:ascii="Times New Roman" w:hAnsi="Times New Roman" w:eastAsia="宋体" w:cs="Times New Roman"/>
                <w:b/>
                <w:color w:val="auto"/>
                <w:kern w:val="0"/>
                <w:sz w:val="24"/>
                <w:szCs w:val="24"/>
                <w:highlight w:val="none"/>
                <w:lang w:val="zh-CN" w:eastAsia="zh-CN" w:bidi="ar-SA"/>
              </w:rPr>
              <w:t>废</w:t>
            </w:r>
            <w:r>
              <w:rPr>
                <w:rFonts w:hint="default" w:ascii="Times New Roman" w:hAnsi="Times New Roman" w:eastAsia="宋体" w:cs="Times New Roman"/>
                <w:b/>
                <w:color w:val="auto"/>
                <w:kern w:val="0"/>
                <w:sz w:val="24"/>
                <w:szCs w:val="24"/>
                <w:highlight w:val="none"/>
                <w:lang w:val="en-US" w:eastAsia="zh-CN" w:bidi="ar-SA"/>
              </w:rPr>
              <w:t>润滑</w:t>
            </w:r>
            <w:r>
              <w:rPr>
                <w:rFonts w:hint="default" w:ascii="Times New Roman" w:hAnsi="Times New Roman" w:eastAsia="宋体" w:cs="Times New Roman"/>
                <w:b/>
                <w:color w:val="auto"/>
                <w:kern w:val="0"/>
                <w:sz w:val="24"/>
                <w:szCs w:val="24"/>
                <w:highlight w:val="none"/>
                <w:lang w:val="zh-CN" w:eastAsia="zh-CN" w:bidi="ar-SA"/>
              </w:rPr>
              <w:t>油的理化性质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7"/>
              <w:gridCol w:w="72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napToGrid w:val="0"/>
                      <w:color w:val="auto"/>
                      <w:kern w:val="0"/>
                      <w:sz w:val="21"/>
                      <w:szCs w:val="21"/>
                      <w:highlight w:val="none"/>
                    </w:rPr>
                  </w:pPr>
                  <w:r>
                    <w:rPr>
                      <w:rFonts w:hint="default" w:ascii="Times New Roman" w:hAnsi="Times New Roman" w:eastAsia="宋体" w:cs="Times New Roman"/>
                      <w:b/>
                      <w:bCs/>
                      <w:snapToGrid w:val="0"/>
                      <w:color w:val="auto"/>
                      <w:kern w:val="0"/>
                      <w:sz w:val="21"/>
                      <w:szCs w:val="21"/>
                      <w:highlight w:val="none"/>
                    </w:rPr>
                    <w:t>名称</w:t>
                  </w:r>
                </w:p>
              </w:tc>
              <w:tc>
                <w:tcPr>
                  <w:tcW w:w="74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pacing w:val="10"/>
                      <w:sz w:val="21"/>
                      <w:szCs w:val="21"/>
                      <w:highlight w:val="none"/>
                    </w:rPr>
                  </w:pPr>
                  <w:r>
                    <w:rPr>
                      <w:rFonts w:hint="default" w:ascii="Times New Roman" w:hAnsi="Times New Roman" w:eastAsia="宋体" w:cs="Times New Roman"/>
                      <w:b/>
                      <w:bCs/>
                      <w:color w:val="auto"/>
                      <w:sz w:val="21"/>
                      <w:szCs w:val="21"/>
                      <w:highlight w:val="none"/>
                    </w:rPr>
                    <w:t>其他油类物质（废</w:t>
                  </w:r>
                  <w:r>
                    <w:rPr>
                      <w:rFonts w:hint="default" w:ascii="Times New Roman" w:hAnsi="Times New Roman" w:eastAsia="宋体" w:cs="Times New Roman"/>
                      <w:b/>
                      <w:bCs/>
                      <w:color w:val="auto"/>
                      <w:sz w:val="21"/>
                      <w:szCs w:val="21"/>
                      <w:highlight w:val="none"/>
                      <w:lang w:val="en-US" w:eastAsia="zh-CN"/>
                    </w:rPr>
                    <w:t>润滑</w:t>
                  </w:r>
                  <w:r>
                    <w:rPr>
                      <w:rFonts w:hint="default" w:ascii="Times New Roman" w:hAnsi="Times New Roman" w:eastAsia="宋体" w:cs="Times New Roman"/>
                      <w:b/>
                      <w:bCs/>
                      <w:color w:val="auto"/>
                      <w:sz w:val="21"/>
                      <w:szCs w:val="21"/>
                      <w:highlight w:val="none"/>
                    </w:rPr>
                    <w:t>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理化性质</w:t>
                  </w:r>
                </w:p>
              </w:tc>
              <w:tc>
                <w:tcPr>
                  <w:tcW w:w="74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润滑油，汽车或生产设备用的润滑油等一般是分馏石油的产物，也有从动植物油中提炼的，包含“润滑脂”。一般为不易挥发的油状润滑剂。是用在各种类型机械上以减少摩擦，保护机械及加工件的液体润滑剂，主要起润滑、冷却、防锈、清洁、密封和缓冲等作用润滑油是一种技术密集型产品，是复杂的碳氢化合物的混合物，而其真正使用性能又是复杂的物理或化学变化过程的综合效应。润滑油的基本性能包括一般理化性能、特殊理化性能和模拟台架试验。</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（1）外观（色度）：</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油品的颜色，往往可以反映其精制程度和稳定性。对于基础油来说，一般精制程度越高，其烃的氧化物和硫化物脱除</w:t>
                  </w:r>
                  <w:r>
                    <w:rPr>
                      <w:rFonts w:hint="default" w:ascii="Times New Roman" w:hAnsi="Times New Roman" w:eastAsia="宋体" w:cs="Times New Roman"/>
                      <w:color w:val="auto"/>
                      <w:sz w:val="21"/>
                      <w:szCs w:val="21"/>
                      <w:highlight w:val="none"/>
                      <w:lang w:eastAsia="zh-CN"/>
                    </w:rPr>
                    <w:t>得</w:t>
                  </w:r>
                  <w:r>
                    <w:rPr>
                      <w:rFonts w:hint="default" w:ascii="Times New Roman" w:hAnsi="Times New Roman" w:eastAsia="宋体" w:cs="Times New Roman"/>
                      <w:color w:val="auto"/>
                      <w:sz w:val="21"/>
                      <w:szCs w:val="21"/>
                      <w:highlight w:val="none"/>
                    </w:rPr>
                    <w:t>越干净，颜色也就越浅。但是，即使精制的条件相同，不同油源和基属的原油所生产的基础油，其颜色和透明度也可能是不相同的。</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（2）密度：</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密度是润滑油最简单、最常用的物理性能指标。润滑油的密度随其组成中含碳、氧、硫的数量的增加而增大，因而在同样粘度或同样相对分子质量的情况下，含芳烃多的，含胶质和沥青质多的润滑油密度最大，含环烷烃多的居中，含烷烃多的最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（3）粘度</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粘度反映油品的内摩擦力，是表示油品油性和流动性的一项指标。在未加任何功能添加剂的前提下，粘度越大，油膜强度越高，流动性越差。</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（4）粘度指数</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粘度指数表示油品粘度随温度变化的程度。粘度指数越高，表示油品粘度受温度的影响越小，其粘温性能越好，反之越差。</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（5）闪点</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shd w:val="clear" w:color="auto" w:fill="FFFFFF"/>
                    </w:rPr>
                  </w:pPr>
                  <w:r>
                    <w:rPr>
                      <w:rFonts w:hint="default" w:ascii="Times New Roman" w:hAnsi="Times New Roman" w:eastAsia="宋体" w:cs="Times New Roman"/>
                      <w:color w:val="auto"/>
                      <w:sz w:val="21"/>
                      <w:szCs w:val="21"/>
                      <w:highlight w:val="none"/>
                    </w:rPr>
                    <w:t>闪点是表示油品蒸发性的一项指标。油品的馏分越轻，蒸发性越大，其闪点也越低。反之，油品的馏分越重，蒸发性越小，其闪点也越高。同时，闪点又是表示石油产品着火危险性的指标。油品的危险等级是根据闪点划分的，闪点在45℃以下为易燃品，45℃以上为可燃品</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油品的储运过程中严禁将油品加热到它的闪点温度。在粘度相同的情况下，闪点越高越好。因此，用户在选用润滑油时应根据使用温度和润滑油的工作条件进行选择。一般认为，闪点比使用温度高20～30℃，即可安全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储存方式</w:t>
                  </w:r>
                </w:p>
              </w:tc>
              <w:tc>
                <w:tcPr>
                  <w:tcW w:w="74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存储方式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桶装及罐装润滑油在可能范围内应存储于仓库内，以免受气候影响，已</w:t>
                  </w:r>
                  <w:r>
                    <w:rPr>
                      <w:rFonts w:hint="default" w:ascii="Times New Roman" w:hAnsi="Times New Roman" w:eastAsia="宋体" w:cs="Times New Roman"/>
                      <w:color w:val="auto"/>
                      <w:sz w:val="21"/>
                      <w:szCs w:val="21"/>
                      <w:highlight w:val="none"/>
                      <w:lang w:eastAsia="zh-CN"/>
                    </w:rPr>
                    <w:t>开封</w:t>
                  </w:r>
                  <w:r>
                    <w:rPr>
                      <w:rFonts w:hint="default" w:ascii="Times New Roman" w:hAnsi="Times New Roman" w:eastAsia="宋体" w:cs="Times New Roman"/>
                      <w:color w:val="auto"/>
                      <w:sz w:val="21"/>
                      <w:szCs w:val="21"/>
                      <w:highlight w:val="none"/>
                    </w:rPr>
                    <w:t>的润滑油必须存储在仓库内。油桶以卧放为宜，桶的两端均须用木楔楔紧，以防滚动。此外应经常检查油桶有无泄漏及桶面上的标志是否清晰。如必须将桶直放时，宜将桶倒置，使桶盖向下，或将桶略微倾斜，以免雨水聚集于桶面而</w:t>
                  </w:r>
                  <w:r>
                    <w:rPr>
                      <w:rFonts w:hint="default" w:ascii="Times New Roman" w:hAnsi="Times New Roman" w:eastAsia="宋体" w:cs="Times New Roman"/>
                      <w:color w:val="auto"/>
                      <w:sz w:val="21"/>
                      <w:szCs w:val="21"/>
                      <w:highlight w:val="none"/>
                      <w:lang w:eastAsia="zh-CN"/>
                    </w:rPr>
                    <w:t>掩盖</w:t>
                  </w:r>
                  <w:r>
                    <w:rPr>
                      <w:rFonts w:hint="default" w:ascii="Times New Roman" w:hAnsi="Times New Roman" w:eastAsia="宋体" w:cs="Times New Roman"/>
                      <w:color w:val="auto"/>
                      <w:sz w:val="21"/>
                      <w:szCs w:val="21"/>
                      <w:highlight w:val="none"/>
                    </w:rPr>
                    <w:t>桶拴。水对任何润滑油均有不良影响。</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取油时，应将油桶</w:t>
                  </w:r>
                  <w:r>
                    <w:rPr>
                      <w:rFonts w:hint="default" w:ascii="Times New Roman" w:hAnsi="Times New Roman" w:eastAsia="宋体" w:cs="Times New Roman"/>
                      <w:color w:val="auto"/>
                      <w:sz w:val="21"/>
                      <w:szCs w:val="21"/>
                      <w:highlight w:val="none"/>
                      <w:lang w:eastAsia="zh-CN"/>
                    </w:rPr>
                    <w:t>搁置</w:t>
                  </w:r>
                  <w:r>
                    <w:rPr>
                      <w:rFonts w:hint="default" w:ascii="Times New Roman" w:hAnsi="Times New Roman" w:eastAsia="宋体" w:cs="Times New Roman"/>
                      <w:color w:val="auto"/>
                      <w:sz w:val="21"/>
                      <w:szCs w:val="21"/>
                      <w:highlight w:val="none"/>
                    </w:rPr>
                    <w:t>于一高度适当的木架上，在桶面的盖口处配以龙头放油，并在龙头下放一容器，以防滴溅。或将油桶直放从桶盖口插入油管通过手摇泵取油。</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太低或太高的温度皆对润滑油有不良的影响，因而不宜将润滑油长久存储于过冷或过热的地方。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危险特性</w:t>
                  </w:r>
                </w:p>
              </w:tc>
              <w:tc>
                <w:tcPr>
                  <w:tcW w:w="74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无资料。</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表4-13天然气理化性质表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2771"/>
              <w:gridCol w:w="1893"/>
              <w:gridCol w:w="20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标识</w:t>
                  </w: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中文名：天然气、沼气</w:t>
                  </w:r>
                </w:p>
              </w:tc>
              <w:tc>
                <w:tcPr>
                  <w:tcW w:w="199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英文名：Naturslgsa</w:t>
                  </w:r>
                </w:p>
              </w:tc>
              <w:tc>
                <w:tcPr>
                  <w:tcW w:w="211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分子式：/</w:t>
                  </w:r>
                </w:p>
              </w:tc>
              <w:tc>
                <w:tcPr>
                  <w:tcW w:w="199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分子量</w:t>
                  </w:r>
                </w:p>
              </w:tc>
              <w:tc>
                <w:tcPr>
                  <w:tcW w:w="211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UN编号：1971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危险性类别第2.1类易燃气体</w:t>
                  </w:r>
                </w:p>
              </w:tc>
              <w:tc>
                <w:tcPr>
                  <w:tcW w:w="199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CAS号：--</w:t>
                  </w:r>
                </w:p>
              </w:tc>
              <w:tc>
                <w:tcPr>
                  <w:tcW w:w="211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危规号：21007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理化性质</w:t>
                  </w: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性状：无色、无臭气体</w:t>
                  </w:r>
                </w:p>
              </w:tc>
              <w:tc>
                <w:tcPr>
                  <w:tcW w:w="199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p>
              </w:tc>
              <w:tc>
                <w:tcPr>
                  <w:tcW w:w="211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7032"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主要用途：是重要的有机化工原料，可作为制造炭黑、合成氨、甲醇以及其他有机化合物、亦是优良的燃料。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最大爆炸压力/MPa0.717</w:t>
                  </w:r>
                </w:p>
              </w:tc>
              <w:tc>
                <w:tcPr>
                  <w:tcW w:w="411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溶解性：溶于水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沸点/℃-160</w:t>
                  </w:r>
                </w:p>
              </w:tc>
              <w:tc>
                <w:tcPr>
                  <w:tcW w:w="411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相对密度：（水=1）约0.45（液化）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熔点/℃-182.5</w:t>
                  </w:r>
                </w:p>
              </w:tc>
              <w:tc>
                <w:tcPr>
                  <w:tcW w:w="411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燃烧值（kj/mol）：803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7032"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燃烧值（kj/mol）：803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临界温度/℃：-82.6</w:t>
                  </w:r>
                </w:p>
              </w:tc>
              <w:tc>
                <w:tcPr>
                  <w:tcW w:w="411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临界压力/Mpa：4.62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燃烧爆炸危险性</w:t>
                  </w: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燃烧性：易燃</w:t>
                  </w:r>
                </w:p>
              </w:tc>
              <w:tc>
                <w:tcPr>
                  <w:tcW w:w="411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燃烧分解产物：CO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闪点/℃：/</w:t>
                  </w:r>
                </w:p>
              </w:tc>
              <w:tc>
                <w:tcPr>
                  <w:tcW w:w="411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火灾危险性：甲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爆炸极限5%～14%</w:t>
                  </w:r>
                </w:p>
              </w:tc>
              <w:tc>
                <w:tcPr>
                  <w:tcW w:w="411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聚合危害不聚合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引燃温度/℃</w:t>
                  </w:r>
                </w:p>
              </w:tc>
              <w:tc>
                <w:tcPr>
                  <w:tcW w:w="411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稳定性稳定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最大爆炸压力/MPa0.717</w:t>
                  </w:r>
                </w:p>
              </w:tc>
              <w:tc>
                <w:tcPr>
                  <w:tcW w:w="411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禁忌物强氧化剂、卤素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92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最小火点能（mj）：0.28</w:t>
                  </w:r>
                </w:p>
              </w:tc>
              <w:tc>
                <w:tcPr>
                  <w:tcW w:w="411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燃烧温度（℃）：2020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7032"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危险特性与空气混合能形成爆炸性混合物，遇明火、高热极易燃烧爆炸。与氟、氯等能发生剧烈的化学反应。其蒸汽遇明火会引着回燃。若遇高热，容器内压增大，有开裂和爆炸的危险。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7032"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灭火方法切断气源。若不能立即切断源，则不允许熄灭正在燃烧的气体，喷水冷却容器，可能的话将容器从火场移至空旷处。雾状水、泡沫、二氧化碳。灭火器泡沫、干粉、二氧化碳、砂土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毒性</w:t>
                  </w:r>
                </w:p>
              </w:tc>
              <w:tc>
                <w:tcPr>
                  <w:tcW w:w="7032"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接触限制中国MAC：未制订标准；前苏联MAC：未制订标准美国TLV-TWA：未制订标准；美国TLV-STEL；未制订标准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对人体的危害</w:t>
                  </w:r>
                </w:p>
              </w:tc>
              <w:tc>
                <w:tcPr>
                  <w:tcW w:w="7032"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侵入途径吸入健康危害急性中毒时，可有头昏、头痛、呕吐、乏力甚至昏迷。病程中尚可出现精神症状，步态不稳，昏迷过程久者，醒后可有运动性失语及偏瘫。长期接触天然气者，可出现神经衰弱综合征。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急救</w:t>
                  </w:r>
                </w:p>
              </w:tc>
              <w:tc>
                <w:tcPr>
                  <w:tcW w:w="7032"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吸入脱离有毒环境，至空气新鲜处，给氧，对症治疗。注意防治脑水肿。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防护</w:t>
                  </w:r>
                </w:p>
              </w:tc>
              <w:tc>
                <w:tcPr>
                  <w:tcW w:w="7032"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程控制密闭操作。提供良好的自然通风条件。呼吸系统防护：高浓度环境中，佩戴供气式呼吸器。眼睛防护：一般不需要特殊防护，高浓度接触时可戴化学安全防护眼镜。防护服：穿防静电工作服。手防护：必要时戴防护手套。其他工作现场严禁吸烟。避免高浓度吸入。</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6.2环境风险分析</w:t>
            </w:r>
          </w:p>
          <w:p>
            <w:pPr>
              <w:keepNext w:val="0"/>
              <w:keepLines w:val="0"/>
              <w:pageBreakBefore w:val="0"/>
              <w:tabs>
                <w:tab w:val="left" w:pos="2685"/>
                <w:tab w:val="center" w:pos="4284"/>
              </w:tabs>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szCs w:val="24"/>
                <w:highlight w:val="none"/>
              </w:rPr>
              <w:t>泄漏事故环境影响分析：</w:t>
            </w:r>
          </w:p>
          <w:p>
            <w:pPr>
              <w:keepNext w:val="0"/>
              <w:keepLines w:val="0"/>
              <w:pageBreakBefore w:val="0"/>
              <w:tabs>
                <w:tab w:val="left" w:pos="2685"/>
                <w:tab w:val="center" w:pos="4284"/>
              </w:tabs>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如果发生</w:t>
            </w:r>
            <w:r>
              <w:rPr>
                <w:rFonts w:hint="default" w:ascii="Times New Roman" w:hAnsi="Times New Roman" w:eastAsia="宋体" w:cs="Times New Roman"/>
                <w:color w:val="auto"/>
                <w:sz w:val="24"/>
                <w:szCs w:val="24"/>
                <w:highlight w:val="none"/>
                <w:lang w:eastAsia="zh-CN"/>
              </w:rPr>
              <w:t>废润滑油</w:t>
            </w:r>
            <w:r>
              <w:rPr>
                <w:rFonts w:hint="default" w:ascii="Times New Roman" w:hAnsi="Times New Roman" w:eastAsia="宋体" w:cs="Times New Roman"/>
                <w:color w:val="auto"/>
                <w:sz w:val="24"/>
                <w:szCs w:val="24"/>
                <w:highlight w:val="none"/>
              </w:rPr>
              <w:t>泄漏事故，如不采取措施，溢出和泄漏废油不仅污染周边土壤以及影响农作物正常生长，而且泄漏后</w:t>
            </w:r>
            <w:r>
              <w:rPr>
                <w:rFonts w:hint="default" w:ascii="Times New Roman" w:hAnsi="Times New Roman" w:eastAsia="宋体" w:cs="Times New Roman"/>
                <w:color w:val="auto"/>
                <w:sz w:val="24"/>
                <w:szCs w:val="24"/>
                <w:highlight w:val="none"/>
                <w:lang w:eastAsia="zh-CN"/>
              </w:rPr>
              <w:t>挥发</w:t>
            </w:r>
            <w:r>
              <w:rPr>
                <w:rFonts w:hint="default" w:ascii="Times New Roman" w:hAnsi="Times New Roman" w:eastAsia="宋体" w:cs="Times New Roman"/>
                <w:color w:val="auto"/>
                <w:sz w:val="24"/>
                <w:szCs w:val="24"/>
                <w:highlight w:val="none"/>
              </w:rPr>
              <w:t>的有机废气可能会对环境空气造成影响。</w:t>
            </w:r>
          </w:p>
          <w:p>
            <w:pPr>
              <w:keepNext w:val="0"/>
              <w:keepLines w:val="0"/>
              <w:pageBreakBefore w:val="0"/>
              <w:tabs>
                <w:tab w:val="left" w:pos="2685"/>
                <w:tab w:val="center" w:pos="4284"/>
              </w:tabs>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szCs w:val="24"/>
                <w:highlight w:val="none"/>
              </w:rPr>
              <w:t>泄漏事故环境影响分析：</w:t>
            </w:r>
          </w:p>
          <w:p>
            <w:pPr>
              <w:keepNext w:val="0"/>
              <w:keepLines w:val="0"/>
              <w:pageBreakBefore w:val="0"/>
              <w:tabs>
                <w:tab w:val="left" w:pos="2685"/>
                <w:tab w:val="center" w:pos="4284"/>
              </w:tabs>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如果发生</w:t>
            </w:r>
            <w:r>
              <w:rPr>
                <w:rFonts w:hint="default" w:ascii="Times New Roman" w:hAnsi="Times New Roman" w:eastAsia="宋体" w:cs="Times New Roman"/>
                <w:color w:val="auto"/>
                <w:sz w:val="24"/>
                <w:szCs w:val="24"/>
                <w:highlight w:val="none"/>
                <w:lang w:eastAsia="zh-CN"/>
              </w:rPr>
              <w:t>天然气</w:t>
            </w:r>
            <w:r>
              <w:rPr>
                <w:rFonts w:hint="default" w:ascii="Times New Roman" w:hAnsi="Times New Roman" w:eastAsia="宋体" w:cs="Times New Roman"/>
                <w:color w:val="auto"/>
                <w:sz w:val="24"/>
                <w:szCs w:val="24"/>
                <w:highlight w:val="none"/>
              </w:rPr>
              <w:t>泄漏事故，如不采取措施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泄漏</w:t>
            </w:r>
            <w:r>
              <w:rPr>
                <w:rFonts w:hint="default" w:ascii="Times New Roman" w:hAnsi="Times New Roman" w:eastAsia="宋体" w:cs="Times New Roman"/>
                <w:color w:val="auto"/>
                <w:sz w:val="24"/>
                <w:szCs w:val="24"/>
                <w:highlight w:val="none"/>
                <w:lang w:val="en-US" w:eastAsia="zh-CN"/>
              </w:rPr>
              <w:t>的天然气遇明火发生火灾及爆炸事故，会对周围的居民和大气环境产生影响</w:t>
            </w:r>
            <w:r>
              <w:rPr>
                <w:rFonts w:hint="default" w:ascii="Times New Roman" w:hAnsi="Times New Roman" w:eastAsia="宋体" w:cs="Times New Roman"/>
                <w:color w:val="auto"/>
                <w:sz w:val="24"/>
                <w:szCs w:val="24"/>
                <w:highlight w:val="none"/>
              </w:rPr>
              <w:t>。</w:t>
            </w:r>
          </w:p>
          <w:p>
            <w:pPr>
              <w:keepNext w:val="0"/>
              <w:keepLines w:val="0"/>
              <w:pageBreakBefore w:val="0"/>
              <w:tabs>
                <w:tab w:val="left" w:pos="2685"/>
                <w:tab w:val="center" w:pos="4284"/>
              </w:tabs>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szCs w:val="24"/>
                <w:highlight w:val="none"/>
              </w:rPr>
              <w:t>伴生次生危害环境影响分析：</w:t>
            </w:r>
          </w:p>
          <w:p>
            <w:pPr>
              <w:keepNext w:val="0"/>
              <w:keepLines w:val="0"/>
              <w:pageBreakBefore w:val="0"/>
              <w:tabs>
                <w:tab w:val="left" w:pos="2685"/>
                <w:tab w:val="center" w:pos="4284"/>
              </w:tabs>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color w:val="auto"/>
                <w:sz w:val="24"/>
                <w:szCs w:val="24"/>
                <w:highlight w:val="none"/>
              </w:rPr>
              <w:t>如发生废油外溢事故，遇明火发生火灾事故，产生的有毒、有害气体一氧化碳不仅会造成环境空气污染，而且火灾时产生的消防水及废砂如不妥善处理也会对环境产生不利影响：如果火灾引发爆炸事故，飞溅的油滴会对环境产生影响。</w:t>
            </w:r>
          </w:p>
          <w:p>
            <w:pPr>
              <w:keepNext w:val="0"/>
              <w:keepLines w:val="0"/>
              <w:pageBreakBefore w:val="0"/>
              <w:numPr>
                <w:ilvl w:val="0"/>
                <w:numId w:val="0"/>
              </w:numPr>
              <w:tabs>
                <w:tab w:val="left" w:pos="1001"/>
                <w:tab w:val="left" w:pos="1144"/>
              </w:tabs>
              <w:kinsoku/>
              <w:wordWrap/>
              <w:overflowPunct/>
              <w:topLinePunct w:val="0"/>
              <w:autoSpaceDE/>
              <w:autoSpaceDN/>
              <w:bidi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环境风险防范措施</w:t>
            </w:r>
          </w:p>
          <w:p>
            <w:pPr>
              <w:keepNext w:val="0"/>
              <w:keepLines w:val="0"/>
              <w:pageBreakBefore w:val="0"/>
              <w:tabs>
                <w:tab w:val="left" w:pos="2093"/>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szCs w:val="24"/>
                <w:highlight w:val="none"/>
              </w:rPr>
              <w:t>厂内风险防范措施</w:t>
            </w:r>
          </w:p>
          <w:p>
            <w:pPr>
              <w:keepNext w:val="0"/>
              <w:keepLines w:val="0"/>
              <w:pageBreakBefore w:val="0"/>
              <w:tabs>
                <w:tab w:val="left" w:pos="2093"/>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危险废物</w:t>
            </w:r>
            <w:r>
              <w:rPr>
                <w:rFonts w:hint="default" w:ascii="Times New Roman" w:hAnsi="Times New Roman" w:eastAsia="宋体" w:cs="Times New Roman"/>
                <w:color w:val="auto"/>
                <w:sz w:val="24"/>
                <w:szCs w:val="24"/>
                <w:highlight w:val="none"/>
                <w:lang w:eastAsia="zh-CN"/>
              </w:rPr>
              <w:t>废润滑油</w:t>
            </w:r>
            <w:r>
              <w:rPr>
                <w:rFonts w:hint="default" w:ascii="Times New Roman" w:hAnsi="Times New Roman" w:eastAsia="宋体" w:cs="Times New Roman"/>
                <w:color w:val="auto"/>
                <w:sz w:val="24"/>
                <w:szCs w:val="24"/>
                <w:highlight w:val="none"/>
              </w:rPr>
              <w:t>在厂内输送应满足《危险废物收集、贮存、运输技术规范》（HJ2025</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2012）和《危险货物道路运输安全管理规定》的要求。采取必要的措施防止固废的扬尘、溢出和泄露；运输车辆定期清洗；厂内运输危废和危险品车辆按照专用路线行驶；厂内危废运输设施管理、维护产生的各种废物均应按照危险废物进行管理和处置。</w:t>
            </w:r>
          </w:p>
          <w:p>
            <w:pPr>
              <w:keepNext w:val="0"/>
              <w:keepLines w:val="0"/>
              <w:pageBreakBefore w:val="0"/>
              <w:tabs>
                <w:tab w:val="left" w:pos="2685"/>
                <w:tab w:val="center" w:pos="4284"/>
              </w:tabs>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泄漏环境事件对地下水的影响主要来源于废油泄漏，</w:t>
            </w:r>
            <w:r>
              <w:rPr>
                <w:rFonts w:hint="default" w:ascii="Times New Roman" w:hAnsi="Times New Roman" w:eastAsia="宋体" w:cs="Times New Roman"/>
                <w:color w:val="auto"/>
                <w:sz w:val="24"/>
                <w:szCs w:val="24"/>
                <w:highlight w:val="none"/>
                <w:lang w:eastAsia="zh-CN"/>
              </w:rPr>
              <w:t>本项目</w:t>
            </w:r>
            <w:r>
              <w:rPr>
                <w:rFonts w:hint="default" w:ascii="Times New Roman" w:hAnsi="Times New Roman" w:eastAsia="宋体" w:cs="Times New Roman"/>
                <w:color w:val="auto"/>
                <w:sz w:val="24"/>
                <w:szCs w:val="24"/>
                <w:highlight w:val="none"/>
              </w:rPr>
              <w:t>废油存储于危废暂存间，危废暂存间设置导流沟及集水池，可防止污染物泄漏对地下水造成影响。</w:t>
            </w:r>
          </w:p>
          <w:p>
            <w:pPr>
              <w:keepNext w:val="0"/>
              <w:keepLines w:val="0"/>
              <w:pageBreakBefore w:val="0"/>
              <w:tabs>
                <w:tab w:val="left" w:pos="2093"/>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szCs w:val="24"/>
                <w:highlight w:val="none"/>
              </w:rPr>
              <w:t>安全要求</w:t>
            </w:r>
          </w:p>
          <w:p>
            <w:pPr>
              <w:keepNext w:val="0"/>
              <w:keepLines w:val="0"/>
              <w:pageBreakBefore w:val="0"/>
              <w:tabs>
                <w:tab w:val="left" w:pos="2093"/>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危废暂存间防风、防晒、防雨设施，</w:t>
            </w:r>
            <w:r>
              <w:rPr>
                <w:rFonts w:hint="default" w:ascii="Times New Roman" w:hAnsi="Times New Roman" w:eastAsia="宋体" w:cs="Times New Roman"/>
                <w:color w:val="auto"/>
                <w:sz w:val="24"/>
                <w:szCs w:val="24"/>
                <w:highlight w:val="none"/>
                <w:lang w:eastAsia="zh-CN"/>
              </w:rPr>
              <w:t>做好</w:t>
            </w:r>
            <w:r>
              <w:rPr>
                <w:rFonts w:hint="default" w:ascii="Times New Roman" w:hAnsi="Times New Roman" w:eastAsia="宋体" w:cs="Times New Roman"/>
                <w:color w:val="auto"/>
                <w:sz w:val="24"/>
                <w:szCs w:val="24"/>
                <w:highlight w:val="none"/>
              </w:rPr>
              <w:t>危险废物情况的记录，记录上须注明危险废物的名称、来源、数量、特性和包装容器的类别、入库日期、存放单位、废物出库日期及接收单位名称。</w:t>
            </w:r>
          </w:p>
          <w:p>
            <w:pPr>
              <w:keepNext w:val="0"/>
              <w:keepLines w:val="0"/>
              <w:pageBreakBefore w:val="0"/>
              <w:tabs>
                <w:tab w:val="left" w:pos="2093"/>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危废暂存间设置警示标志；配备通讯设备、安全防护服装及工具，应急防护设施。保持通风；有避雷、接地线装置；消防的注意事项。</w:t>
            </w:r>
          </w:p>
          <w:p>
            <w:pPr>
              <w:keepNext w:val="0"/>
              <w:keepLines w:val="0"/>
              <w:pageBreakBefore w:val="0"/>
              <w:tabs>
                <w:tab w:val="left" w:pos="2093"/>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危险废物</w:t>
            </w:r>
            <w:r>
              <w:rPr>
                <w:rFonts w:hint="default" w:ascii="Times New Roman" w:hAnsi="Times New Roman" w:eastAsia="宋体" w:cs="Times New Roman"/>
                <w:color w:val="auto"/>
                <w:sz w:val="24"/>
                <w:szCs w:val="24"/>
                <w:highlight w:val="none"/>
                <w:lang w:val="en-US" w:eastAsia="zh-CN"/>
              </w:rPr>
              <w:t>暂存间</w:t>
            </w:r>
            <w:r>
              <w:rPr>
                <w:rFonts w:hint="default" w:ascii="Times New Roman" w:hAnsi="Times New Roman" w:eastAsia="宋体" w:cs="Times New Roman"/>
                <w:color w:val="auto"/>
                <w:sz w:val="24"/>
                <w:szCs w:val="24"/>
                <w:highlight w:val="none"/>
              </w:rPr>
              <w:t>地面与</w:t>
            </w:r>
            <w:r>
              <w:rPr>
                <w:rFonts w:hint="default" w:ascii="Times New Roman" w:hAnsi="Times New Roman" w:eastAsia="宋体" w:cs="Times New Roman"/>
                <w:color w:val="auto"/>
                <w:sz w:val="24"/>
                <w:szCs w:val="24"/>
                <w:highlight w:val="none"/>
                <w:lang w:val="en-US" w:eastAsia="zh-CN"/>
              </w:rPr>
              <w:t>墙裙</w:t>
            </w:r>
            <w:r>
              <w:rPr>
                <w:rFonts w:hint="default" w:ascii="Times New Roman" w:hAnsi="Times New Roman" w:eastAsia="宋体" w:cs="Times New Roman"/>
                <w:color w:val="auto"/>
                <w:sz w:val="24"/>
                <w:szCs w:val="24"/>
                <w:highlight w:val="none"/>
              </w:rPr>
              <w:t>均用防渗的材料建造。危险废物贮存区采用防渗层为至少1m厚粘土层（渗透系数≤10</w:t>
            </w:r>
            <w:r>
              <w:rPr>
                <w:rFonts w:hint="default" w:ascii="Times New Roman" w:hAnsi="Times New Roman" w:eastAsia="宋体" w:cs="Times New Roman"/>
                <w:color w:val="auto"/>
                <w:sz w:val="24"/>
                <w:szCs w:val="24"/>
                <w:highlight w:val="none"/>
                <w:vertAlign w:val="superscript"/>
              </w:rPr>
              <w:t>-7</w:t>
            </w:r>
            <w:r>
              <w:rPr>
                <w:rFonts w:hint="default" w:ascii="Times New Roman" w:hAnsi="Times New Roman" w:eastAsia="宋体" w:cs="Times New Roman"/>
                <w:color w:val="auto"/>
                <w:sz w:val="24"/>
                <w:szCs w:val="24"/>
                <w:highlight w:val="none"/>
              </w:rPr>
              <w:t>cm/s）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或至少</w:t>
            </w:r>
            <w:r>
              <w:rPr>
                <w:rFonts w:hint="default" w:ascii="Times New Roman" w:hAnsi="Times New Roman" w:eastAsia="宋体" w:cs="Times New Roman"/>
                <w:color w:val="auto"/>
                <w:sz w:val="24"/>
                <w:szCs w:val="24"/>
                <w:highlight w:val="none"/>
              </w:rPr>
              <w:t>2mm厚</w:t>
            </w:r>
            <w:r>
              <w:rPr>
                <w:rFonts w:hint="default" w:ascii="Times New Roman" w:hAnsi="Times New Roman" w:eastAsia="宋体" w:cs="Times New Roman"/>
                <w:color w:val="auto"/>
                <w:sz w:val="24"/>
                <w:szCs w:val="24"/>
                <w:highlight w:val="none"/>
                <w:lang w:val="en-US" w:eastAsia="zh-CN"/>
              </w:rPr>
              <w:t>高密度聚乙烯</w:t>
            </w:r>
            <w:r>
              <w:rPr>
                <w:rFonts w:hint="default" w:ascii="Times New Roman" w:hAnsi="Times New Roman" w:eastAsia="宋体" w:cs="Times New Roman"/>
                <w:color w:val="auto"/>
                <w:sz w:val="24"/>
                <w:szCs w:val="24"/>
                <w:highlight w:val="none"/>
              </w:rPr>
              <w:t>膜，或至少2mm厚</w:t>
            </w:r>
            <w:r>
              <w:rPr>
                <w:rFonts w:hint="default" w:ascii="Times New Roman" w:hAnsi="Times New Roman" w:eastAsia="宋体" w:cs="Times New Roman"/>
                <w:color w:val="auto"/>
                <w:sz w:val="24"/>
                <w:szCs w:val="24"/>
                <w:highlight w:val="none"/>
                <w:lang w:eastAsia="zh-CN"/>
              </w:rPr>
              <w:t>的其他</w:t>
            </w:r>
            <w:r>
              <w:rPr>
                <w:rFonts w:hint="default" w:ascii="Times New Roman" w:hAnsi="Times New Roman" w:eastAsia="宋体" w:cs="Times New Roman"/>
                <w:color w:val="auto"/>
                <w:sz w:val="24"/>
                <w:szCs w:val="24"/>
                <w:highlight w:val="none"/>
              </w:rPr>
              <w:t>人工材料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渗透系数≤10</w:t>
            </w:r>
            <w:r>
              <w:rPr>
                <w:rFonts w:hint="default" w:ascii="Times New Roman" w:hAnsi="Times New Roman" w:eastAsia="宋体" w:cs="Times New Roman"/>
                <w:color w:val="auto"/>
                <w:sz w:val="24"/>
                <w:szCs w:val="24"/>
                <w:highlight w:val="none"/>
                <w:vertAlign w:val="superscript"/>
              </w:rPr>
              <w:t>-10</w:t>
            </w:r>
            <w:r>
              <w:rPr>
                <w:rFonts w:hint="default" w:ascii="Times New Roman" w:hAnsi="Times New Roman" w:eastAsia="宋体" w:cs="Times New Roman"/>
                <w:color w:val="auto"/>
                <w:sz w:val="24"/>
                <w:szCs w:val="24"/>
                <w:highlight w:val="none"/>
              </w:rPr>
              <w:t>cm/s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，满足《危险废物贮存污染控制标准》（</w:t>
            </w:r>
            <w:r>
              <w:rPr>
                <w:rFonts w:hint="default" w:ascii="Times New Roman" w:hAnsi="Times New Roman" w:eastAsia="宋体" w:cs="Times New Roman"/>
                <w:color w:val="auto"/>
                <w:sz w:val="24"/>
                <w:szCs w:val="24"/>
                <w:highlight w:val="none"/>
                <w:lang w:eastAsia="zh-CN"/>
              </w:rPr>
              <w:t>GB18597-2023</w:t>
            </w:r>
            <w:r>
              <w:rPr>
                <w:rFonts w:hint="default" w:ascii="Times New Roman" w:hAnsi="Times New Roman" w:eastAsia="宋体" w:cs="Times New Roman"/>
                <w:color w:val="auto"/>
                <w:sz w:val="24"/>
                <w:szCs w:val="24"/>
                <w:highlight w:val="none"/>
              </w:rPr>
              <w:t>）中对防渗要求。</w:t>
            </w:r>
          </w:p>
          <w:p>
            <w:pPr>
              <w:keepNext w:val="0"/>
              <w:keepLines w:val="0"/>
              <w:pageBreakBefore w:val="0"/>
              <w:tabs>
                <w:tab w:val="left" w:pos="2093"/>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szCs w:val="24"/>
                <w:highlight w:val="none"/>
              </w:rPr>
              <w:t>配套的监控和消防设施</w:t>
            </w:r>
          </w:p>
          <w:p>
            <w:pPr>
              <w:keepNext w:val="0"/>
              <w:keepLines w:val="0"/>
              <w:pageBreakBefore w:val="0"/>
              <w:tabs>
                <w:tab w:val="left" w:pos="2093"/>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火灾是危险废物贮存的主要风险源，所以在危险废物贮存设施的运转和操作过程中加强了消防能力，在危废暂存间周围配备消防器材，如灭火器、消防沙等，并及时更换危险废物贮存区域过期消防器材和消防材料，以保证消防器材和消防材料的有效性。</w:t>
            </w:r>
          </w:p>
          <w:p>
            <w:pPr>
              <w:keepNext w:val="0"/>
              <w:keepLines w:val="0"/>
              <w:pageBreakBefore w:val="0"/>
              <w:tabs>
                <w:tab w:val="left" w:pos="2093"/>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szCs w:val="24"/>
                <w:highlight w:val="none"/>
              </w:rPr>
              <w:t>人员管理及培训</w:t>
            </w:r>
          </w:p>
          <w:p>
            <w:pPr>
              <w:keepNext w:val="0"/>
              <w:keepLines w:val="0"/>
              <w:pageBreakBefore w:val="0"/>
              <w:tabs>
                <w:tab w:val="left" w:pos="2093"/>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①熟悉有关危险废物的法律和规章制度，了解危险废物危险性方面的知识，明确危险废物安全处理、处置以及环境保护的重要意义，并熟悉危险废物的分类和包装标识。</w:t>
            </w:r>
          </w:p>
          <w:p>
            <w:pPr>
              <w:keepNext w:val="0"/>
              <w:keepLines w:val="0"/>
              <w:pageBreakBefore w:val="0"/>
              <w:tabs>
                <w:tab w:val="left" w:pos="2093"/>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②掌握劳动安全防护设施、设备的使用知识和个人卫生措施。</w:t>
            </w:r>
          </w:p>
          <w:p>
            <w:pPr>
              <w:keepNext w:val="0"/>
              <w:keepLines w:val="0"/>
              <w:pageBreakBefore w:val="0"/>
              <w:tabs>
                <w:tab w:val="left" w:pos="2093"/>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③掌握处理泄漏和其他事故的应急操作程序。</w:t>
            </w:r>
          </w:p>
          <w:p>
            <w:pPr>
              <w:keepNext w:val="0"/>
              <w:keepLines w:val="0"/>
              <w:pageBreakBefore w:val="0"/>
              <w:numPr>
                <w:ilvl w:val="0"/>
                <w:numId w:val="0"/>
              </w:numPr>
              <w:tabs>
                <w:tab w:val="left" w:pos="1001"/>
                <w:tab w:val="left" w:pos="1144"/>
              </w:tabs>
              <w:kinsoku/>
              <w:wordWrap/>
              <w:overflowPunct/>
              <w:topLinePunct w:val="0"/>
              <w:autoSpaceDE/>
              <w:autoSpaceDN/>
              <w:bidi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环境应急预案</w:t>
            </w:r>
          </w:p>
          <w:p>
            <w:pPr>
              <w:keepNext w:val="0"/>
              <w:keepLines w:val="0"/>
              <w:pageBreakBefore w:val="0"/>
              <w:widowControl/>
              <w:kinsoku/>
              <w:wordWrap/>
              <w:overflowPunct/>
              <w:topLinePunct w:val="0"/>
              <w:autoSpaceDE/>
              <w:autoSpaceDN/>
              <w:bidi w:val="0"/>
              <w:spacing w:line="360" w:lineRule="auto"/>
              <w:ind w:left="0" w:leftChars="0" w:right="0" w:rightChars="0" w:firstLine="488"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bCs/>
                <w:color w:val="auto"/>
                <w:spacing w:val="2"/>
                <w:sz w:val="24"/>
                <w:szCs w:val="24"/>
                <w:highlight w:val="none"/>
                <w:lang w:eastAsia="zh-CN"/>
              </w:rPr>
              <w:t>本项目</w:t>
            </w:r>
            <w:r>
              <w:rPr>
                <w:rFonts w:hint="default" w:ascii="Times New Roman" w:hAnsi="Times New Roman" w:eastAsia="宋体" w:cs="Times New Roman"/>
                <w:bCs/>
                <w:color w:val="auto"/>
                <w:spacing w:val="2"/>
                <w:sz w:val="24"/>
                <w:szCs w:val="24"/>
                <w:highlight w:val="none"/>
              </w:rPr>
              <w:t>的应急预案主要内容见下表</w:t>
            </w:r>
            <w:r>
              <w:rPr>
                <w:rFonts w:hint="default" w:ascii="Times New Roman" w:hAnsi="Times New Roman" w:eastAsia="宋体" w:cs="Times New Roman"/>
                <w:bCs/>
                <w:color w:val="auto"/>
                <w:spacing w:val="2"/>
                <w:sz w:val="24"/>
                <w:szCs w:val="24"/>
                <w:highlight w:val="none"/>
                <w:lang w:val="en-US" w:eastAsia="zh-CN"/>
              </w:rPr>
              <w:t>4-14</w:t>
            </w:r>
            <w:r>
              <w:rPr>
                <w:rFonts w:hint="default" w:ascii="Times New Roman" w:hAnsi="Times New Roman" w:eastAsia="宋体" w:cs="Times New Roman"/>
                <w:bCs/>
                <w:color w:val="auto"/>
                <w:spacing w:val="2"/>
                <w:sz w:val="24"/>
                <w:szCs w:val="24"/>
                <w:highlight w:val="none"/>
              </w:rPr>
              <w:t>。</w:t>
            </w:r>
          </w:p>
          <w:p>
            <w:pPr>
              <w:keepNext w:val="0"/>
              <w:keepLines w:val="0"/>
              <w:pageBreakBefore w:val="0"/>
              <w:kinsoku/>
              <w:wordWrap/>
              <w:overflowPunct/>
              <w:topLinePunct w:val="0"/>
              <w:autoSpaceDE/>
              <w:autoSpaceDN/>
              <w:bidi w:val="0"/>
              <w:spacing w:line="360" w:lineRule="auto"/>
              <w:ind w:left="0" w:leftChars="0" w:right="0" w:rightChars="0" w:firstLine="482" w:firstLineChars="200"/>
              <w:jc w:val="center"/>
              <w:textAlignment w:val="auto"/>
              <w:rPr>
                <w:rFonts w:hint="default" w:ascii="Times New Roman" w:hAnsi="Times New Roman" w:eastAsia="宋体" w:cs="Times New Roman"/>
                <w:b/>
                <w:color w:val="auto"/>
                <w:kern w:val="0"/>
                <w:sz w:val="24"/>
                <w:szCs w:val="24"/>
                <w:highlight w:val="none"/>
                <w:lang w:val="zh-CN" w:eastAsia="zh-CN" w:bidi="ar-SA"/>
              </w:rPr>
            </w:pPr>
            <w:r>
              <w:rPr>
                <w:rFonts w:hint="default" w:ascii="Times New Roman" w:hAnsi="Times New Roman" w:eastAsia="宋体" w:cs="Times New Roman"/>
                <w:b/>
                <w:color w:val="auto"/>
                <w:kern w:val="0"/>
                <w:sz w:val="24"/>
                <w:szCs w:val="24"/>
                <w:highlight w:val="none"/>
                <w:lang w:val="zh-CN" w:eastAsia="zh-CN" w:bidi="ar-SA"/>
              </w:rPr>
              <w:t>表</w:t>
            </w:r>
            <w:r>
              <w:rPr>
                <w:rFonts w:hint="default" w:ascii="Times New Roman" w:hAnsi="Times New Roman" w:eastAsia="宋体" w:cs="Times New Roman"/>
                <w:b/>
                <w:color w:val="auto"/>
                <w:kern w:val="0"/>
                <w:sz w:val="24"/>
                <w:szCs w:val="24"/>
                <w:highlight w:val="none"/>
                <w:lang w:val="en-US" w:eastAsia="zh-CN" w:bidi="ar-SA"/>
              </w:rPr>
              <w:t>4-14</w:t>
            </w:r>
            <w:r>
              <w:rPr>
                <w:rFonts w:hint="default" w:ascii="Times New Roman" w:hAnsi="Times New Roman" w:eastAsia="宋体" w:cs="Times New Roman"/>
                <w:b/>
                <w:color w:val="auto"/>
                <w:kern w:val="0"/>
                <w:sz w:val="24"/>
                <w:szCs w:val="24"/>
                <w:highlight w:val="none"/>
                <w:lang w:val="zh-CN" w:eastAsia="zh-CN" w:bidi="ar-SA"/>
              </w:rPr>
              <w:t>应急预案内容</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783"/>
              <w:gridCol w:w="52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5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内容以及要求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应急计划区</w:t>
                  </w:r>
                </w:p>
              </w:tc>
              <w:tc>
                <w:tcPr>
                  <w:tcW w:w="5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环境风险源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应急组织机构、人员</w:t>
                  </w:r>
                </w:p>
              </w:tc>
              <w:tc>
                <w:tcPr>
                  <w:tcW w:w="5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实施三级应急组织机构，各级别主要负责人为应急计划、协调第一人，应急人员必须为培训上岗熟练工；区域应急组织结构由当地政府、相关行业专家、卫生安全相关单位组成，并由当地政府进行统一调度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预案分级影响条件</w:t>
                  </w:r>
                </w:p>
              </w:tc>
              <w:tc>
                <w:tcPr>
                  <w:tcW w:w="5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根据事故的严重程度制定相应级别的应急预案，以及适合相应情况的处理措施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应急救援保障</w:t>
                  </w:r>
                </w:p>
              </w:tc>
              <w:tc>
                <w:tcPr>
                  <w:tcW w:w="5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应急设施，设备与器材等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报警、通讯联络方式</w:t>
                  </w:r>
                </w:p>
              </w:tc>
              <w:tc>
                <w:tcPr>
                  <w:tcW w:w="5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逐一细化应急状态下各主要负责单位的</w:t>
                  </w:r>
                  <w:r>
                    <w:rPr>
                      <w:rFonts w:hint="default" w:ascii="Times New Roman" w:hAnsi="Times New Roman" w:eastAsia="宋体" w:cs="Times New Roman"/>
                      <w:color w:val="auto"/>
                      <w:sz w:val="21"/>
                      <w:szCs w:val="21"/>
                      <w:highlight w:val="none"/>
                      <w:lang w:eastAsia="zh-CN"/>
                    </w:rPr>
                    <w:t>报警通信</w:t>
                  </w:r>
                  <w:r>
                    <w:rPr>
                      <w:rFonts w:hint="default" w:ascii="Times New Roman" w:hAnsi="Times New Roman" w:eastAsia="宋体" w:cs="Times New Roman"/>
                      <w:color w:val="auto"/>
                      <w:sz w:val="21"/>
                      <w:szCs w:val="21"/>
                      <w:highlight w:val="none"/>
                    </w:rPr>
                    <w:t>方式、地点、电话号码以及相关配套的交通保障、管制、消防联络方法，涉及跨区域的还应与相关区域环境保护部门和上级环境保护部门保持联系，及时通报事故处理情况，以获得区域性支援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应急环境监测、抢险、救援及控制措施</w:t>
                  </w:r>
                </w:p>
              </w:tc>
              <w:tc>
                <w:tcPr>
                  <w:tcW w:w="5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发生应急事件后，成立应急指挥部，由专业队伍负责对事故现场进行侦查监测，对事故性质、参数与后果进行评估，为指挥部门提供决策依据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应急检测、防护措施、清除泄漏措施和器材</w:t>
                  </w:r>
                </w:p>
              </w:tc>
              <w:tc>
                <w:tcPr>
                  <w:tcW w:w="5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事故现场邻近区域、控制防火区域，控制和清除污染措施以及相应设备的数量、使用方法、使用人员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人员紧急撤离、疏散，应急剂量控制、撤离组织计划</w:t>
                  </w:r>
                </w:p>
              </w:tc>
              <w:tc>
                <w:tcPr>
                  <w:tcW w:w="5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事故现场、站场邻近区、受事故影响的区域人员及公众对毒物应急剂量控制规定，撤离</w:t>
                  </w:r>
                  <w:r>
                    <w:rPr>
                      <w:rFonts w:hint="default" w:ascii="Times New Roman" w:hAnsi="Times New Roman" w:eastAsia="宋体" w:cs="Times New Roman"/>
                      <w:color w:val="auto"/>
                      <w:sz w:val="21"/>
                      <w:szCs w:val="21"/>
                      <w:highlight w:val="none"/>
                      <w:lang w:eastAsia="zh-CN"/>
                    </w:rPr>
                    <w:t>组织</w:t>
                  </w:r>
                  <w:r>
                    <w:rPr>
                      <w:rFonts w:hint="default" w:ascii="Times New Roman" w:hAnsi="Times New Roman" w:eastAsia="宋体" w:cs="Times New Roman"/>
                      <w:color w:val="auto"/>
                      <w:sz w:val="21"/>
                      <w:szCs w:val="21"/>
                      <w:highlight w:val="none"/>
                    </w:rPr>
                    <w:t>及救护，医疗救护与公众健康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事故应急救援关闭程序与恢复措施</w:t>
                  </w:r>
                </w:p>
              </w:tc>
              <w:tc>
                <w:tcPr>
                  <w:tcW w:w="5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规定应急状态终止程序；事故现场后处理恢复措施；邻近区域接触事故警戒及善后恢复措施；制定有关的环境恢复措施；组织专业人员对事故后的环境变化进行监测，对事故应急措施的环境可行性进行后影响评价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应急培训计划</w:t>
                  </w:r>
                </w:p>
              </w:tc>
              <w:tc>
                <w:tcPr>
                  <w:tcW w:w="5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应急培训应纳入日常培训内容中，安排人员培训与演练并定时进行考核，将其纳入应急人员每年的综合考核中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公众教育和信息</w:t>
                  </w:r>
                </w:p>
              </w:tc>
              <w:tc>
                <w:tcPr>
                  <w:tcW w:w="5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w:t>
                  </w:r>
                  <w:r>
                    <w:rPr>
                      <w:rFonts w:hint="default" w:ascii="Times New Roman" w:hAnsi="Times New Roman" w:eastAsia="宋体" w:cs="Times New Roman"/>
                      <w:color w:val="auto"/>
                      <w:sz w:val="21"/>
                      <w:szCs w:val="21"/>
                      <w:highlight w:val="none"/>
                      <w:lang w:eastAsia="zh-CN"/>
                    </w:rPr>
                    <w:t>项目</w:t>
                  </w:r>
                  <w:r>
                    <w:rPr>
                      <w:rFonts w:hint="default" w:ascii="Times New Roman" w:hAnsi="Times New Roman" w:eastAsia="宋体" w:cs="Times New Roman"/>
                      <w:color w:val="auto"/>
                      <w:sz w:val="21"/>
                      <w:szCs w:val="21"/>
                      <w:highlight w:val="none"/>
                    </w:rPr>
                    <w:t>邻近地区开展公众教育、培训和发布有关信息</w:t>
                  </w:r>
                </w:p>
              </w:tc>
            </w:tr>
            <w:bookmarkEnd w:id="14"/>
            <w:bookmarkEnd w:id="15"/>
            <w:bookmarkEnd w:id="16"/>
          </w:tbl>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7、环保投资和“三同时”验收</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项目总投资3500万元，其中环保投资</w:t>
            </w:r>
            <w:r>
              <w:rPr>
                <w:rFonts w:hint="default" w:ascii="Times New Roman" w:hAnsi="Times New Roman" w:eastAsia="宋体" w:cs="Times New Roman"/>
                <w:color w:val="auto"/>
                <w:highlight w:val="none"/>
                <w:lang w:eastAsia="zh-CN"/>
              </w:rPr>
              <w:t>136.52</w:t>
            </w:r>
            <w:r>
              <w:rPr>
                <w:rFonts w:hint="default" w:ascii="Times New Roman" w:hAnsi="Times New Roman" w:eastAsia="宋体" w:cs="Times New Roman"/>
                <w:color w:val="auto"/>
                <w:highlight w:val="none"/>
              </w:rPr>
              <w:t>万元，占总投资的</w:t>
            </w:r>
            <w:r>
              <w:rPr>
                <w:rFonts w:hint="default" w:ascii="Times New Roman" w:hAnsi="Times New Roman" w:eastAsia="宋体" w:cs="Times New Roman"/>
                <w:color w:val="auto"/>
                <w:highlight w:val="none"/>
                <w:lang w:eastAsia="zh-CN"/>
              </w:rPr>
              <w:t>3.9</w:t>
            </w:r>
            <w:r>
              <w:rPr>
                <w:rFonts w:hint="default" w:ascii="Times New Roman" w:hAnsi="Times New Roman" w:eastAsia="宋体" w:cs="Times New Roman"/>
                <w:color w:val="auto"/>
                <w:highlight w:val="none"/>
              </w:rPr>
              <w:t>%。环境保护措施及投资一览表见下表4-1</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表4-1</w:t>
            </w:r>
            <w:r>
              <w:rPr>
                <w:rFonts w:hint="default" w:ascii="Times New Roman" w:hAnsi="Times New Roman" w:eastAsia="宋体" w:cs="Times New Roman"/>
                <w:b/>
                <w:bCs/>
                <w:color w:val="auto"/>
                <w:highlight w:val="none"/>
                <w:lang w:val="en-US" w:eastAsia="zh-CN"/>
              </w:rPr>
              <w:t>5</w:t>
            </w:r>
            <w:r>
              <w:rPr>
                <w:rFonts w:hint="default" w:ascii="Times New Roman" w:hAnsi="Times New Roman" w:eastAsia="宋体" w:cs="Times New Roman"/>
                <w:b/>
                <w:bCs/>
                <w:color w:val="auto"/>
                <w:highlight w:val="none"/>
              </w:rPr>
              <w:t>环保措施及投资估算一览表</w:t>
            </w:r>
          </w:p>
          <w:tbl>
            <w:tblPr>
              <w:tblStyle w:val="29"/>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98"/>
              <w:gridCol w:w="1081"/>
              <w:gridCol w:w="1331"/>
              <w:gridCol w:w="1674"/>
              <w:gridCol w:w="1608"/>
              <w:gridCol w:w="730"/>
              <w:gridCol w:w="10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0"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序号</w:t>
                  </w:r>
                </w:p>
              </w:tc>
              <w:tc>
                <w:tcPr>
                  <w:tcW w:w="1081"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项目名称</w:t>
                  </w:r>
                </w:p>
              </w:tc>
              <w:tc>
                <w:tcPr>
                  <w:tcW w:w="1331"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污染源</w:t>
                  </w:r>
                </w:p>
              </w:tc>
              <w:tc>
                <w:tcPr>
                  <w:tcW w:w="1674"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污染因子</w:t>
                  </w:r>
                </w:p>
              </w:tc>
              <w:tc>
                <w:tcPr>
                  <w:tcW w:w="160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环保措施</w:t>
                  </w:r>
                </w:p>
              </w:tc>
              <w:tc>
                <w:tcPr>
                  <w:tcW w:w="730"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数量</w:t>
                  </w:r>
                </w:p>
              </w:tc>
              <w:tc>
                <w:tcPr>
                  <w:tcW w:w="1015"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0"/>
                      <w:highlight w:val="none"/>
                    </w:rPr>
                  </w:pPr>
                  <w:r>
                    <w:rPr>
                      <w:rFonts w:hint="default" w:ascii="Times New Roman" w:hAnsi="Times New Roman" w:eastAsia="宋体" w:cs="Times New Roman"/>
                      <w:b/>
                      <w:bCs/>
                      <w:color w:val="auto"/>
                      <w:sz w:val="21"/>
                      <w:szCs w:val="20"/>
                      <w:highlight w:val="none"/>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1081"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废气治理</w:t>
                  </w:r>
                </w:p>
              </w:tc>
              <w:tc>
                <w:tcPr>
                  <w:tcW w:w="1331"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烘干废气</w:t>
                  </w:r>
                </w:p>
              </w:tc>
              <w:tc>
                <w:tcPr>
                  <w:tcW w:w="1674"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颗粒物</w:t>
                  </w:r>
                </w:p>
              </w:tc>
              <w:tc>
                <w:tcPr>
                  <w:tcW w:w="1608" w:type="dxa"/>
                  <w:vMerge w:val="restart"/>
                  <w:tcBorders>
                    <w:top w:val="single" w:color="auto" w:sz="4" w:space="0"/>
                    <w:left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lang w:val="en-US" w:eastAsia="zh-CN"/>
                    </w:rPr>
                    <w:t>集气罩+</w:t>
                  </w:r>
                  <w:r>
                    <w:rPr>
                      <w:rFonts w:hint="default" w:ascii="Times New Roman" w:hAnsi="Times New Roman" w:eastAsia="宋体" w:cs="Times New Roman"/>
                      <w:color w:val="auto"/>
                      <w:sz w:val="21"/>
                      <w:szCs w:val="20"/>
                      <w:highlight w:val="none"/>
                    </w:rPr>
                    <w:t>水膜除尘器+15m排气筒（DA001）</w:t>
                  </w:r>
                </w:p>
              </w:tc>
              <w:tc>
                <w:tcPr>
                  <w:tcW w:w="730"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1015"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w:t>
                  </w:r>
                </w:p>
              </w:tc>
              <w:tc>
                <w:tcPr>
                  <w:tcW w:w="108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31"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lang w:eastAsia="zh-CN"/>
                    </w:rPr>
                    <w:t>天然气</w:t>
                  </w:r>
                  <w:r>
                    <w:rPr>
                      <w:rFonts w:hint="default" w:ascii="Times New Roman" w:hAnsi="Times New Roman" w:eastAsia="宋体" w:cs="Times New Roman"/>
                      <w:color w:val="auto"/>
                      <w:sz w:val="21"/>
                      <w:szCs w:val="20"/>
                      <w:highlight w:val="none"/>
                    </w:rPr>
                    <w:t>燃烧废气</w:t>
                  </w:r>
                </w:p>
              </w:tc>
              <w:tc>
                <w:tcPr>
                  <w:tcW w:w="1674" w:type="dxa"/>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18"/>
                      <w:highlight w:val="none"/>
                    </w:rPr>
                    <w:t>颗粒物</w:t>
                  </w:r>
                </w:p>
              </w:tc>
              <w:tc>
                <w:tcPr>
                  <w:tcW w:w="1608" w:type="dxa"/>
                  <w:vMerge w:val="continue"/>
                  <w:tcBorders>
                    <w:left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730"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015"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w:t>
                  </w:r>
                </w:p>
              </w:tc>
              <w:tc>
                <w:tcPr>
                  <w:tcW w:w="108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3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674" w:type="dxa"/>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val="en-US" w:eastAsia="zh-CN" w:bidi="ar-SA"/>
                    </w:rPr>
                  </w:pPr>
                  <w:r>
                    <w:rPr>
                      <w:rFonts w:hint="default" w:ascii="Times New Roman" w:hAnsi="Times New Roman" w:eastAsia="宋体" w:cs="Times New Roman"/>
                      <w:color w:val="auto"/>
                      <w:sz w:val="21"/>
                      <w:szCs w:val="18"/>
                      <w:highlight w:val="none"/>
                    </w:rPr>
                    <w:t>SO</w:t>
                  </w:r>
                  <w:r>
                    <w:rPr>
                      <w:rFonts w:hint="default" w:ascii="Times New Roman" w:hAnsi="Times New Roman" w:eastAsia="宋体" w:cs="Times New Roman"/>
                      <w:color w:val="auto"/>
                      <w:sz w:val="21"/>
                      <w:szCs w:val="18"/>
                      <w:highlight w:val="none"/>
                      <w:vertAlign w:val="subscript"/>
                    </w:rPr>
                    <w:t>2</w:t>
                  </w:r>
                </w:p>
              </w:tc>
              <w:tc>
                <w:tcPr>
                  <w:tcW w:w="1608" w:type="dxa"/>
                  <w:vMerge w:val="continue"/>
                  <w:tcBorders>
                    <w:left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730"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015"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w:t>
                  </w:r>
                </w:p>
              </w:tc>
              <w:tc>
                <w:tcPr>
                  <w:tcW w:w="108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3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674" w:type="dxa"/>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val="en-US" w:eastAsia="zh-CN" w:bidi="ar-SA"/>
                    </w:rPr>
                  </w:pPr>
                  <w:r>
                    <w:rPr>
                      <w:rFonts w:hint="default" w:ascii="Times New Roman" w:hAnsi="Times New Roman" w:eastAsia="宋体" w:cs="Times New Roman"/>
                      <w:color w:val="auto"/>
                      <w:sz w:val="21"/>
                      <w:szCs w:val="18"/>
                      <w:highlight w:val="none"/>
                    </w:rPr>
                    <w:t>NO</w:t>
                  </w:r>
                  <w:r>
                    <w:rPr>
                      <w:rFonts w:hint="default" w:ascii="Times New Roman" w:hAnsi="Times New Roman" w:eastAsia="宋体" w:cs="Times New Roman"/>
                      <w:color w:val="auto"/>
                      <w:sz w:val="21"/>
                      <w:szCs w:val="18"/>
                      <w:highlight w:val="none"/>
                      <w:vertAlign w:val="subscript"/>
                    </w:rPr>
                    <w:t>x</w:t>
                  </w:r>
                </w:p>
              </w:tc>
              <w:tc>
                <w:tcPr>
                  <w:tcW w:w="1608" w:type="dxa"/>
                  <w:vMerge w:val="continue"/>
                  <w:tcBorders>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730"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015"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w:t>
                  </w:r>
                </w:p>
              </w:tc>
              <w:tc>
                <w:tcPr>
                  <w:tcW w:w="108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31"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lang w:eastAsia="zh-CN"/>
                    </w:rPr>
                    <w:t>感应炉废气</w:t>
                  </w:r>
                  <w:r>
                    <w:rPr>
                      <w:rFonts w:hint="default" w:ascii="Times New Roman" w:hAnsi="Times New Roman" w:eastAsia="宋体" w:cs="Times New Roman"/>
                      <w:color w:val="auto"/>
                      <w:sz w:val="21"/>
                      <w:szCs w:val="20"/>
                      <w:highlight w:val="none"/>
                    </w:rPr>
                    <w:t>、浇铸废气</w:t>
                  </w:r>
                </w:p>
              </w:tc>
              <w:tc>
                <w:tcPr>
                  <w:tcW w:w="1674"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颗粒物</w:t>
                  </w:r>
                </w:p>
              </w:tc>
              <w:tc>
                <w:tcPr>
                  <w:tcW w:w="160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eastAsia="zh-CN"/>
                    </w:rPr>
                  </w:pPr>
                  <w:r>
                    <w:rPr>
                      <w:rFonts w:hint="default" w:ascii="Times New Roman" w:hAnsi="Times New Roman" w:eastAsia="宋体" w:cs="Times New Roman"/>
                      <w:color w:val="auto"/>
                      <w:sz w:val="21"/>
                      <w:szCs w:val="20"/>
                      <w:highlight w:val="none"/>
                      <w:lang w:val="en-US" w:eastAsia="zh-CN"/>
                    </w:rPr>
                    <w:t>集气罩</w:t>
                  </w:r>
                </w:p>
              </w:tc>
              <w:tc>
                <w:tcPr>
                  <w:tcW w:w="730"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eastAsia="zh-CN"/>
                    </w:rPr>
                  </w:pPr>
                  <w:r>
                    <w:rPr>
                      <w:rFonts w:hint="default" w:ascii="Times New Roman" w:hAnsi="Times New Roman" w:eastAsia="宋体" w:cs="Times New Roman"/>
                      <w:color w:val="auto"/>
                      <w:sz w:val="21"/>
                      <w:szCs w:val="20"/>
                      <w:highlight w:val="none"/>
                      <w:lang w:val="en-US" w:eastAsia="zh-CN"/>
                    </w:rPr>
                    <w:t>4</w:t>
                  </w:r>
                </w:p>
              </w:tc>
              <w:tc>
                <w:tcPr>
                  <w:tcW w:w="1015"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w:t>
                  </w:r>
                </w:p>
              </w:tc>
              <w:tc>
                <w:tcPr>
                  <w:tcW w:w="108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3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674"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60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布袋除尘器</w:t>
                  </w:r>
                </w:p>
              </w:tc>
              <w:tc>
                <w:tcPr>
                  <w:tcW w:w="730"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1015"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w:t>
                  </w:r>
                </w:p>
              </w:tc>
              <w:tc>
                <w:tcPr>
                  <w:tcW w:w="108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3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674"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60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1根15m高的排气筒（DA002）</w:t>
                  </w:r>
                </w:p>
              </w:tc>
              <w:tc>
                <w:tcPr>
                  <w:tcW w:w="730"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1015"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8</w:t>
                  </w:r>
                </w:p>
              </w:tc>
              <w:tc>
                <w:tcPr>
                  <w:tcW w:w="108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31"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车间无组织废气</w:t>
                  </w:r>
                </w:p>
              </w:tc>
              <w:tc>
                <w:tcPr>
                  <w:tcW w:w="1674"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颗粒物</w:t>
                  </w:r>
                </w:p>
              </w:tc>
              <w:tc>
                <w:tcPr>
                  <w:tcW w:w="160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全封闭厂房</w:t>
                  </w:r>
                </w:p>
              </w:tc>
              <w:tc>
                <w:tcPr>
                  <w:tcW w:w="730"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1015"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w:t>
                  </w:r>
                </w:p>
              </w:tc>
              <w:tc>
                <w:tcPr>
                  <w:tcW w:w="1081"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废水治理</w:t>
                  </w:r>
                </w:p>
              </w:tc>
              <w:tc>
                <w:tcPr>
                  <w:tcW w:w="1331"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工作人员</w:t>
                  </w:r>
                </w:p>
              </w:tc>
              <w:tc>
                <w:tcPr>
                  <w:tcW w:w="1674"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生活污水</w:t>
                  </w:r>
                </w:p>
              </w:tc>
              <w:tc>
                <w:tcPr>
                  <w:tcW w:w="160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防渗化粪池</w:t>
                  </w:r>
                </w:p>
              </w:tc>
              <w:tc>
                <w:tcPr>
                  <w:tcW w:w="730"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1015"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w:t>
                  </w:r>
                </w:p>
              </w:tc>
              <w:tc>
                <w:tcPr>
                  <w:tcW w:w="108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31"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循环冷却水系统</w:t>
                  </w:r>
                </w:p>
              </w:tc>
              <w:tc>
                <w:tcPr>
                  <w:tcW w:w="1674"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w:t>
                  </w:r>
                </w:p>
              </w:tc>
              <w:tc>
                <w:tcPr>
                  <w:tcW w:w="160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eastAsia="zh-CN"/>
                    </w:rPr>
                  </w:pPr>
                  <w:r>
                    <w:rPr>
                      <w:rFonts w:hint="default" w:ascii="Times New Roman" w:hAnsi="Times New Roman" w:eastAsia="宋体" w:cs="Times New Roman"/>
                      <w:color w:val="auto"/>
                      <w:sz w:val="21"/>
                      <w:szCs w:val="20"/>
                      <w:highlight w:val="none"/>
                    </w:rPr>
                    <w:t>冷却</w:t>
                  </w:r>
                  <w:r>
                    <w:rPr>
                      <w:rFonts w:hint="default" w:ascii="Times New Roman" w:hAnsi="Times New Roman" w:eastAsia="宋体" w:cs="Times New Roman"/>
                      <w:color w:val="auto"/>
                      <w:sz w:val="21"/>
                      <w:szCs w:val="20"/>
                      <w:highlight w:val="none"/>
                      <w:lang w:val="en-US" w:eastAsia="zh-CN"/>
                    </w:rPr>
                    <w:t>风扇</w:t>
                  </w:r>
                </w:p>
              </w:tc>
              <w:tc>
                <w:tcPr>
                  <w:tcW w:w="730"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eastAsia="zh-CN"/>
                    </w:rPr>
                  </w:pPr>
                  <w:r>
                    <w:rPr>
                      <w:rFonts w:hint="default" w:ascii="Times New Roman" w:hAnsi="Times New Roman" w:eastAsia="宋体" w:cs="Times New Roman"/>
                      <w:color w:val="auto"/>
                      <w:sz w:val="21"/>
                      <w:szCs w:val="20"/>
                      <w:highlight w:val="none"/>
                      <w:lang w:val="en-US" w:eastAsia="zh-CN"/>
                    </w:rPr>
                    <w:t>3</w:t>
                  </w:r>
                </w:p>
              </w:tc>
              <w:tc>
                <w:tcPr>
                  <w:tcW w:w="1015"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08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3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674"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60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冷却水箱</w:t>
                  </w:r>
                </w:p>
              </w:tc>
              <w:tc>
                <w:tcPr>
                  <w:tcW w:w="730"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eastAsia="zh-CN"/>
                    </w:rPr>
                  </w:pPr>
                  <w:r>
                    <w:rPr>
                      <w:rFonts w:hint="default" w:ascii="Times New Roman" w:hAnsi="Times New Roman" w:eastAsia="宋体" w:cs="Times New Roman"/>
                      <w:color w:val="auto"/>
                      <w:sz w:val="21"/>
                      <w:szCs w:val="20"/>
                      <w:highlight w:val="none"/>
                      <w:lang w:val="en-US" w:eastAsia="zh-CN"/>
                    </w:rPr>
                    <w:t>3</w:t>
                  </w:r>
                </w:p>
              </w:tc>
              <w:tc>
                <w:tcPr>
                  <w:tcW w:w="1015"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11</w:t>
                  </w:r>
                </w:p>
              </w:tc>
              <w:tc>
                <w:tcPr>
                  <w:tcW w:w="1081"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噪声治理</w:t>
                  </w:r>
                </w:p>
              </w:tc>
              <w:tc>
                <w:tcPr>
                  <w:tcW w:w="1331"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生产设备</w:t>
                  </w:r>
                </w:p>
              </w:tc>
              <w:tc>
                <w:tcPr>
                  <w:tcW w:w="1674"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等效连续A声级</w:t>
                  </w:r>
                </w:p>
              </w:tc>
              <w:tc>
                <w:tcPr>
                  <w:tcW w:w="160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减振垫</w:t>
                  </w:r>
                </w:p>
              </w:tc>
              <w:tc>
                <w:tcPr>
                  <w:tcW w:w="730"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w:t>
                  </w:r>
                </w:p>
              </w:tc>
              <w:tc>
                <w:tcPr>
                  <w:tcW w:w="1015"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w:t>
                  </w:r>
                </w:p>
              </w:tc>
              <w:tc>
                <w:tcPr>
                  <w:tcW w:w="1081"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固废治理</w:t>
                  </w:r>
                </w:p>
              </w:tc>
              <w:tc>
                <w:tcPr>
                  <w:tcW w:w="1331"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包装工序</w:t>
                  </w:r>
                </w:p>
              </w:tc>
              <w:tc>
                <w:tcPr>
                  <w:tcW w:w="1674"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废包装物</w:t>
                  </w:r>
                </w:p>
              </w:tc>
              <w:tc>
                <w:tcPr>
                  <w:tcW w:w="1608"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一般固废暂存间</w:t>
                  </w:r>
                </w:p>
              </w:tc>
              <w:tc>
                <w:tcPr>
                  <w:tcW w:w="730"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1015" w:type="dxa"/>
                  <w:vMerge w:val="restart"/>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13</w:t>
                  </w:r>
                </w:p>
              </w:tc>
              <w:tc>
                <w:tcPr>
                  <w:tcW w:w="108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31"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eastAsia="zh-CN"/>
                    </w:rPr>
                  </w:pPr>
                  <w:r>
                    <w:rPr>
                      <w:rFonts w:hint="default" w:ascii="Times New Roman" w:hAnsi="Times New Roman" w:eastAsia="宋体" w:cs="Times New Roman"/>
                      <w:color w:val="auto"/>
                      <w:sz w:val="21"/>
                      <w:szCs w:val="20"/>
                      <w:highlight w:val="none"/>
                      <w:lang w:eastAsia="zh-CN"/>
                    </w:rPr>
                    <w:t>感应炉</w:t>
                  </w:r>
                </w:p>
              </w:tc>
              <w:tc>
                <w:tcPr>
                  <w:tcW w:w="1674"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除尘灰、废耐火材料和废电极</w:t>
                  </w:r>
                </w:p>
              </w:tc>
              <w:tc>
                <w:tcPr>
                  <w:tcW w:w="1608"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730"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015"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14</w:t>
                  </w:r>
                </w:p>
              </w:tc>
              <w:tc>
                <w:tcPr>
                  <w:tcW w:w="108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31"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工作人员</w:t>
                  </w:r>
                </w:p>
              </w:tc>
              <w:tc>
                <w:tcPr>
                  <w:tcW w:w="1674"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生活垃圾</w:t>
                  </w:r>
                </w:p>
              </w:tc>
              <w:tc>
                <w:tcPr>
                  <w:tcW w:w="160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垃圾桶</w:t>
                  </w:r>
                </w:p>
              </w:tc>
              <w:tc>
                <w:tcPr>
                  <w:tcW w:w="730"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w:t>
                  </w:r>
                </w:p>
              </w:tc>
              <w:tc>
                <w:tcPr>
                  <w:tcW w:w="1015"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eastAsia="zh-CN"/>
                    </w:rPr>
                  </w:pPr>
                  <w:r>
                    <w:rPr>
                      <w:rFonts w:hint="default" w:ascii="Times New Roman" w:hAnsi="Times New Roman" w:eastAsia="宋体" w:cs="Times New Roman"/>
                      <w:color w:val="auto"/>
                      <w:sz w:val="21"/>
                      <w:szCs w:val="20"/>
                      <w:highlight w:val="none"/>
                      <w:lang w:eastAsia="zh-C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15</w:t>
                  </w:r>
                </w:p>
              </w:tc>
              <w:tc>
                <w:tcPr>
                  <w:tcW w:w="1081" w:type="dxa"/>
                  <w:vMerge w:val="continue"/>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1331"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危险废物</w:t>
                  </w:r>
                </w:p>
              </w:tc>
              <w:tc>
                <w:tcPr>
                  <w:tcW w:w="1674"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eastAsia="zh-CN"/>
                    </w:rPr>
                  </w:pPr>
                  <w:r>
                    <w:rPr>
                      <w:rFonts w:hint="default" w:ascii="Times New Roman" w:hAnsi="Times New Roman" w:eastAsia="宋体" w:cs="Times New Roman"/>
                      <w:color w:val="auto"/>
                      <w:sz w:val="21"/>
                      <w:szCs w:val="20"/>
                      <w:highlight w:val="none"/>
                      <w:lang w:eastAsia="zh-CN"/>
                    </w:rPr>
                    <w:t>废润滑油</w:t>
                  </w:r>
                </w:p>
              </w:tc>
              <w:tc>
                <w:tcPr>
                  <w:tcW w:w="1608"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危废暂存间</w:t>
                  </w:r>
                </w:p>
              </w:tc>
              <w:tc>
                <w:tcPr>
                  <w:tcW w:w="730"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1015"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79" w:type="dxa"/>
                  <w:gridSpan w:val="2"/>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p>
              </w:tc>
              <w:tc>
                <w:tcPr>
                  <w:tcW w:w="5343" w:type="dxa"/>
                  <w:gridSpan w:val="4"/>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w:t>
                  </w:r>
                </w:p>
              </w:tc>
              <w:tc>
                <w:tcPr>
                  <w:tcW w:w="1015" w:type="dxa"/>
                  <w:tcBorders>
                    <w:top w:val="single" w:color="auto" w:sz="4" w:space="0"/>
                    <w:left w:val="single" w:color="auto" w:sz="4" w:space="0"/>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0"/>
                      <w:highlight w:val="none"/>
                      <w:lang w:eastAsia="zh-CN"/>
                    </w:rPr>
                  </w:pPr>
                  <w:r>
                    <w:rPr>
                      <w:rFonts w:hint="default" w:ascii="Times New Roman" w:hAnsi="Times New Roman" w:eastAsia="宋体" w:cs="Times New Roman"/>
                      <w:color w:val="auto"/>
                      <w:sz w:val="21"/>
                      <w:szCs w:val="20"/>
                      <w:highlight w:val="none"/>
                      <w:lang w:eastAsia="zh-CN"/>
                    </w:rPr>
                    <w:t>136.52</w:t>
                  </w:r>
                </w:p>
              </w:tc>
            </w:tr>
          </w:tbl>
          <w:p>
            <w:pPr>
              <w:keepNext w:val="0"/>
              <w:keepLines w:val="0"/>
              <w:pageBreakBefore w:val="0"/>
              <w:widowControl/>
              <w:kinsoku/>
              <w:wordWrap/>
              <w:overflowPunct/>
              <w:topLinePunct w:val="0"/>
              <w:autoSpaceDE/>
              <w:autoSpaceDN/>
              <w:bidi w:val="0"/>
              <w:adjustRightInd/>
              <w:snapToGrid/>
              <w:ind w:left="0" w:leftChars="0" w:firstLine="482" w:firstLineChars="200"/>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b/>
                <w:bCs/>
                <w:color w:val="auto"/>
                <w:highlight w:val="none"/>
              </w:rPr>
              <w:t>8、</w:t>
            </w:r>
            <w:r>
              <w:rPr>
                <w:rFonts w:hint="default" w:ascii="Times New Roman" w:hAnsi="Times New Roman" w:eastAsia="宋体" w:cs="Times New Roman"/>
                <w:b/>
                <w:color w:val="auto"/>
                <w:highlight w:val="none"/>
              </w:rPr>
              <w:t>“三同时”验收清单</w:t>
            </w: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本项目运营期环境保护“三同时”验收一览表见下表4-1</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w:t>
            </w:r>
          </w:p>
          <w:p>
            <w:pPr>
              <w:keepNext w:val="0"/>
              <w:keepLines w:val="0"/>
              <w:pageBreakBefore w:val="0"/>
              <w:widowControl/>
              <w:kinsoku/>
              <w:wordWrap/>
              <w:overflowPunct/>
              <w:topLinePunct w:val="0"/>
              <w:autoSpaceDE/>
              <w:autoSpaceDN/>
              <w:bidi w:val="0"/>
              <w:adjustRightInd/>
              <w:snapToGrid/>
              <w:ind w:left="0" w:leftChars="0" w:firstLine="48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表4-1</w:t>
            </w:r>
            <w:r>
              <w:rPr>
                <w:rFonts w:hint="default" w:ascii="Times New Roman" w:hAnsi="Times New Roman" w:eastAsia="宋体" w:cs="Times New Roman"/>
                <w:b/>
                <w:bCs/>
                <w:color w:val="auto"/>
                <w:highlight w:val="none"/>
                <w:lang w:val="en-US" w:eastAsia="zh-CN"/>
              </w:rPr>
              <w:t>6</w:t>
            </w:r>
            <w:r>
              <w:rPr>
                <w:rFonts w:hint="default" w:ascii="Times New Roman" w:hAnsi="Times New Roman" w:eastAsia="宋体" w:cs="Times New Roman"/>
                <w:b/>
                <w:bCs/>
                <w:color w:val="auto"/>
                <w:highlight w:val="none"/>
              </w:rPr>
              <w:t>工程“三同时”环保验收一览表</w:t>
            </w:r>
          </w:p>
          <w:tbl>
            <w:tblPr>
              <w:tblStyle w:val="29"/>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14"/>
              <w:gridCol w:w="1227"/>
              <w:gridCol w:w="1328"/>
              <w:gridCol w:w="724"/>
              <w:gridCol w:w="1112"/>
              <w:gridCol w:w="872"/>
              <w:gridCol w:w="20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tcBorders>
                    <w:top w:val="single" w:color="auto" w:sz="4" w:space="0"/>
                    <w:left w:val="single" w:color="auto" w:sz="0"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1227"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w:t>
                  </w:r>
                </w:p>
              </w:tc>
              <w:tc>
                <w:tcPr>
                  <w:tcW w:w="1328"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环保设施名称</w:t>
                  </w:r>
                </w:p>
              </w:tc>
              <w:tc>
                <w:tcPr>
                  <w:tcW w:w="724"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c>
                <w:tcPr>
                  <w:tcW w:w="1112"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872" w:type="dxa"/>
                  <w:tcBorders>
                    <w:top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监测项目</w:t>
                  </w:r>
                </w:p>
              </w:tc>
              <w:tc>
                <w:tcPr>
                  <w:tcW w:w="2060" w:type="dxa"/>
                  <w:tcBorders>
                    <w:top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restar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227" w:type="dxa"/>
                  <w:vMerge w:val="restar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烘干废气</w:t>
                  </w:r>
                </w:p>
              </w:tc>
              <w:tc>
                <w:tcPr>
                  <w:tcW w:w="1328" w:type="dxa"/>
                  <w:vMerge w:val="restar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水膜除尘器+15m排气筒（DA001）</w:t>
                  </w:r>
                </w:p>
              </w:tc>
              <w:tc>
                <w:tcPr>
                  <w:tcW w:w="724" w:type="dxa"/>
                  <w:vMerge w:val="restar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3次/d，共监测2天</w:t>
                  </w:r>
                </w:p>
              </w:tc>
              <w:tc>
                <w:tcPr>
                  <w:tcW w:w="1112" w:type="dxa"/>
                  <w:vMerge w:val="restar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15m排气筒（进气口和排气口）（DA001）</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2060" w:type="dxa"/>
                  <w:vMerge w:val="restar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《大气污染物综合排放标准》（GB16297-1996）</w:t>
                  </w:r>
                  <w:r>
                    <w:rPr>
                      <w:rFonts w:hint="default" w:ascii="Times New Roman" w:hAnsi="Times New Roman" w:eastAsia="宋体" w:cs="Times New Roman"/>
                      <w:b w:val="0"/>
                      <w:bCs w:val="0"/>
                      <w:color w:val="auto"/>
                      <w:sz w:val="21"/>
                      <w:szCs w:val="21"/>
                      <w:highlight w:val="none"/>
                      <w:lang w:eastAsia="zh-CN"/>
                    </w:rPr>
                    <w:t>表</w:t>
                  </w:r>
                  <w:r>
                    <w:rPr>
                      <w:rFonts w:hint="default" w:ascii="Times New Roman" w:hAnsi="Times New Roman" w:eastAsia="宋体"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rPr>
                    <w:t>新污染源大气污染物排放限值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continue"/>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vMerge w:val="restar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天然气燃烧废气</w:t>
                  </w:r>
                </w:p>
              </w:tc>
              <w:tc>
                <w:tcPr>
                  <w:tcW w:w="1328" w:type="dxa"/>
                  <w:vMerge w:val="continue"/>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724" w:type="dxa"/>
                  <w:vMerge w:val="continue"/>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12" w:type="dxa"/>
                  <w:vMerge w:val="continue"/>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2060" w:type="dxa"/>
                  <w:vMerge w:val="continue"/>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continue"/>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vMerge w:val="continue"/>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328" w:type="dxa"/>
                  <w:vMerge w:val="continue"/>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724" w:type="dxa"/>
                  <w:vMerge w:val="continue"/>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112" w:type="dxa"/>
                  <w:vMerge w:val="continue"/>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p>
              </w:tc>
              <w:tc>
                <w:tcPr>
                  <w:tcW w:w="2060" w:type="dxa"/>
                  <w:vMerge w:val="continue"/>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continue"/>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vMerge w:val="restart"/>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感应炉</w:t>
                  </w:r>
                  <w:r>
                    <w:rPr>
                      <w:rFonts w:hint="default" w:ascii="Times New Roman" w:hAnsi="Times New Roman" w:eastAsia="宋体" w:cs="Times New Roman"/>
                      <w:color w:val="auto"/>
                      <w:sz w:val="21"/>
                      <w:szCs w:val="21"/>
                      <w:highlight w:val="none"/>
                    </w:rPr>
                    <w:t>烟气、浇铸废气</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集气罩</w:t>
                  </w:r>
                  <w:r>
                    <w:rPr>
                      <w:rFonts w:hint="default" w:ascii="Times New Roman" w:hAnsi="Times New Roman" w:eastAsia="宋体" w:cs="Times New Roman"/>
                      <w:color w:val="auto"/>
                      <w:sz w:val="21"/>
                      <w:szCs w:val="21"/>
                      <w:highlight w:val="none"/>
                    </w:rPr>
                    <w:t>+布袋除尘器+1根15m高的排气筒（DA002）</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3次/d，共监测2天</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15m排气筒（进气口和排气口）（DA002）</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2060" w:type="dxa"/>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《大气污染物综合排放限值标准》（GB16297-1996）表2新污染源大气污染物排放限值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continue"/>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封闭厂房</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4次/d，共监测2天</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上风向1个点位、下风向3个点位</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2060" w:type="dxa"/>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《大气污染物综合排放限值标准》（GB16297-1996）表2新污染源大气污染物排放限值中无组织排放监控浓度限值1.0mg/m</w:t>
                  </w:r>
                  <w:r>
                    <w:rPr>
                      <w:rFonts w:hint="default" w:ascii="Times New Roman" w:hAnsi="Times New Roman" w:eastAsia="宋体" w:cs="Times New Roman"/>
                      <w:color w:val="auto"/>
                      <w:sz w:val="21"/>
                      <w:szCs w:val="21"/>
                      <w:highlight w:val="none"/>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restar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1227"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化粪池</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060" w:type="dxa"/>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《污水综合排放标准》（GB8978-1996）三级标准限值要求</w:t>
                  </w:r>
                  <w:r>
                    <w:rPr>
                      <w:rFonts w:hint="default" w:ascii="Times New Roman" w:hAnsi="Times New Roman" w:eastAsia="宋体" w:cs="Times New Roman"/>
                      <w:color w:val="auto"/>
                      <w:sz w:val="21"/>
                      <w:szCs w:val="21"/>
                      <w:highlight w:val="none"/>
                      <w:lang w:val="en-US" w:eastAsia="zh-CN"/>
                    </w:rPr>
                    <w:t>和</w:t>
                  </w:r>
                  <w:r>
                    <w:rPr>
                      <w:rFonts w:hint="default" w:ascii="Times New Roman" w:hAnsi="Times New Roman" w:eastAsia="宋体" w:cs="Times New Roman"/>
                      <w:color w:val="auto"/>
                      <w:sz w:val="21"/>
                      <w:szCs w:val="21"/>
                      <w:highlight w:val="none"/>
                    </w:rPr>
                    <w:t>乌拉特前旗工业园区污水处理厂进水水质指标要求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continue"/>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感应炉循环冷却废水</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0"/>
                      <w:highlight w:val="none"/>
                    </w:rPr>
                    <w:t>冷却</w:t>
                  </w:r>
                  <w:r>
                    <w:rPr>
                      <w:rFonts w:hint="default" w:ascii="Times New Roman" w:hAnsi="Times New Roman" w:eastAsia="宋体" w:cs="Times New Roman"/>
                      <w:color w:val="auto"/>
                      <w:sz w:val="21"/>
                      <w:szCs w:val="20"/>
                      <w:highlight w:val="none"/>
                      <w:lang w:val="en-US" w:eastAsia="zh-CN"/>
                    </w:rPr>
                    <w:t>风扇+冷却水箱</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060" w:type="dxa"/>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循环使用，</w:t>
                  </w:r>
                  <w:r>
                    <w:rPr>
                      <w:rFonts w:hint="default" w:ascii="Times New Roman" w:hAnsi="Times New Roman" w:eastAsia="宋体" w:cs="Times New Roman"/>
                      <w:color w:val="auto"/>
                      <w:sz w:val="21"/>
                      <w:szCs w:val="21"/>
                      <w:highlight w:val="none"/>
                    </w:rPr>
                    <w:t>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continue"/>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水膜除尘器</w:t>
                  </w:r>
                  <w:r>
                    <w:rPr>
                      <w:rFonts w:hint="default" w:ascii="Times New Roman" w:hAnsi="Times New Roman" w:eastAsia="宋体" w:cs="Times New Roman"/>
                      <w:color w:val="auto"/>
                      <w:sz w:val="21"/>
                      <w:szCs w:val="21"/>
                      <w:highlight w:val="none"/>
                      <w:lang w:val="en-US" w:eastAsia="zh-CN"/>
                    </w:rPr>
                    <w:t>除尘</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060" w:type="dxa"/>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循环使用，</w:t>
                  </w:r>
                  <w:r>
                    <w:rPr>
                      <w:rFonts w:hint="default" w:ascii="Times New Roman" w:hAnsi="Times New Roman" w:eastAsia="宋体" w:cs="Times New Roman"/>
                      <w:color w:val="auto"/>
                      <w:sz w:val="21"/>
                      <w:szCs w:val="21"/>
                      <w:highlight w:val="none"/>
                    </w:rPr>
                    <w:t>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1227"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生产设备</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厂房隔声、</w:t>
                  </w:r>
                  <w:r>
                    <w:rPr>
                      <w:rFonts w:hint="default" w:ascii="Times New Roman" w:hAnsi="Times New Roman" w:eastAsia="宋体" w:cs="Times New Roman"/>
                      <w:color w:val="auto"/>
                      <w:sz w:val="21"/>
                      <w:szCs w:val="21"/>
                      <w:highlight w:val="none"/>
                      <w:lang w:eastAsia="zh-CN"/>
                    </w:rPr>
                    <w:t>减振</w:t>
                  </w:r>
                  <w:r>
                    <w:rPr>
                      <w:rFonts w:hint="default" w:ascii="Times New Roman" w:hAnsi="Times New Roman" w:eastAsia="宋体" w:cs="Times New Roman"/>
                      <w:color w:val="auto"/>
                      <w:sz w:val="21"/>
                      <w:szCs w:val="21"/>
                      <w:highlight w:val="none"/>
                    </w:rPr>
                    <w:t>垫降振</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昼夜各</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次，共监测2天</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厂界四周</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等效连续A声级</w:t>
                  </w:r>
                </w:p>
              </w:tc>
              <w:tc>
                <w:tcPr>
                  <w:tcW w:w="2060" w:type="dxa"/>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《工业企业厂界环境噪声排放标准》（GB12348-2008）3类标准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restart"/>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1227"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废包装材料</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暂存于</w:t>
                  </w:r>
                  <w:r>
                    <w:rPr>
                      <w:rFonts w:hint="default" w:ascii="Times New Roman" w:hAnsi="Times New Roman" w:eastAsia="宋体" w:cs="Times New Roman"/>
                      <w:color w:val="auto"/>
                      <w:sz w:val="21"/>
                      <w:szCs w:val="21"/>
                      <w:highlight w:val="none"/>
                      <w:lang w:eastAsia="zh-CN"/>
                    </w:rPr>
                    <w:t>一般固废暂存间</w:t>
                  </w:r>
                  <w:r>
                    <w:rPr>
                      <w:rFonts w:hint="default" w:ascii="Times New Roman" w:hAnsi="Times New Roman" w:eastAsia="宋体" w:cs="Times New Roman"/>
                      <w:color w:val="auto"/>
                      <w:sz w:val="21"/>
                      <w:szCs w:val="21"/>
                      <w:highlight w:val="none"/>
                      <w:lang w:val="en-US" w:eastAsia="zh-CN"/>
                    </w:rPr>
                    <w:t>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定期</w:t>
                  </w:r>
                  <w:r>
                    <w:rPr>
                      <w:rFonts w:hint="default" w:ascii="Times New Roman" w:hAnsi="Times New Roman" w:eastAsia="宋体" w:cs="Times New Roman"/>
                      <w:color w:val="auto"/>
                      <w:sz w:val="21"/>
                      <w:szCs w:val="21"/>
                      <w:highlight w:val="none"/>
                    </w:rPr>
                    <w:t>外售综合利用</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060" w:type="dxa"/>
                  <w:vMerge w:val="restart"/>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《一般工业固体废物贮存和填埋污染控制标准》（GB18599-2020）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continue"/>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水膜除尘底泥</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暂存于</w:t>
                  </w:r>
                  <w:r>
                    <w:rPr>
                      <w:rFonts w:hint="default" w:ascii="Times New Roman" w:hAnsi="Times New Roman" w:eastAsia="宋体" w:cs="Times New Roman"/>
                      <w:color w:val="auto"/>
                      <w:sz w:val="21"/>
                      <w:szCs w:val="21"/>
                      <w:highlight w:val="none"/>
                      <w:lang w:eastAsia="zh-CN"/>
                    </w:rPr>
                    <w:t>一般固废暂存间</w:t>
                  </w:r>
                  <w:r>
                    <w:rPr>
                      <w:rFonts w:hint="default" w:ascii="Times New Roman" w:hAnsi="Times New Roman" w:eastAsia="宋体" w:cs="Times New Roman"/>
                      <w:color w:val="auto"/>
                      <w:sz w:val="21"/>
                      <w:szCs w:val="21"/>
                      <w:highlight w:val="none"/>
                      <w:lang w:val="en-US" w:eastAsia="zh-CN"/>
                    </w:rPr>
                    <w:t>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作为原料进行二次烘干</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060" w:type="dxa"/>
                  <w:vMerge w:val="continue"/>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continue"/>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废耐火材料</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暂存于</w:t>
                  </w:r>
                  <w:r>
                    <w:rPr>
                      <w:rFonts w:hint="default" w:ascii="Times New Roman" w:hAnsi="Times New Roman" w:eastAsia="宋体" w:cs="Times New Roman"/>
                      <w:color w:val="auto"/>
                      <w:sz w:val="21"/>
                      <w:szCs w:val="21"/>
                      <w:highlight w:val="none"/>
                      <w:lang w:eastAsia="zh-CN"/>
                    </w:rPr>
                    <w:t>一般固废暂存间</w:t>
                  </w:r>
                  <w:r>
                    <w:rPr>
                      <w:rFonts w:hint="default" w:ascii="Times New Roman" w:hAnsi="Times New Roman" w:eastAsia="宋体" w:cs="Times New Roman"/>
                      <w:color w:val="auto"/>
                      <w:sz w:val="21"/>
                      <w:szCs w:val="21"/>
                      <w:highlight w:val="none"/>
                      <w:lang w:val="en-US" w:eastAsia="zh-CN"/>
                    </w:rPr>
                    <w:t>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定期由厂家回收综合利用</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060" w:type="dxa"/>
                  <w:vMerge w:val="continue"/>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14" w:type="dxa"/>
                  <w:vMerge w:val="continue"/>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废电极</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暂存于</w:t>
                  </w:r>
                  <w:r>
                    <w:rPr>
                      <w:rFonts w:hint="default" w:ascii="Times New Roman" w:hAnsi="Times New Roman" w:eastAsia="宋体" w:cs="Times New Roman"/>
                      <w:color w:val="auto"/>
                      <w:sz w:val="21"/>
                      <w:szCs w:val="21"/>
                      <w:highlight w:val="none"/>
                      <w:lang w:eastAsia="zh-CN"/>
                    </w:rPr>
                    <w:t>一般固废暂存间</w:t>
                  </w:r>
                  <w:r>
                    <w:rPr>
                      <w:rFonts w:hint="default" w:ascii="Times New Roman" w:hAnsi="Times New Roman" w:eastAsia="宋体" w:cs="Times New Roman"/>
                      <w:color w:val="auto"/>
                      <w:sz w:val="21"/>
                      <w:szCs w:val="21"/>
                      <w:highlight w:val="none"/>
                      <w:lang w:val="en-US" w:eastAsia="zh-CN"/>
                    </w:rPr>
                    <w:t>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定期由厂家回收综合利用</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060" w:type="dxa"/>
                  <w:vMerge w:val="continue"/>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continue"/>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硅渣</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暂存于</w:t>
                  </w:r>
                  <w:r>
                    <w:rPr>
                      <w:rFonts w:hint="default" w:ascii="Times New Roman" w:hAnsi="Times New Roman" w:eastAsia="宋体" w:cs="Times New Roman"/>
                      <w:color w:val="auto"/>
                      <w:sz w:val="21"/>
                      <w:szCs w:val="21"/>
                      <w:highlight w:val="none"/>
                      <w:lang w:eastAsia="zh-CN"/>
                    </w:rPr>
                    <w:t>一般固废暂存间</w:t>
                  </w:r>
                  <w:r>
                    <w:rPr>
                      <w:rFonts w:hint="default" w:ascii="Times New Roman" w:hAnsi="Times New Roman" w:eastAsia="宋体" w:cs="Times New Roman"/>
                      <w:color w:val="auto"/>
                      <w:sz w:val="21"/>
                      <w:szCs w:val="21"/>
                      <w:highlight w:val="none"/>
                      <w:lang w:val="en-US" w:eastAsia="zh-CN"/>
                    </w:rPr>
                    <w:t>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定期外售综合利用</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060" w:type="dxa"/>
                  <w:vMerge w:val="continue"/>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continue"/>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除尘灰</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暂存于</w:t>
                  </w:r>
                  <w:r>
                    <w:rPr>
                      <w:rFonts w:hint="default" w:ascii="Times New Roman" w:hAnsi="Times New Roman" w:eastAsia="宋体" w:cs="Times New Roman"/>
                      <w:color w:val="auto"/>
                      <w:sz w:val="21"/>
                      <w:szCs w:val="21"/>
                      <w:highlight w:val="none"/>
                      <w:lang w:eastAsia="zh-CN"/>
                    </w:rPr>
                    <w:t>一般固废暂存间</w:t>
                  </w:r>
                  <w:r>
                    <w:rPr>
                      <w:rFonts w:hint="default" w:ascii="Times New Roman" w:hAnsi="Times New Roman" w:eastAsia="宋体" w:cs="Times New Roman"/>
                      <w:color w:val="auto"/>
                      <w:sz w:val="21"/>
                      <w:szCs w:val="21"/>
                      <w:highlight w:val="none"/>
                      <w:lang w:val="en-US" w:eastAsia="zh-CN"/>
                    </w:rPr>
                    <w:t>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定期外售综合利用</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060" w:type="dxa"/>
                  <w:vMerge w:val="continue"/>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continue"/>
                  <w:tcBorders>
                    <w:lef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废润滑油</w:t>
                  </w:r>
                </w:p>
              </w:tc>
              <w:tc>
                <w:tcPr>
                  <w:tcW w:w="1328"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暂存于危废暂存间内，定期委托有资质单位处置</w:t>
                  </w:r>
                </w:p>
              </w:tc>
              <w:tc>
                <w:tcPr>
                  <w:tcW w:w="724"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72" w:type="dxa"/>
                  <w:tcBorders>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060" w:type="dxa"/>
                  <w:tcBorders>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《危险废物贮存污染控制标准》（GB18597-2023）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4" w:type="dxa"/>
                  <w:vMerge w:val="continue"/>
                  <w:tcBorders>
                    <w:left w:val="single" w:color="auto" w:sz="4" w:space="0"/>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p>
              </w:tc>
              <w:tc>
                <w:tcPr>
                  <w:tcW w:w="1227" w:type="dxa"/>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1328" w:type="dxa"/>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暂存于厂区垃圾桶内，委托环卫部门清运</w:t>
                  </w:r>
                </w:p>
              </w:tc>
              <w:tc>
                <w:tcPr>
                  <w:tcW w:w="724" w:type="dxa"/>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2" w:type="dxa"/>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72" w:type="dxa"/>
                  <w:tcBorders>
                    <w:bottom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060" w:type="dxa"/>
                  <w:tcBorders>
                    <w:bottom w:val="single" w:color="auto" w:sz="4" w:space="0"/>
                    <w:right w:val="single" w:color="auto" w:sz="4" w:space="0"/>
                    <w:tl2br w:val="nil"/>
                    <w:tr2bl w:val="nil"/>
                  </w:tcBorders>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bookmarkEnd w:id="7"/>
            <w:bookmarkEnd w:id="8"/>
          </w:tbl>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b/>
                <w:bCs/>
                <w:color w:val="auto"/>
                <w:highlight w:val="none"/>
              </w:rPr>
            </w:pPr>
          </w:p>
        </w:tc>
      </w:tr>
    </w:tbl>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Cs/>
          <w:color w:val="auto"/>
          <w:szCs w:val="21"/>
          <w:highlight w:val="none"/>
        </w:rPr>
        <w:sectPr>
          <w:pgSz w:w="11906" w:h="16838"/>
          <w:pgMar w:top="1440" w:right="1800" w:bottom="1440" w:left="1800" w:header="992" w:footer="992" w:gutter="0"/>
          <w:cols w:space="425" w:num="1"/>
          <w:docGrid w:type="lines" w:linePitch="312" w:charSpace="0"/>
        </w:sectPr>
      </w:pPr>
    </w:p>
    <w:bookmarkEnd w:id="6"/>
    <w:p>
      <w:pPr>
        <w:pStyle w:val="3"/>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rPr>
      </w:pPr>
      <w:bookmarkStart w:id="17" w:name="_Toc163032412"/>
      <w:r>
        <w:rPr>
          <w:rFonts w:hint="default" w:ascii="Times New Roman" w:hAnsi="Times New Roman" w:eastAsia="宋体" w:cs="Times New Roman"/>
          <w:snapToGrid w:val="0"/>
          <w:color w:val="auto"/>
          <w:highlight w:val="none"/>
        </w:rPr>
        <w:t>五、</w:t>
      </w:r>
      <w:bookmarkStart w:id="18" w:name="_Hlk54167917"/>
      <w:r>
        <w:rPr>
          <w:rFonts w:hint="default" w:ascii="Times New Roman" w:hAnsi="Times New Roman" w:eastAsia="宋体" w:cs="Times New Roman"/>
          <w:snapToGrid w:val="0"/>
          <w:color w:val="auto"/>
          <w:highlight w:val="none"/>
        </w:rPr>
        <w:t>环境保护措施监督检查清单</w:t>
      </w:r>
      <w:bookmarkEnd w:id="17"/>
      <w:bookmarkEnd w:id="18"/>
    </w:p>
    <w:tbl>
      <w:tblPr>
        <w:tblStyle w:val="29"/>
        <w:tblW w:w="91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21"/>
        <w:gridCol w:w="1480"/>
        <w:gridCol w:w="1183"/>
        <w:gridCol w:w="2071"/>
        <w:gridCol w:w="312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tcBorders>
              <w:tl2br w:val="single" w:color="auto" w:sz="4" w:space="0"/>
            </w:tcBorders>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内容</w:t>
            </w:r>
          </w:p>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4"/>
                <w:szCs w:val="24"/>
                <w:highlight w:val="none"/>
              </w:rPr>
            </w:pPr>
          </w:p>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要素</w:t>
            </w: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排放口</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编号、名称</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/污染源</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污染物项目</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环境保护措施</w:t>
            </w:r>
          </w:p>
        </w:tc>
        <w:tc>
          <w:tcPr>
            <w:tcW w:w="3129"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restart"/>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大气环境</w:t>
            </w:r>
          </w:p>
        </w:tc>
        <w:tc>
          <w:tcPr>
            <w:tcW w:w="1480" w:type="dxa"/>
            <w:vMerge w:val="restart"/>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天然气</w:t>
            </w:r>
            <w:r>
              <w:rPr>
                <w:rFonts w:hint="default" w:ascii="Times New Roman" w:hAnsi="Times New Roman" w:eastAsia="宋体" w:cs="Times New Roman"/>
                <w:color w:val="auto"/>
                <w:sz w:val="24"/>
                <w:szCs w:val="24"/>
                <w:highlight w:val="none"/>
              </w:rPr>
              <w:t>燃烧废气</w:t>
            </w:r>
            <w:r>
              <w:rPr>
                <w:rFonts w:hint="default" w:ascii="Times New Roman" w:hAnsi="Times New Roman" w:eastAsia="宋体" w:cs="Times New Roman"/>
                <w:color w:val="auto"/>
                <w:sz w:val="24"/>
                <w:szCs w:val="24"/>
                <w:highlight w:val="none"/>
                <w:lang w:val="en-US" w:eastAsia="zh-CN"/>
              </w:rPr>
              <w:t>和</w:t>
            </w:r>
            <w:r>
              <w:rPr>
                <w:rFonts w:hint="default" w:ascii="Times New Roman" w:hAnsi="Times New Roman" w:eastAsia="宋体" w:cs="Times New Roman"/>
                <w:color w:val="auto"/>
                <w:sz w:val="24"/>
                <w:szCs w:val="24"/>
                <w:highlight w:val="none"/>
              </w:rPr>
              <w:t>烘干废气</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颗粒物</w:t>
            </w:r>
          </w:p>
        </w:tc>
        <w:tc>
          <w:tcPr>
            <w:tcW w:w="2071" w:type="dxa"/>
            <w:vMerge w:val="restart"/>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水膜除尘器+15m排气筒（DA001）</w:t>
            </w:r>
          </w:p>
        </w:tc>
        <w:tc>
          <w:tcPr>
            <w:tcW w:w="3129" w:type="dxa"/>
            <w:vMerge w:val="restart"/>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val="0"/>
                <w:bCs w:val="0"/>
                <w:color w:val="auto"/>
                <w:sz w:val="24"/>
                <w:szCs w:val="24"/>
                <w:highlight w:val="none"/>
              </w:rPr>
              <w:t>《大气污染物综合排放标准》（GB16297-1996）</w:t>
            </w:r>
            <w:r>
              <w:rPr>
                <w:rFonts w:hint="default" w:ascii="Times New Roman" w:hAnsi="Times New Roman" w:eastAsia="宋体" w:cs="Times New Roman"/>
                <w:b w:val="0"/>
                <w:bCs w:val="0"/>
                <w:color w:val="auto"/>
                <w:sz w:val="24"/>
                <w:szCs w:val="24"/>
                <w:highlight w:val="none"/>
                <w:lang w:eastAsia="zh-CN"/>
              </w:rPr>
              <w:t>表</w:t>
            </w:r>
            <w:r>
              <w:rPr>
                <w:rFonts w:hint="default" w:ascii="Times New Roman" w:hAnsi="Times New Roman" w:eastAsia="宋体"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rPr>
              <w:t>新污染源大气污染物排放限值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2</w:t>
            </w:r>
          </w:p>
        </w:tc>
        <w:tc>
          <w:tcPr>
            <w:tcW w:w="2071" w:type="dxa"/>
            <w:vMerge w:val="continue"/>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4"/>
                <w:szCs w:val="24"/>
                <w:highlight w:val="none"/>
              </w:rPr>
            </w:pPr>
          </w:p>
        </w:tc>
        <w:tc>
          <w:tcPr>
            <w:tcW w:w="3129" w:type="dxa"/>
            <w:vMerge w:val="continue"/>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rPr>
              <w:t>NOx</w:t>
            </w:r>
          </w:p>
        </w:tc>
        <w:tc>
          <w:tcPr>
            <w:tcW w:w="2071" w:type="dxa"/>
            <w:vMerge w:val="continue"/>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4"/>
                <w:szCs w:val="24"/>
                <w:highlight w:val="none"/>
              </w:rPr>
            </w:pPr>
          </w:p>
        </w:tc>
        <w:tc>
          <w:tcPr>
            <w:tcW w:w="3129" w:type="dxa"/>
            <w:vMerge w:val="continue"/>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感应炉</w:t>
            </w:r>
            <w:r>
              <w:rPr>
                <w:rFonts w:hint="default" w:ascii="Times New Roman" w:hAnsi="Times New Roman" w:eastAsia="宋体" w:cs="Times New Roman"/>
                <w:color w:val="auto"/>
                <w:sz w:val="24"/>
                <w:szCs w:val="24"/>
                <w:highlight w:val="none"/>
              </w:rPr>
              <w:t>烟气、浇铸废气</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颗粒物</w:t>
            </w:r>
          </w:p>
        </w:tc>
        <w:tc>
          <w:tcPr>
            <w:tcW w:w="2071" w:type="dxa"/>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集气罩</w:t>
            </w:r>
            <w:r>
              <w:rPr>
                <w:rFonts w:hint="default" w:ascii="Times New Roman" w:hAnsi="Times New Roman" w:eastAsia="宋体" w:cs="Times New Roman"/>
                <w:color w:val="auto"/>
                <w:sz w:val="24"/>
                <w:szCs w:val="24"/>
                <w:highlight w:val="none"/>
              </w:rPr>
              <w:t>+布袋除尘器+1根15m高的排气筒（DA002）</w:t>
            </w:r>
          </w:p>
        </w:tc>
        <w:tc>
          <w:tcPr>
            <w:tcW w:w="3129" w:type="dxa"/>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《大气污染物综合排放限值标准》（GB16297-1996）表2新污染源大气污染物排放限值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无组织废气</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颗粒物</w:t>
            </w:r>
          </w:p>
        </w:tc>
        <w:tc>
          <w:tcPr>
            <w:tcW w:w="2071" w:type="dxa"/>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封闭厂房，车间加强通风，洒水沉降</w:t>
            </w:r>
          </w:p>
        </w:tc>
        <w:tc>
          <w:tcPr>
            <w:tcW w:w="3129" w:type="dxa"/>
            <w:vAlign w:val="center"/>
          </w:tcPr>
          <w:p>
            <w:pPr>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《大气污染物综合排放标准》（GB16297-1996）表2中颗粒物无组织排放标准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restart"/>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水环境</w:t>
            </w: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生活污水</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SS、COD、BOD</w:t>
            </w:r>
            <w:r>
              <w:rPr>
                <w:rFonts w:hint="default" w:ascii="Times New Roman" w:hAnsi="Times New Roman" w:eastAsia="宋体" w:cs="Times New Roman"/>
                <w:color w:val="auto"/>
                <w:sz w:val="24"/>
                <w:szCs w:val="24"/>
                <w:highlight w:val="none"/>
                <w:vertAlign w:val="subscript"/>
              </w:rPr>
              <w:t>5</w:t>
            </w:r>
            <w:r>
              <w:rPr>
                <w:rFonts w:hint="default" w:ascii="Times New Roman" w:hAnsi="Times New Roman" w:eastAsia="宋体" w:cs="Times New Roman"/>
                <w:color w:val="auto"/>
                <w:sz w:val="24"/>
                <w:szCs w:val="24"/>
                <w:highlight w:val="none"/>
              </w:rPr>
              <w:t>、NH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-N、pH、动植物油</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排入化粪池，经园区污水管网，最终进入乌拉特前旗工业园区污水处理厂</w:t>
            </w:r>
          </w:p>
        </w:tc>
        <w:tc>
          <w:tcPr>
            <w:tcW w:w="3129"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《污水综合排放标准》（GB8978-1996）三级标准限值要求和乌拉特前旗工业园区污水处理厂进水水质指标要求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eastAsia="zh-CN"/>
              </w:rPr>
              <w:t>感应炉循环冷却废水</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清净下水</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循环使用，</w:t>
            </w:r>
            <w:r>
              <w:rPr>
                <w:rFonts w:hint="default" w:ascii="Times New Roman" w:hAnsi="Times New Roman" w:eastAsia="宋体" w:cs="Times New Roman"/>
                <w:color w:val="auto"/>
                <w:sz w:val="24"/>
                <w:szCs w:val="24"/>
                <w:highlight w:val="none"/>
              </w:rPr>
              <w:t>不外排</w:t>
            </w:r>
          </w:p>
        </w:tc>
        <w:tc>
          <w:tcPr>
            <w:tcW w:w="3129"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rPr>
              <w:t>水膜除尘器</w:t>
            </w:r>
            <w:r>
              <w:rPr>
                <w:rFonts w:hint="default" w:ascii="Times New Roman" w:hAnsi="Times New Roman" w:eastAsia="宋体" w:cs="Times New Roman"/>
                <w:color w:val="auto"/>
                <w:sz w:val="24"/>
                <w:szCs w:val="24"/>
                <w:highlight w:val="none"/>
                <w:lang w:val="en-US" w:eastAsia="zh-CN"/>
              </w:rPr>
              <w:t>除尘</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SS</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循环使用，</w:t>
            </w:r>
            <w:r>
              <w:rPr>
                <w:rFonts w:hint="default" w:ascii="Times New Roman" w:hAnsi="Times New Roman" w:eastAsia="宋体" w:cs="Times New Roman"/>
                <w:color w:val="auto"/>
                <w:sz w:val="24"/>
                <w:szCs w:val="24"/>
                <w:highlight w:val="none"/>
              </w:rPr>
              <w:t>不外排</w:t>
            </w:r>
          </w:p>
        </w:tc>
        <w:tc>
          <w:tcPr>
            <w:tcW w:w="3129"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声环境</w:t>
            </w: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生产设备</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等效A声级</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隔声、减振</w:t>
            </w:r>
          </w:p>
        </w:tc>
        <w:tc>
          <w:tcPr>
            <w:tcW w:w="3129"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《工业企业厂界环境噪声排放标准》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GB12348-2008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电磁辐射</w:t>
            </w: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无</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3129"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restart"/>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固体废物</w:t>
            </w: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原辅材料</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rPr>
              <w:t>废包装材料</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暂存于</w:t>
            </w:r>
            <w:r>
              <w:rPr>
                <w:rFonts w:hint="default" w:ascii="Times New Roman" w:hAnsi="Times New Roman" w:eastAsia="宋体" w:cs="Times New Roman"/>
                <w:color w:val="auto"/>
                <w:sz w:val="24"/>
                <w:szCs w:val="24"/>
                <w:highlight w:val="none"/>
                <w:lang w:eastAsia="zh-CN"/>
              </w:rPr>
              <w:t>一般固废暂存间</w:t>
            </w:r>
            <w:r>
              <w:rPr>
                <w:rFonts w:hint="default" w:ascii="Times New Roman" w:hAnsi="Times New Roman" w:eastAsia="宋体" w:cs="Times New Roman"/>
                <w:color w:val="auto"/>
                <w:sz w:val="24"/>
                <w:szCs w:val="24"/>
                <w:highlight w:val="none"/>
                <w:lang w:val="en-US" w:eastAsia="zh-CN"/>
              </w:rPr>
              <w:t>内</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定期</w:t>
            </w:r>
            <w:r>
              <w:rPr>
                <w:rFonts w:hint="default" w:ascii="Times New Roman" w:hAnsi="Times New Roman" w:eastAsia="宋体" w:cs="Times New Roman"/>
                <w:color w:val="auto"/>
                <w:sz w:val="24"/>
                <w:szCs w:val="24"/>
                <w:highlight w:val="none"/>
              </w:rPr>
              <w:t>外售综合利用</w:t>
            </w:r>
          </w:p>
        </w:tc>
        <w:tc>
          <w:tcPr>
            <w:tcW w:w="3129" w:type="dxa"/>
            <w:vMerge w:val="restart"/>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《一般工业固体废物贮存和填埋污染控制标准》（GB18599-2020）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水膜除尘</w:t>
            </w:r>
            <w:r>
              <w:rPr>
                <w:rFonts w:hint="default" w:ascii="Times New Roman" w:hAnsi="Times New Roman" w:eastAsia="宋体" w:cs="Times New Roman"/>
                <w:color w:val="auto"/>
                <w:sz w:val="24"/>
                <w:szCs w:val="24"/>
                <w:highlight w:val="none"/>
                <w:lang w:val="en-US" w:eastAsia="zh-CN"/>
              </w:rPr>
              <w:t>器</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rPr>
              <w:t>底泥</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暂存于</w:t>
            </w:r>
            <w:r>
              <w:rPr>
                <w:rFonts w:hint="default" w:ascii="Times New Roman" w:hAnsi="Times New Roman" w:eastAsia="宋体" w:cs="Times New Roman"/>
                <w:color w:val="auto"/>
                <w:sz w:val="24"/>
                <w:szCs w:val="24"/>
                <w:highlight w:val="none"/>
                <w:lang w:eastAsia="zh-CN"/>
              </w:rPr>
              <w:t>一般固废暂存间</w:t>
            </w:r>
            <w:r>
              <w:rPr>
                <w:rFonts w:hint="default" w:ascii="Times New Roman" w:hAnsi="Times New Roman" w:eastAsia="宋体" w:cs="Times New Roman"/>
                <w:color w:val="auto"/>
                <w:sz w:val="24"/>
                <w:szCs w:val="24"/>
                <w:highlight w:val="none"/>
                <w:lang w:val="en-US" w:eastAsia="zh-CN"/>
              </w:rPr>
              <w:t>内</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作为原料进行二次烘干</w:t>
            </w:r>
          </w:p>
        </w:tc>
        <w:tc>
          <w:tcPr>
            <w:tcW w:w="3129"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感应炉</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废耐火材料</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暂存于</w:t>
            </w:r>
            <w:r>
              <w:rPr>
                <w:rFonts w:hint="default" w:ascii="Times New Roman" w:hAnsi="Times New Roman" w:eastAsia="宋体" w:cs="Times New Roman"/>
                <w:color w:val="auto"/>
                <w:sz w:val="24"/>
                <w:szCs w:val="24"/>
                <w:highlight w:val="none"/>
                <w:lang w:eastAsia="zh-CN"/>
              </w:rPr>
              <w:t>一般固废暂存间</w:t>
            </w:r>
            <w:r>
              <w:rPr>
                <w:rFonts w:hint="default" w:ascii="Times New Roman" w:hAnsi="Times New Roman" w:eastAsia="宋体" w:cs="Times New Roman"/>
                <w:color w:val="auto"/>
                <w:sz w:val="24"/>
                <w:szCs w:val="24"/>
                <w:highlight w:val="none"/>
                <w:lang w:val="en-US" w:eastAsia="zh-CN"/>
              </w:rPr>
              <w:t>内</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定期由厂家回收综合利用</w:t>
            </w:r>
          </w:p>
        </w:tc>
        <w:tc>
          <w:tcPr>
            <w:tcW w:w="3129"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感应炉</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rPr>
              <w:t>废电极</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暂存于</w:t>
            </w:r>
            <w:r>
              <w:rPr>
                <w:rFonts w:hint="default" w:ascii="Times New Roman" w:hAnsi="Times New Roman" w:eastAsia="宋体" w:cs="Times New Roman"/>
                <w:color w:val="auto"/>
                <w:sz w:val="24"/>
                <w:szCs w:val="24"/>
                <w:highlight w:val="none"/>
                <w:lang w:eastAsia="zh-CN"/>
              </w:rPr>
              <w:t>一般固废暂存间</w:t>
            </w:r>
            <w:r>
              <w:rPr>
                <w:rFonts w:hint="default" w:ascii="Times New Roman" w:hAnsi="Times New Roman" w:eastAsia="宋体" w:cs="Times New Roman"/>
                <w:color w:val="auto"/>
                <w:sz w:val="24"/>
                <w:szCs w:val="24"/>
                <w:highlight w:val="none"/>
                <w:lang w:val="en-US" w:eastAsia="zh-CN"/>
              </w:rPr>
              <w:t>内</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定期由厂家回收综合利用</w:t>
            </w:r>
          </w:p>
        </w:tc>
        <w:tc>
          <w:tcPr>
            <w:tcW w:w="3129"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感应炉</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硅渣</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暂存于</w:t>
            </w:r>
            <w:r>
              <w:rPr>
                <w:rFonts w:hint="default" w:ascii="Times New Roman" w:hAnsi="Times New Roman" w:eastAsia="宋体" w:cs="Times New Roman"/>
                <w:color w:val="auto"/>
                <w:sz w:val="24"/>
                <w:szCs w:val="24"/>
                <w:highlight w:val="none"/>
                <w:lang w:eastAsia="zh-CN"/>
              </w:rPr>
              <w:t>一般固废暂存间</w:t>
            </w:r>
            <w:r>
              <w:rPr>
                <w:rFonts w:hint="default" w:ascii="Times New Roman" w:hAnsi="Times New Roman" w:eastAsia="宋体" w:cs="Times New Roman"/>
                <w:color w:val="auto"/>
                <w:sz w:val="24"/>
                <w:szCs w:val="24"/>
                <w:highlight w:val="none"/>
                <w:lang w:val="en-US" w:eastAsia="zh-CN"/>
              </w:rPr>
              <w:t>内</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定期外售综合利用</w:t>
            </w:r>
          </w:p>
        </w:tc>
        <w:tc>
          <w:tcPr>
            <w:tcW w:w="3129"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布袋除尘器</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除尘灰</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暂存于</w:t>
            </w:r>
            <w:r>
              <w:rPr>
                <w:rFonts w:hint="default" w:ascii="Times New Roman" w:hAnsi="Times New Roman" w:eastAsia="宋体" w:cs="Times New Roman"/>
                <w:color w:val="auto"/>
                <w:sz w:val="24"/>
                <w:szCs w:val="24"/>
                <w:highlight w:val="none"/>
                <w:lang w:eastAsia="zh-CN"/>
              </w:rPr>
              <w:t>一般固废暂存间</w:t>
            </w:r>
            <w:r>
              <w:rPr>
                <w:rFonts w:hint="default" w:ascii="Times New Roman" w:hAnsi="Times New Roman" w:eastAsia="宋体" w:cs="Times New Roman"/>
                <w:color w:val="auto"/>
                <w:sz w:val="24"/>
                <w:szCs w:val="24"/>
                <w:highlight w:val="none"/>
                <w:lang w:val="en-US" w:eastAsia="zh-CN"/>
              </w:rPr>
              <w:t>内</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定期外售综合利用</w:t>
            </w:r>
          </w:p>
        </w:tc>
        <w:tc>
          <w:tcPr>
            <w:tcW w:w="3129"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设备维修</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eastAsia="zh-CN"/>
              </w:rPr>
              <w:t>废润滑油</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暂存于危废暂存间内，定期委托有资质单位处置</w:t>
            </w:r>
          </w:p>
        </w:tc>
        <w:tc>
          <w:tcPr>
            <w:tcW w:w="3129"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《危险废物贮存污染控制标准》（GB18597-2023）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Merge w:val="continue"/>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p>
        </w:tc>
        <w:tc>
          <w:tcPr>
            <w:tcW w:w="1480"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工作人员</w:t>
            </w:r>
          </w:p>
        </w:tc>
        <w:tc>
          <w:tcPr>
            <w:tcW w:w="1183"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rPr>
              <w:t>生活垃圾</w:t>
            </w:r>
          </w:p>
        </w:tc>
        <w:tc>
          <w:tcPr>
            <w:tcW w:w="207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rPr>
              <w:t>暂存于厂区垃圾桶内，委托环卫部门清运</w:t>
            </w:r>
          </w:p>
        </w:tc>
        <w:tc>
          <w:tcPr>
            <w:tcW w:w="3129"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土壤及地下水污染防治措施</w:t>
            </w:r>
          </w:p>
        </w:tc>
        <w:tc>
          <w:tcPr>
            <w:tcW w:w="7863" w:type="dxa"/>
            <w:gridSpan w:val="4"/>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将全厂按物料或者污染物泄漏的途径和生产功能单元所处的位置划分为三类地下水污染防治区域：</w:t>
            </w:r>
          </w:p>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重点防渗区：包括危废暂存间等地面全部采用2mm</w:t>
            </w:r>
            <w:r>
              <w:rPr>
                <w:rFonts w:hint="default" w:ascii="Times New Roman" w:hAnsi="Times New Roman" w:eastAsia="宋体" w:cs="Times New Roman"/>
                <w:color w:val="auto"/>
                <w:sz w:val="21"/>
                <w:szCs w:val="21"/>
                <w:highlight w:val="none"/>
                <w:lang w:eastAsia="zh-CN"/>
              </w:rPr>
              <w:t>厚</w:t>
            </w:r>
            <w:r>
              <w:rPr>
                <w:rFonts w:hint="default" w:ascii="Times New Roman" w:hAnsi="Times New Roman" w:eastAsia="宋体" w:cs="Times New Roman"/>
                <w:color w:val="auto"/>
                <w:sz w:val="21"/>
                <w:szCs w:val="21"/>
                <w:highlight w:val="none"/>
              </w:rPr>
              <w:t>的HDPE膜做防渗处理。</w:t>
            </w:r>
          </w:p>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一般防渗区：包括一般固废暂存间、化粪池，地面进行防渗，采用混凝土+渗透结晶型防水剂铺设；渗透系数≤10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w:t>
            </w:r>
          </w:p>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简单防渗区：包括生产车间、</w:t>
            </w:r>
            <w:r>
              <w:rPr>
                <w:rFonts w:hint="default" w:ascii="Times New Roman" w:hAnsi="Times New Roman" w:eastAsia="宋体" w:cs="Times New Roman"/>
                <w:color w:val="auto"/>
                <w:sz w:val="21"/>
                <w:szCs w:val="21"/>
                <w:highlight w:val="none"/>
                <w:lang w:eastAsia="zh-CN"/>
              </w:rPr>
              <w:t>原料库</w:t>
            </w:r>
            <w:r>
              <w:rPr>
                <w:rFonts w:hint="default" w:ascii="Times New Roman" w:hAnsi="Times New Roman" w:eastAsia="宋体" w:cs="Times New Roman"/>
                <w:color w:val="auto"/>
                <w:sz w:val="21"/>
                <w:szCs w:val="21"/>
                <w:highlight w:val="none"/>
              </w:rPr>
              <w:t>和</w:t>
            </w:r>
            <w:r>
              <w:rPr>
                <w:rFonts w:hint="default" w:ascii="Times New Roman" w:hAnsi="Times New Roman" w:eastAsia="宋体" w:cs="Times New Roman"/>
                <w:color w:val="auto"/>
                <w:sz w:val="21"/>
                <w:szCs w:val="21"/>
                <w:highlight w:val="none"/>
                <w:lang w:eastAsia="zh-CN"/>
              </w:rPr>
              <w:t>成品库</w:t>
            </w:r>
            <w:r>
              <w:rPr>
                <w:rFonts w:hint="default" w:ascii="Times New Roman" w:hAnsi="Times New Roman" w:eastAsia="宋体" w:cs="Times New Roman"/>
                <w:color w:val="auto"/>
                <w:sz w:val="21"/>
                <w:szCs w:val="21"/>
                <w:highlight w:val="none"/>
              </w:rPr>
              <w:t>等地面全部采用钢筋混凝土硬化处理。</w:t>
            </w:r>
          </w:p>
          <w:p>
            <w:pPr>
              <w:keepNext w:val="0"/>
              <w:keepLines w:val="0"/>
              <w:pageBreakBefore w:val="0"/>
              <w:widowControl/>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1"/>
                <w:szCs w:val="21"/>
                <w:highlight w:val="none"/>
              </w:rPr>
              <w:t>通过采取严格有效的防渗措施，可以有效降低非正常工况发生的污染物</w:t>
            </w:r>
            <w:r>
              <w:rPr>
                <w:rFonts w:hint="default" w:ascii="Times New Roman" w:hAnsi="Times New Roman" w:eastAsia="宋体" w:cs="Times New Roman"/>
                <w:color w:val="auto"/>
                <w:sz w:val="21"/>
                <w:szCs w:val="21"/>
                <w:highlight w:val="none"/>
                <w:lang w:eastAsia="zh-CN"/>
              </w:rPr>
              <w:t>泄漏事故</w:t>
            </w:r>
            <w:r>
              <w:rPr>
                <w:rFonts w:hint="default" w:ascii="Times New Roman" w:hAnsi="Times New Roman" w:eastAsia="宋体" w:cs="Times New Roman"/>
                <w:color w:val="auto"/>
                <w:sz w:val="21"/>
                <w:szCs w:val="21"/>
                <w:highlight w:val="none"/>
              </w:rPr>
              <w:t>；在发生</w:t>
            </w:r>
            <w:r>
              <w:rPr>
                <w:rFonts w:hint="default" w:ascii="Times New Roman" w:hAnsi="Times New Roman" w:eastAsia="宋体" w:cs="Times New Roman"/>
                <w:color w:val="auto"/>
                <w:sz w:val="21"/>
                <w:szCs w:val="21"/>
                <w:highlight w:val="none"/>
                <w:lang w:eastAsia="zh-CN"/>
              </w:rPr>
              <w:t>泄漏</w:t>
            </w:r>
            <w:r>
              <w:rPr>
                <w:rFonts w:hint="default" w:ascii="Times New Roman" w:hAnsi="Times New Roman" w:eastAsia="宋体" w:cs="Times New Roman"/>
                <w:color w:val="auto"/>
                <w:sz w:val="21"/>
                <w:szCs w:val="21"/>
                <w:highlight w:val="none"/>
              </w:rPr>
              <w:t>情况下，采取有效的应急措施，可以污染物进入地下水、土壤环境的风险降到最低。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生态保护措施</w:t>
            </w:r>
          </w:p>
        </w:tc>
        <w:tc>
          <w:tcPr>
            <w:tcW w:w="7863" w:type="dxa"/>
            <w:gridSpan w:val="4"/>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该项目的施工期会对周围环境造成一定的影响，但随着工程的结束，建设单位采取的相应的环保措施，对周围地带的生态保护有一定的积极促进作用。本项目在建成后需对厂区内地面进行硬化和绿化。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pacing w:val="-8"/>
                <w:sz w:val="24"/>
                <w:szCs w:val="24"/>
                <w:highlight w:val="none"/>
              </w:rPr>
            </w:pPr>
            <w:r>
              <w:rPr>
                <w:rFonts w:hint="default" w:ascii="Times New Roman" w:hAnsi="Times New Roman" w:eastAsia="宋体" w:cs="Times New Roman"/>
                <w:color w:val="auto"/>
                <w:spacing w:val="-8"/>
                <w:sz w:val="24"/>
                <w:szCs w:val="24"/>
                <w:highlight w:val="none"/>
              </w:rPr>
              <w:t>环境风险</w:t>
            </w:r>
          </w:p>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pacing w:val="-8"/>
                <w:sz w:val="24"/>
                <w:szCs w:val="24"/>
                <w:highlight w:val="none"/>
              </w:rPr>
            </w:pPr>
            <w:r>
              <w:rPr>
                <w:rFonts w:hint="default" w:ascii="Times New Roman" w:hAnsi="Times New Roman" w:eastAsia="宋体" w:cs="Times New Roman"/>
                <w:color w:val="auto"/>
                <w:spacing w:val="-8"/>
                <w:sz w:val="24"/>
                <w:szCs w:val="24"/>
                <w:highlight w:val="none"/>
              </w:rPr>
              <w:t>防范措施</w:t>
            </w:r>
          </w:p>
        </w:tc>
        <w:tc>
          <w:tcPr>
            <w:tcW w:w="7863" w:type="dxa"/>
            <w:gridSpan w:val="4"/>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1、选用质地优良、运行稳定可靠的设备设施，同时对各种运行中的设备定期检查，精心维护，保证其正常运转，不发生设备故障及损坏。</w:t>
            </w:r>
          </w:p>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2、进行生产管理及职工安全培训，提高企业的生产安全管理及全体员工的安全技术、安全意识、紧急事故应变能力等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定期进行厂区设备安全检查，对重点设备重点关注，落实岗位责任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在相关区域设置明显安全警示牌。</w:t>
            </w:r>
          </w:p>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3、若发生安全事故，厂方要积极主动采取果断措施，如停止供料、关闭相应的阀门，严格控制电、火源，及时报警，特别要配合消防部门，提供相关物料的理化性质等，</w:t>
            </w:r>
            <w:r>
              <w:rPr>
                <w:rFonts w:hint="default" w:ascii="Times New Roman" w:hAnsi="Times New Roman" w:eastAsia="宋体" w:cs="Times New Roman"/>
                <w:color w:val="auto"/>
                <w:sz w:val="24"/>
                <w:szCs w:val="24"/>
                <w:highlight w:val="none"/>
                <w:lang w:eastAsia="zh-CN"/>
              </w:rPr>
              <w:t>做好</w:t>
            </w:r>
            <w:r>
              <w:rPr>
                <w:rFonts w:hint="default" w:ascii="Times New Roman" w:hAnsi="Times New Roman" w:eastAsia="宋体" w:cs="Times New Roman"/>
                <w:color w:val="auto"/>
                <w:sz w:val="24"/>
                <w:szCs w:val="24"/>
                <w:highlight w:val="none"/>
              </w:rPr>
              <w:t>协助工作。</w:t>
            </w:r>
          </w:p>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4、定期对废气/废水处理设施进行维护保养，当废气处理效率不能满足要求时，应立即停止废气产生单元的生产，并对废气处理设施进行检修。</w:t>
            </w:r>
          </w:p>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5、加强厂区职工的教育培训，实行上岗证制度，增强职工风险意识，提高事故自救能力，制定和强化各种安全管理、安全生产的规程，减少人为风险事故的发生。</w:t>
            </w:r>
          </w:p>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6、加强管理，防止因管理不善而导致火灾：每天对车间设备，进行检查，防止因为设备故障而引起火灾。</w:t>
            </w:r>
          </w:p>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7、厂区内设置应急器材，应满足突发环境事件处理需求。</w:t>
            </w:r>
          </w:p>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8、制定《突发环境事件应急预案》并在当地环保主管部门备案，定期开展应急演练。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21" w:type="dxa"/>
            <w:vAlign w:val="center"/>
          </w:tcPr>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pacing w:val="-8"/>
                <w:sz w:val="24"/>
                <w:szCs w:val="24"/>
                <w:highlight w:val="none"/>
              </w:rPr>
            </w:pPr>
            <w:r>
              <w:rPr>
                <w:rFonts w:hint="default" w:ascii="Times New Roman" w:hAnsi="Times New Roman" w:eastAsia="宋体" w:cs="Times New Roman"/>
                <w:color w:val="auto"/>
                <w:spacing w:val="-8"/>
                <w:sz w:val="24"/>
                <w:szCs w:val="24"/>
                <w:highlight w:val="none"/>
              </w:rPr>
              <w:t>其他环境</w:t>
            </w:r>
          </w:p>
          <w:p>
            <w:pPr>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spacing w:val="-8"/>
                <w:sz w:val="24"/>
                <w:szCs w:val="24"/>
                <w:highlight w:val="none"/>
              </w:rPr>
            </w:pPr>
            <w:r>
              <w:rPr>
                <w:rFonts w:hint="default" w:ascii="Times New Roman" w:hAnsi="Times New Roman" w:eastAsia="宋体" w:cs="Times New Roman"/>
                <w:color w:val="auto"/>
                <w:spacing w:val="-8"/>
                <w:sz w:val="24"/>
                <w:szCs w:val="24"/>
                <w:highlight w:val="none"/>
              </w:rPr>
              <w:t>管理要求</w:t>
            </w:r>
          </w:p>
        </w:tc>
        <w:tc>
          <w:tcPr>
            <w:tcW w:w="7863" w:type="dxa"/>
            <w:gridSpan w:val="4"/>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（1）严格按照设计及环评提出的污染治理措施进行落实和完善，在环保措施没有建成前，不得进行生产。在生产使用过程中加强管理，确保各项治污设施正常运转。</w:t>
            </w:r>
          </w:p>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（2）固体废物应尽量减少临时堆存时间，及时外运或综合利用。</w:t>
            </w:r>
          </w:p>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（3）加强项目生产安全管理，落实风险防范及事故应急措施。</w:t>
            </w:r>
          </w:p>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（4）按照《排污许可申请与核发技术规范总则》（HJ942-2018）按时申请排污许可证。</w:t>
            </w:r>
          </w:p>
          <w:p>
            <w:pPr>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（5）做好建设项目“三同时”验收工作。</w:t>
            </w:r>
          </w:p>
        </w:tc>
      </w:tr>
    </w:tbl>
    <w:p>
      <w:pPr>
        <w:pStyle w:val="3"/>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rPr>
        <w:sectPr>
          <w:pgSz w:w="11906" w:h="16838"/>
          <w:pgMar w:top="1440" w:right="1800" w:bottom="1440" w:left="1800" w:header="992" w:footer="992" w:gutter="0"/>
          <w:cols w:space="425" w:num="1"/>
          <w:docGrid w:type="lines" w:linePitch="312" w:charSpace="0"/>
        </w:sectPr>
      </w:pPr>
    </w:p>
    <w:p>
      <w:pPr>
        <w:pStyle w:val="3"/>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bookmarkStart w:id="19" w:name="_Toc163032413"/>
      <w:r>
        <w:rPr>
          <w:rFonts w:hint="default" w:ascii="Times New Roman" w:hAnsi="Times New Roman" w:eastAsia="宋体" w:cs="Times New Roman"/>
          <w:snapToGrid w:val="0"/>
          <w:color w:val="auto"/>
          <w:highlight w:val="none"/>
        </w:rPr>
        <w:t>六、结论</w:t>
      </w:r>
      <w:bookmarkEnd w:id="19"/>
    </w:p>
    <w:tbl>
      <w:tblPr>
        <w:tblStyle w:val="29"/>
        <w:tblW w:w="91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05" w:hRule="atLeast"/>
          <w:jc w:val="center"/>
        </w:trPr>
        <w:tc>
          <w:tcPr>
            <w:tcW w:w="8865" w:type="dxa"/>
            <w:vAlign w:val="top"/>
          </w:tcPr>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p>
          <w:p>
            <w:pPr>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项目建设符合国家和地方的相关政策，厂址选择符合当地大气、噪声功能区划的要求，在各项污染防治措施落实后，污染物均能达标排放。因此，该项目在采取相应的环保措施之后，从环保角度讲本项目建设是可行的。</w:t>
            </w:r>
          </w:p>
        </w:tc>
      </w:tr>
    </w:tbl>
    <w:p>
      <w:pPr>
        <w:pStyle w:val="3"/>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sectPr>
          <w:pgSz w:w="11906" w:h="16838"/>
          <w:pgMar w:top="1440" w:right="1800" w:bottom="1440" w:left="1800" w:header="992" w:footer="992" w:gutter="0"/>
          <w:cols w:space="425" w:num="1"/>
          <w:docGrid w:type="lines" w:linePitch="312" w:charSpace="0"/>
        </w:sectPr>
      </w:pPr>
    </w:p>
    <w:p>
      <w:pPr>
        <w:pageBreakBefore w:val="0"/>
        <w:kinsoku/>
        <w:wordWrap/>
        <w:overflowPunct/>
        <w:topLinePunct w:val="0"/>
        <w:autoSpaceDE/>
        <w:autoSpaceDN/>
        <w:bidi w:val="0"/>
        <w:ind w:left="0" w:leftChars="0" w:firstLine="0" w:firstLineChars="0"/>
        <w:jc w:val="center"/>
        <w:textAlignment w:val="auto"/>
        <w:outlineLvl w:val="0"/>
        <w:rPr>
          <w:rFonts w:hint="default" w:ascii="Times New Roman" w:hAnsi="Times New Roman" w:eastAsia="宋体" w:cs="Times New Roman"/>
          <w:b/>
          <w:bCs/>
          <w:color w:val="auto"/>
          <w:sz w:val="32"/>
          <w:szCs w:val="32"/>
          <w:highlight w:val="none"/>
        </w:rPr>
      </w:pPr>
      <w:bookmarkStart w:id="20" w:name="_Toc163032414"/>
      <w:r>
        <w:rPr>
          <w:rFonts w:hint="default" w:ascii="Times New Roman" w:hAnsi="Times New Roman" w:eastAsia="宋体" w:cs="Times New Roman"/>
          <w:b/>
          <w:bCs/>
          <w:snapToGrid w:val="0"/>
          <w:color w:val="auto"/>
          <w:sz w:val="32"/>
          <w:szCs w:val="32"/>
          <w:highlight w:val="none"/>
        </w:rPr>
        <w:t>附表</w:t>
      </w:r>
      <w:bookmarkEnd w:id="20"/>
      <w:bookmarkStart w:id="21" w:name="_Toc163032415"/>
      <w:r>
        <w:rPr>
          <w:rFonts w:hint="default" w:ascii="Times New Roman" w:hAnsi="Times New Roman" w:eastAsia="宋体" w:cs="Times New Roman"/>
          <w:b/>
          <w:bCs/>
          <w:color w:val="auto"/>
          <w:sz w:val="32"/>
          <w:szCs w:val="32"/>
          <w:highlight w:val="none"/>
        </w:rPr>
        <w:t>建设项目污染物排放量汇总表</w:t>
      </w:r>
      <w:bookmarkEnd w:id="21"/>
    </w:p>
    <w:tbl>
      <w:tblPr>
        <w:tblStyle w:val="30"/>
        <w:tblW w:w="141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3"/>
        <w:gridCol w:w="1556"/>
        <w:gridCol w:w="1515"/>
        <w:gridCol w:w="1515"/>
        <w:gridCol w:w="1515"/>
        <w:gridCol w:w="1596"/>
        <w:gridCol w:w="1515"/>
        <w:gridCol w:w="1716"/>
        <w:gridCol w:w="1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Align w:val="center"/>
            <mc:AlternateContent>
              <mc:Choice Requires="wpsCustomData">
                <wpsCustomData:diagonals>
                  <wpsCustomData:diagonal from="30000" to="10000">
                    <wpsCustomData:border w:val="single" w:color="auto" w:sz="4" w:space="0"/>
                  </wpsCustomData:diagonal>
                </wpsCustomData:diagonals>
              </mc:Choice>
            </mc:AlternateContent>
          </w:tcPr>
          <w:p>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vertAlign w:val="baseline"/>
              </w:rPr>
            </w:pPr>
          </w:p>
          <w:p>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vertAlign w:val="baseline"/>
              </w:rPr>
            </w:pPr>
          </w:p>
          <w:p>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分类</w:t>
            </w:r>
          </w:p>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项目</w:t>
            </w:r>
          </w:p>
        </w:tc>
        <w:tc>
          <w:tcPr>
            <w:tcW w:w="155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污染物名称</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现有工程排放量（固体废物产生量）①</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vertAlign w:val="baseline"/>
              </w:rPr>
            </w:pPr>
            <w:r>
              <w:rPr>
                <w:rFonts w:hint="default" w:ascii="Times New Roman" w:hAnsi="Times New Roman" w:eastAsia="宋体" w:cs="Times New Roman"/>
                <w:b/>
                <w:bCs/>
                <w:color w:val="auto"/>
                <w:sz w:val="24"/>
                <w:szCs w:val="24"/>
                <w:highlight w:val="none"/>
                <w:vertAlign w:val="baseline"/>
                <w:lang w:eastAsia="zh-CN"/>
              </w:rPr>
              <w:t>现有工程许可排放量</w:t>
            </w:r>
            <w:r>
              <w:rPr>
                <w:rFonts w:hint="default" w:ascii="Times New Roman" w:hAnsi="Times New Roman" w:eastAsia="宋体" w:cs="Times New Roman"/>
                <w:b/>
                <w:bCs/>
                <w:color w:val="auto"/>
                <w:sz w:val="24"/>
                <w:szCs w:val="24"/>
                <w:highlight w:val="none"/>
                <w:vertAlign w:val="baseline"/>
                <w:lang w:eastAsia="zh-CN"/>
              </w:rPr>
              <w:fldChar w:fldCharType="begin"/>
            </w:r>
            <w:r>
              <w:rPr>
                <w:rFonts w:hint="default" w:ascii="Times New Roman" w:hAnsi="Times New Roman" w:eastAsia="宋体" w:cs="Times New Roman"/>
                <w:b/>
                <w:bCs/>
                <w:color w:val="auto"/>
                <w:sz w:val="24"/>
                <w:szCs w:val="24"/>
                <w:highlight w:val="none"/>
                <w:vertAlign w:val="baseline"/>
                <w:lang w:eastAsia="zh-CN"/>
              </w:rPr>
              <w:instrText xml:space="preserve"> = 2 \* GB3 \* MERGEFORMAT </w:instrText>
            </w:r>
            <w:r>
              <w:rPr>
                <w:rFonts w:hint="default" w:ascii="Times New Roman" w:hAnsi="Times New Roman" w:eastAsia="宋体" w:cs="Times New Roman"/>
                <w:b/>
                <w:bCs/>
                <w:color w:val="auto"/>
                <w:sz w:val="24"/>
                <w:szCs w:val="24"/>
                <w:highlight w:val="none"/>
                <w:vertAlign w:val="baseline"/>
                <w:lang w:eastAsia="zh-CN"/>
              </w:rPr>
              <w:fldChar w:fldCharType="separate"/>
            </w:r>
            <w:r>
              <w:rPr>
                <w:rFonts w:hint="default" w:ascii="Times New Roman" w:hAnsi="Times New Roman" w:eastAsia="宋体" w:cs="Times New Roman"/>
                <w:b/>
                <w:bCs/>
                <w:color w:val="auto"/>
                <w:sz w:val="24"/>
                <w:szCs w:val="24"/>
                <w:highlight w:val="none"/>
              </w:rPr>
              <w:t>②</w:t>
            </w:r>
            <w:r>
              <w:rPr>
                <w:rFonts w:hint="default" w:ascii="Times New Roman" w:hAnsi="Times New Roman" w:eastAsia="宋体" w:cs="Times New Roman"/>
                <w:b/>
                <w:bCs/>
                <w:color w:val="auto"/>
                <w:sz w:val="24"/>
                <w:szCs w:val="24"/>
                <w:highlight w:val="none"/>
                <w:vertAlign w:val="baseline"/>
                <w:lang w:eastAsia="zh-CN"/>
              </w:rPr>
              <w:fldChar w:fldCharType="end"/>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在建工程排放量（固体废物产生量）</w:t>
            </w:r>
            <w:r>
              <w:rPr>
                <w:rFonts w:hint="default" w:ascii="Times New Roman" w:hAnsi="Times New Roman" w:eastAsia="宋体" w:cs="Times New Roman"/>
                <w:b/>
                <w:bCs/>
                <w:color w:val="auto"/>
                <w:sz w:val="24"/>
                <w:szCs w:val="24"/>
                <w:highlight w:val="none"/>
                <w:vertAlign w:val="baseline"/>
                <w:lang w:eastAsia="zh-CN"/>
              </w:rPr>
              <w:fldChar w:fldCharType="begin"/>
            </w:r>
            <w:r>
              <w:rPr>
                <w:rFonts w:hint="default" w:ascii="Times New Roman" w:hAnsi="Times New Roman" w:eastAsia="宋体" w:cs="Times New Roman"/>
                <w:b/>
                <w:bCs/>
                <w:color w:val="auto"/>
                <w:sz w:val="24"/>
                <w:szCs w:val="24"/>
                <w:highlight w:val="none"/>
                <w:vertAlign w:val="baseline"/>
                <w:lang w:eastAsia="zh-CN"/>
              </w:rPr>
              <w:instrText xml:space="preserve"> = 3 \* GB3 \* MERGEFORMAT </w:instrText>
            </w:r>
            <w:r>
              <w:rPr>
                <w:rFonts w:hint="default" w:ascii="Times New Roman" w:hAnsi="Times New Roman" w:eastAsia="宋体" w:cs="Times New Roman"/>
                <w:b/>
                <w:bCs/>
                <w:color w:val="auto"/>
                <w:sz w:val="24"/>
                <w:szCs w:val="24"/>
                <w:highlight w:val="none"/>
                <w:vertAlign w:val="baseline"/>
                <w:lang w:eastAsia="zh-CN"/>
              </w:rPr>
              <w:fldChar w:fldCharType="separate"/>
            </w:r>
            <w:r>
              <w:rPr>
                <w:rFonts w:hint="default" w:ascii="Times New Roman" w:hAnsi="Times New Roman" w:eastAsia="宋体" w:cs="Times New Roman"/>
                <w:b/>
                <w:bCs/>
                <w:color w:val="auto"/>
                <w:sz w:val="24"/>
                <w:szCs w:val="24"/>
                <w:highlight w:val="none"/>
              </w:rPr>
              <w:t>③</w:t>
            </w:r>
            <w:r>
              <w:rPr>
                <w:rFonts w:hint="default" w:ascii="Times New Roman" w:hAnsi="Times New Roman" w:eastAsia="宋体" w:cs="Times New Roman"/>
                <w:b/>
                <w:bCs/>
                <w:color w:val="auto"/>
                <w:sz w:val="24"/>
                <w:szCs w:val="24"/>
                <w:highlight w:val="none"/>
                <w:vertAlign w:val="baseline"/>
                <w:lang w:eastAsia="zh-CN"/>
              </w:rPr>
              <w:fldChar w:fldCharType="end"/>
            </w:r>
          </w:p>
        </w:tc>
        <w:tc>
          <w:tcPr>
            <w:tcW w:w="159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本项目排放量（固体废物产生量）</w:t>
            </w:r>
            <w:r>
              <w:rPr>
                <w:rFonts w:hint="default" w:ascii="Times New Roman" w:hAnsi="Times New Roman" w:eastAsia="宋体" w:cs="Times New Roman"/>
                <w:b/>
                <w:bCs/>
                <w:color w:val="auto"/>
                <w:sz w:val="24"/>
                <w:szCs w:val="24"/>
                <w:highlight w:val="none"/>
                <w:vertAlign w:val="baseline"/>
                <w:lang w:eastAsia="zh-CN"/>
              </w:rPr>
              <w:fldChar w:fldCharType="begin"/>
            </w:r>
            <w:r>
              <w:rPr>
                <w:rFonts w:hint="default" w:ascii="Times New Roman" w:hAnsi="Times New Roman" w:eastAsia="宋体" w:cs="Times New Roman"/>
                <w:b/>
                <w:bCs/>
                <w:color w:val="auto"/>
                <w:sz w:val="24"/>
                <w:szCs w:val="24"/>
                <w:highlight w:val="none"/>
                <w:vertAlign w:val="baseline"/>
                <w:lang w:eastAsia="zh-CN"/>
              </w:rPr>
              <w:instrText xml:space="preserve"> = 4 \* GB3 \* MERGEFORMAT </w:instrText>
            </w:r>
            <w:r>
              <w:rPr>
                <w:rFonts w:hint="default" w:ascii="Times New Roman" w:hAnsi="Times New Roman" w:eastAsia="宋体" w:cs="Times New Roman"/>
                <w:b/>
                <w:bCs/>
                <w:color w:val="auto"/>
                <w:sz w:val="24"/>
                <w:szCs w:val="24"/>
                <w:highlight w:val="none"/>
                <w:vertAlign w:val="baseline"/>
                <w:lang w:eastAsia="zh-CN"/>
              </w:rPr>
              <w:fldChar w:fldCharType="separate"/>
            </w:r>
            <w:r>
              <w:rPr>
                <w:rFonts w:hint="default" w:ascii="Times New Roman" w:hAnsi="Times New Roman" w:eastAsia="宋体" w:cs="Times New Roman"/>
                <w:b/>
                <w:bCs/>
                <w:color w:val="auto"/>
                <w:sz w:val="24"/>
                <w:szCs w:val="24"/>
                <w:highlight w:val="none"/>
              </w:rPr>
              <w:t>④</w:t>
            </w:r>
            <w:r>
              <w:rPr>
                <w:rFonts w:hint="default" w:ascii="Times New Roman" w:hAnsi="Times New Roman" w:eastAsia="宋体" w:cs="Times New Roman"/>
                <w:b/>
                <w:bCs/>
                <w:color w:val="auto"/>
                <w:sz w:val="24"/>
                <w:szCs w:val="24"/>
                <w:highlight w:val="none"/>
                <w:vertAlign w:val="baseline"/>
                <w:lang w:eastAsia="zh-CN"/>
              </w:rPr>
              <w:fldChar w:fldCharType="end"/>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eastAsia="zh-CN"/>
              </w:rPr>
              <w:t>以新带老削减量（新建项目不填）</w:t>
            </w:r>
            <w:r>
              <w:rPr>
                <w:rFonts w:hint="default" w:ascii="Times New Roman" w:hAnsi="Times New Roman" w:eastAsia="宋体" w:cs="Times New Roman"/>
                <w:b/>
                <w:bCs/>
                <w:color w:val="auto"/>
                <w:sz w:val="24"/>
                <w:szCs w:val="24"/>
                <w:highlight w:val="none"/>
                <w:vertAlign w:val="baseline"/>
                <w:lang w:eastAsia="zh-CN"/>
              </w:rPr>
              <w:fldChar w:fldCharType="begin"/>
            </w:r>
            <w:r>
              <w:rPr>
                <w:rFonts w:hint="default" w:ascii="Times New Roman" w:hAnsi="Times New Roman" w:eastAsia="宋体" w:cs="Times New Roman"/>
                <w:b/>
                <w:bCs/>
                <w:color w:val="auto"/>
                <w:sz w:val="24"/>
                <w:szCs w:val="24"/>
                <w:highlight w:val="none"/>
                <w:vertAlign w:val="baseline"/>
                <w:lang w:eastAsia="zh-CN"/>
              </w:rPr>
              <w:instrText xml:space="preserve"> = 5 \* GB3 \* MERGEFORMAT </w:instrText>
            </w:r>
            <w:r>
              <w:rPr>
                <w:rFonts w:hint="default" w:ascii="Times New Roman" w:hAnsi="Times New Roman" w:eastAsia="宋体" w:cs="Times New Roman"/>
                <w:b/>
                <w:bCs/>
                <w:color w:val="auto"/>
                <w:sz w:val="24"/>
                <w:szCs w:val="24"/>
                <w:highlight w:val="none"/>
                <w:vertAlign w:val="baseline"/>
                <w:lang w:eastAsia="zh-CN"/>
              </w:rPr>
              <w:fldChar w:fldCharType="separate"/>
            </w:r>
            <w:r>
              <w:rPr>
                <w:rFonts w:hint="default" w:ascii="Times New Roman" w:hAnsi="Times New Roman" w:eastAsia="宋体" w:cs="Times New Roman"/>
                <w:b/>
                <w:bCs/>
                <w:color w:val="auto"/>
                <w:sz w:val="24"/>
                <w:szCs w:val="24"/>
                <w:highlight w:val="none"/>
              </w:rPr>
              <w:t>⑤</w:t>
            </w:r>
            <w:r>
              <w:rPr>
                <w:rFonts w:hint="default" w:ascii="Times New Roman" w:hAnsi="Times New Roman" w:eastAsia="宋体" w:cs="Times New Roman"/>
                <w:b/>
                <w:bCs/>
                <w:color w:val="auto"/>
                <w:sz w:val="24"/>
                <w:szCs w:val="24"/>
                <w:highlight w:val="none"/>
                <w:vertAlign w:val="baseline"/>
                <w:lang w:eastAsia="zh-CN"/>
              </w:rPr>
              <w:fldChar w:fldCharType="end"/>
            </w:r>
          </w:p>
        </w:tc>
        <w:tc>
          <w:tcPr>
            <w:tcW w:w="171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本项目建成后全厂排放量（固体废物产生量）</w:t>
            </w:r>
            <w:r>
              <w:rPr>
                <w:rFonts w:hint="default" w:ascii="Times New Roman" w:hAnsi="Times New Roman" w:eastAsia="宋体" w:cs="Times New Roman"/>
                <w:b/>
                <w:bCs/>
                <w:color w:val="auto"/>
                <w:sz w:val="24"/>
                <w:szCs w:val="24"/>
                <w:highlight w:val="none"/>
                <w:vertAlign w:val="baseline"/>
                <w:lang w:eastAsia="zh-CN"/>
              </w:rPr>
              <w:fldChar w:fldCharType="begin"/>
            </w:r>
            <w:r>
              <w:rPr>
                <w:rFonts w:hint="default" w:ascii="Times New Roman" w:hAnsi="Times New Roman" w:eastAsia="宋体" w:cs="Times New Roman"/>
                <w:b/>
                <w:bCs/>
                <w:color w:val="auto"/>
                <w:sz w:val="24"/>
                <w:szCs w:val="24"/>
                <w:highlight w:val="none"/>
                <w:vertAlign w:val="baseline"/>
                <w:lang w:eastAsia="zh-CN"/>
              </w:rPr>
              <w:instrText xml:space="preserve"> = 6 \* GB3 \* MERGEFORMAT </w:instrText>
            </w:r>
            <w:r>
              <w:rPr>
                <w:rFonts w:hint="default" w:ascii="Times New Roman" w:hAnsi="Times New Roman" w:eastAsia="宋体" w:cs="Times New Roman"/>
                <w:b/>
                <w:bCs/>
                <w:color w:val="auto"/>
                <w:sz w:val="24"/>
                <w:szCs w:val="24"/>
                <w:highlight w:val="none"/>
                <w:vertAlign w:val="baseline"/>
                <w:lang w:eastAsia="zh-CN"/>
              </w:rPr>
              <w:fldChar w:fldCharType="separate"/>
            </w:r>
            <w:r>
              <w:rPr>
                <w:rFonts w:hint="default" w:ascii="Times New Roman" w:hAnsi="Times New Roman" w:eastAsia="宋体" w:cs="Times New Roman"/>
                <w:b/>
                <w:bCs/>
                <w:color w:val="auto"/>
                <w:sz w:val="24"/>
                <w:szCs w:val="24"/>
                <w:highlight w:val="none"/>
              </w:rPr>
              <w:t>⑥</w:t>
            </w:r>
            <w:r>
              <w:rPr>
                <w:rFonts w:hint="default" w:ascii="Times New Roman" w:hAnsi="Times New Roman" w:eastAsia="宋体" w:cs="Times New Roman"/>
                <w:b/>
                <w:bCs/>
                <w:color w:val="auto"/>
                <w:sz w:val="24"/>
                <w:szCs w:val="24"/>
                <w:highlight w:val="none"/>
                <w:vertAlign w:val="baseline"/>
                <w:lang w:eastAsia="zh-CN"/>
              </w:rPr>
              <w:fldChar w:fldCharType="end"/>
            </w:r>
          </w:p>
        </w:tc>
        <w:tc>
          <w:tcPr>
            <w:tcW w:w="1732"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变化量</w:t>
            </w:r>
            <w:r>
              <w:rPr>
                <w:rFonts w:hint="default" w:ascii="Times New Roman" w:hAnsi="Times New Roman" w:eastAsia="宋体" w:cs="Times New Roman"/>
                <w:b/>
                <w:bCs/>
                <w:color w:val="auto"/>
                <w:sz w:val="24"/>
                <w:szCs w:val="24"/>
                <w:highlight w:val="none"/>
                <w:vertAlign w:val="baseline"/>
                <w:lang w:eastAsia="zh-CN"/>
              </w:rPr>
              <w:fldChar w:fldCharType="begin"/>
            </w:r>
            <w:r>
              <w:rPr>
                <w:rFonts w:hint="default" w:ascii="Times New Roman" w:hAnsi="Times New Roman" w:eastAsia="宋体" w:cs="Times New Roman"/>
                <w:b/>
                <w:bCs/>
                <w:color w:val="auto"/>
                <w:sz w:val="24"/>
                <w:szCs w:val="24"/>
                <w:highlight w:val="none"/>
                <w:vertAlign w:val="baseline"/>
                <w:lang w:eastAsia="zh-CN"/>
              </w:rPr>
              <w:instrText xml:space="preserve"> = 7 \* GB3 \* MERGEFORMAT </w:instrText>
            </w:r>
            <w:r>
              <w:rPr>
                <w:rFonts w:hint="default" w:ascii="Times New Roman" w:hAnsi="Times New Roman" w:eastAsia="宋体" w:cs="Times New Roman"/>
                <w:b/>
                <w:bCs/>
                <w:color w:val="auto"/>
                <w:sz w:val="24"/>
                <w:szCs w:val="24"/>
                <w:highlight w:val="none"/>
                <w:vertAlign w:val="baseline"/>
                <w:lang w:eastAsia="zh-CN"/>
              </w:rPr>
              <w:fldChar w:fldCharType="separate"/>
            </w:r>
            <w:r>
              <w:rPr>
                <w:rFonts w:hint="default" w:ascii="Times New Roman" w:hAnsi="Times New Roman" w:eastAsia="宋体" w:cs="Times New Roman"/>
                <w:b/>
                <w:bCs/>
                <w:color w:val="auto"/>
                <w:sz w:val="24"/>
                <w:szCs w:val="24"/>
                <w:highlight w:val="none"/>
              </w:rPr>
              <w:t>⑦</w:t>
            </w:r>
            <w:r>
              <w:rPr>
                <w:rFonts w:hint="default" w:ascii="Times New Roman" w:hAnsi="Times New Roman" w:eastAsia="宋体" w:cs="Times New Roman"/>
                <w:b/>
                <w:bCs/>
                <w:color w:val="auto"/>
                <w:sz w:val="24"/>
                <w:szCs w:val="24"/>
                <w:highlight w:val="none"/>
                <w:vertAlign w:val="baseline"/>
                <w:lang w:eastAsia="zh-CN"/>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Merge w:val="restart"/>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color w:val="auto"/>
                <w:sz w:val="24"/>
                <w:szCs w:val="24"/>
                <w:highlight w:val="none"/>
                <w:vertAlign w:val="baseline"/>
                <w:lang w:eastAsia="zh-CN"/>
              </w:rPr>
              <w:t>废气</w:t>
            </w:r>
          </w:p>
        </w:tc>
        <w:tc>
          <w:tcPr>
            <w:tcW w:w="1556" w:type="dxa"/>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eastAsia="zh-CN"/>
              </w:rPr>
              <w:t>颗粒物</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1596" w:type="dxa"/>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kern w:val="2"/>
                <w:position w:val="0"/>
                <w:sz w:val="24"/>
                <w:szCs w:val="24"/>
                <w:highlight w:val="none"/>
                <w:shd w:val="clear" w:color="auto" w:fill="auto"/>
                <w:lang w:val="en-US" w:eastAsia="zh-CN" w:bidi="ar-SA"/>
              </w:rPr>
            </w:pPr>
            <w:r>
              <w:rPr>
                <w:rFonts w:hint="default" w:ascii="Times New Roman" w:hAnsi="Times New Roman" w:eastAsia="宋体" w:cs="Times New Roman"/>
                <w:color w:val="auto"/>
                <w:sz w:val="24"/>
                <w:szCs w:val="24"/>
                <w:highlight w:val="none"/>
                <w:lang w:val="en-US" w:eastAsia="zh-CN"/>
              </w:rPr>
              <w:t>7.433t</w:t>
            </w:r>
            <w:r>
              <w:rPr>
                <w:rFonts w:hint="default" w:ascii="Times New Roman" w:hAnsi="Times New Roman" w:eastAsia="宋体" w:cs="Times New Roman"/>
                <w:color w:val="auto"/>
                <w:sz w:val="24"/>
                <w:szCs w:val="24"/>
                <w:highlight w:val="none"/>
              </w:rPr>
              <w:t>/a</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1716" w:type="dxa"/>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kern w:val="2"/>
                <w:position w:val="0"/>
                <w:sz w:val="24"/>
                <w:szCs w:val="24"/>
                <w:highlight w:val="none"/>
                <w:shd w:val="clear" w:color="auto" w:fill="auto"/>
                <w:lang w:val="en-US" w:eastAsia="zh-CN" w:bidi="ar-SA"/>
              </w:rPr>
            </w:pPr>
            <w:r>
              <w:rPr>
                <w:rFonts w:hint="default" w:ascii="Times New Roman" w:hAnsi="Times New Roman" w:eastAsia="宋体" w:cs="Times New Roman"/>
                <w:color w:val="auto"/>
                <w:sz w:val="24"/>
                <w:szCs w:val="24"/>
                <w:highlight w:val="none"/>
                <w:lang w:val="en-US" w:eastAsia="zh-CN"/>
              </w:rPr>
              <w:t>7.433t</w:t>
            </w:r>
            <w:r>
              <w:rPr>
                <w:rFonts w:hint="default" w:ascii="Times New Roman" w:hAnsi="Times New Roman" w:eastAsia="宋体" w:cs="Times New Roman"/>
                <w:color w:val="auto"/>
                <w:sz w:val="24"/>
                <w:szCs w:val="24"/>
                <w:highlight w:val="none"/>
              </w:rPr>
              <w:t>/a</w:t>
            </w:r>
          </w:p>
        </w:tc>
        <w:tc>
          <w:tcPr>
            <w:tcW w:w="1732"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Merge w:val="continue"/>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eastAsia="zh-CN"/>
              </w:rPr>
            </w:pPr>
          </w:p>
        </w:tc>
        <w:tc>
          <w:tcPr>
            <w:tcW w:w="1556" w:type="dxa"/>
            <w:vAlign w:val="center"/>
          </w:tcPr>
          <w:p>
            <w:pPr>
              <w:keepNext w:val="0"/>
              <w:keepLines w:val="0"/>
              <w:pageBreakBefore w:val="0"/>
              <w:widowControl/>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bidi="ar-SA"/>
              </w:rPr>
            </w:pPr>
            <w:r>
              <w:rPr>
                <w:rFonts w:hint="default" w:ascii="Times New Roman" w:hAnsi="Times New Roman" w:eastAsia="宋体" w:cs="Times New Roman"/>
                <w:b w:val="0"/>
                <w:bCs w:val="0"/>
                <w:color w:val="auto"/>
                <w:kern w:val="0"/>
                <w:sz w:val="24"/>
                <w:szCs w:val="24"/>
                <w:highlight w:val="none"/>
                <w:lang w:eastAsia="zh-CN"/>
              </w:rPr>
              <w:t>二氧化硫</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96" w:type="dxa"/>
            <w:vAlign w:val="center"/>
          </w:tcPr>
          <w:p>
            <w:pPr>
              <w:keepNext w:val="0"/>
              <w:keepLines w:val="0"/>
              <w:pageBreakBefore w:val="0"/>
              <w:widowControl/>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bidi="ar-SA"/>
              </w:rPr>
            </w:pPr>
            <w:r>
              <w:rPr>
                <w:rFonts w:hint="default" w:ascii="Times New Roman" w:hAnsi="Times New Roman" w:eastAsia="宋体" w:cs="Times New Roman"/>
                <w:b w:val="0"/>
                <w:bCs w:val="0"/>
                <w:color w:val="auto"/>
                <w:sz w:val="24"/>
                <w:szCs w:val="24"/>
                <w:highlight w:val="none"/>
                <w:lang w:val="en-US" w:eastAsia="zh-CN"/>
              </w:rPr>
              <w:t>0.388</w:t>
            </w:r>
            <w:r>
              <w:rPr>
                <w:rFonts w:hint="default" w:ascii="Times New Roman" w:hAnsi="Times New Roman" w:eastAsia="宋体" w:cs="Times New Roman"/>
                <w:color w:val="auto"/>
                <w:sz w:val="24"/>
                <w:szCs w:val="24"/>
                <w:highlight w:val="none"/>
                <w:lang w:val="en-US" w:eastAsia="zh-CN"/>
              </w:rPr>
              <w:t>t</w:t>
            </w:r>
            <w:r>
              <w:rPr>
                <w:rFonts w:hint="default" w:ascii="Times New Roman" w:hAnsi="Times New Roman" w:eastAsia="宋体" w:cs="Times New Roman"/>
                <w:color w:val="auto"/>
                <w:sz w:val="24"/>
                <w:szCs w:val="24"/>
                <w:highlight w:val="none"/>
              </w:rPr>
              <w:t>/a</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716" w:type="dxa"/>
            <w:vAlign w:val="center"/>
          </w:tcPr>
          <w:p>
            <w:pPr>
              <w:keepNext w:val="0"/>
              <w:keepLines w:val="0"/>
              <w:pageBreakBefore w:val="0"/>
              <w:widowControl/>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bidi="ar-SA"/>
              </w:rPr>
            </w:pPr>
            <w:r>
              <w:rPr>
                <w:rFonts w:hint="default" w:ascii="Times New Roman" w:hAnsi="Times New Roman" w:eastAsia="宋体" w:cs="Times New Roman"/>
                <w:b w:val="0"/>
                <w:bCs w:val="0"/>
                <w:color w:val="auto"/>
                <w:sz w:val="24"/>
                <w:szCs w:val="24"/>
                <w:highlight w:val="none"/>
                <w:lang w:val="en-US" w:eastAsia="zh-CN"/>
              </w:rPr>
              <w:t>0.388</w:t>
            </w:r>
            <w:r>
              <w:rPr>
                <w:rFonts w:hint="default" w:ascii="Times New Roman" w:hAnsi="Times New Roman" w:eastAsia="宋体" w:cs="Times New Roman"/>
                <w:color w:val="auto"/>
                <w:sz w:val="24"/>
                <w:szCs w:val="24"/>
                <w:highlight w:val="none"/>
                <w:lang w:val="en-US" w:eastAsia="zh-CN"/>
              </w:rPr>
              <w:t>t</w:t>
            </w:r>
            <w:r>
              <w:rPr>
                <w:rFonts w:hint="default" w:ascii="Times New Roman" w:hAnsi="Times New Roman" w:eastAsia="宋体" w:cs="Times New Roman"/>
                <w:color w:val="auto"/>
                <w:sz w:val="24"/>
                <w:szCs w:val="24"/>
                <w:highlight w:val="none"/>
              </w:rPr>
              <w:t>/a</w:t>
            </w:r>
          </w:p>
        </w:tc>
        <w:tc>
          <w:tcPr>
            <w:tcW w:w="1732"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Merge w:val="continue"/>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eastAsia="zh-CN"/>
              </w:rPr>
            </w:pPr>
          </w:p>
        </w:tc>
        <w:tc>
          <w:tcPr>
            <w:tcW w:w="1556" w:type="dxa"/>
            <w:vAlign w:val="center"/>
          </w:tcPr>
          <w:p>
            <w:pPr>
              <w:keepNext w:val="0"/>
              <w:keepLines w:val="0"/>
              <w:pageBreakBefore w:val="0"/>
              <w:widowControl/>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bidi="ar-SA"/>
              </w:rPr>
            </w:pPr>
            <w:r>
              <w:rPr>
                <w:rFonts w:hint="default" w:ascii="Times New Roman" w:hAnsi="Times New Roman" w:eastAsia="宋体" w:cs="Times New Roman"/>
                <w:b w:val="0"/>
                <w:bCs w:val="0"/>
                <w:color w:val="auto"/>
                <w:kern w:val="0"/>
                <w:sz w:val="24"/>
                <w:szCs w:val="24"/>
                <w:highlight w:val="none"/>
                <w:lang w:eastAsia="zh-CN"/>
              </w:rPr>
              <w:t>氮氧化物</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96" w:type="dxa"/>
            <w:vAlign w:val="center"/>
          </w:tcPr>
          <w:p>
            <w:pPr>
              <w:keepNext w:val="0"/>
              <w:keepLines w:val="0"/>
              <w:pageBreakBefore w:val="0"/>
              <w:widowControl/>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bidi="ar-SA"/>
              </w:rPr>
            </w:pPr>
            <w:r>
              <w:rPr>
                <w:rFonts w:hint="default" w:ascii="Times New Roman" w:hAnsi="Times New Roman" w:eastAsia="宋体" w:cs="Times New Roman"/>
                <w:b w:val="0"/>
                <w:bCs w:val="0"/>
                <w:color w:val="auto"/>
                <w:sz w:val="24"/>
                <w:szCs w:val="24"/>
                <w:highlight w:val="none"/>
                <w:lang w:val="en-US" w:eastAsia="zh-CN"/>
              </w:rPr>
              <w:t>1.541</w:t>
            </w:r>
            <w:r>
              <w:rPr>
                <w:rFonts w:hint="default" w:ascii="Times New Roman" w:hAnsi="Times New Roman" w:eastAsia="宋体" w:cs="Times New Roman"/>
                <w:color w:val="auto"/>
                <w:sz w:val="24"/>
                <w:szCs w:val="24"/>
                <w:highlight w:val="none"/>
                <w:lang w:val="en-US" w:eastAsia="zh-CN"/>
              </w:rPr>
              <w:t>t</w:t>
            </w:r>
            <w:r>
              <w:rPr>
                <w:rFonts w:hint="default" w:ascii="Times New Roman" w:hAnsi="Times New Roman" w:eastAsia="宋体" w:cs="Times New Roman"/>
                <w:color w:val="auto"/>
                <w:sz w:val="24"/>
                <w:szCs w:val="24"/>
                <w:highlight w:val="none"/>
              </w:rPr>
              <w:t>/a</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716" w:type="dxa"/>
            <w:vAlign w:val="center"/>
          </w:tcPr>
          <w:p>
            <w:pPr>
              <w:keepNext w:val="0"/>
              <w:keepLines w:val="0"/>
              <w:pageBreakBefore w:val="0"/>
              <w:widowControl/>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highlight w:val="none"/>
                <w:lang w:val="en-US" w:eastAsia="zh-CN" w:bidi="ar-SA"/>
              </w:rPr>
            </w:pPr>
            <w:r>
              <w:rPr>
                <w:rFonts w:hint="default" w:ascii="Times New Roman" w:hAnsi="Times New Roman" w:eastAsia="宋体" w:cs="Times New Roman"/>
                <w:b w:val="0"/>
                <w:bCs w:val="0"/>
                <w:color w:val="auto"/>
                <w:sz w:val="24"/>
                <w:szCs w:val="24"/>
                <w:highlight w:val="none"/>
                <w:lang w:val="en-US" w:eastAsia="zh-CN"/>
              </w:rPr>
              <w:t>1.541</w:t>
            </w:r>
            <w:r>
              <w:rPr>
                <w:rFonts w:hint="default" w:ascii="Times New Roman" w:hAnsi="Times New Roman" w:eastAsia="宋体" w:cs="Times New Roman"/>
                <w:color w:val="auto"/>
                <w:sz w:val="24"/>
                <w:szCs w:val="24"/>
                <w:highlight w:val="none"/>
                <w:lang w:val="en-US" w:eastAsia="zh-CN"/>
              </w:rPr>
              <w:t>t</w:t>
            </w:r>
            <w:r>
              <w:rPr>
                <w:rFonts w:hint="default" w:ascii="Times New Roman" w:hAnsi="Times New Roman" w:eastAsia="宋体" w:cs="Times New Roman"/>
                <w:color w:val="auto"/>
                <w:sz w:val="24"/>
                <w:szCs w:val="24"/>
                <w:highlight w:val="none"/>
              </w:rPr>
              <w:t>/a</w:t>
            </w:r>
          </w:p>
        </w:tc>
        <w:tc>
          <w:tcPr>
            <w:tcW w:w="1732"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Merge w:val="restart"/>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color w:val="auto"/>
                <w:sz w:val="24"/>
                <w:szCs w:val="24"/>
                <w:highlight w:val="none"/>
                <w:vertAlign w:val="baseline"/>
                <w:lang w:eastAsia="zh-CN"/>
              </w:rPr>
              <w:t>废水</w:t>
            </w:r>
          </w:p>
        </w:tc>
        <w:tc>
          <w:tcPr>
            <w:tcW w:w="155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rPr>
              <w:t>COD</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159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171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732"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Merge w:val="continue"/>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eastAsia="zh-CN"/>
              </w:rPr>
            </w:pPr>
          </w:p>
        </w:tc>
        <w:tc>
          <w:tcPr>
            <w:tcW w:w="155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rPr>
              <w:t>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9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71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732"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Merge w:val="restart"/>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color w:val="auto"/>
                <w:sz w:val="24"/>
                <w:szCs w:val="24"/>
                <w:highlight w:val="none"/>
                <w:vertAlign w:val="baseline"/>
                <w:lang w:eastAsia="zh-CN"/>
              </w:rPr>
              <w:t>一般工业固体废物</w:t>
            </w:r>
          </w:p>
        </w:tc>
        <w:tc>
          <w:tcPr>
            <w:tcW w:w="1556" w:type="dxa"/>
            <w:vAlign w:val="center"/>
          </w:tcPr>
          <w:p>
            <w:pPr>
              <w:keepNext w:val="0"/>
              <w:keepLines w:val="0"/>
              <w:pageBreakBefore w:val="0"/>
              <w:widowControl/>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rPr>
              <w:t>废包装材料</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4"/>
                <w:szCs w:val="24"/>
                <w:highlight w:val="none"/>
                <w:u w:val="none"/>
                <w:lang w:val="en-US" w:eastAsia="zh-CN" w:bidi="ar"/>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59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0.3t</w:t>
            </w:r>
            <w:r>
              <w:rPr>
                <w:rFonts w:hint="default" w:ascii="Times New Roman" w:hAnsi="Times New Roman" w:eastAsia="宋体" w:cs="Times New Roman"/>
                <w:color w:val="auto"/>
                <w:sz w:val="24"/>
                <w:szCs w:val="24"/>
                <w:highlight w:val="none"/>
              </w:rPr>
              <w:t>/a</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71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0.3t</w:t>
            </w:r>
            <w:r>
              <w:rPr>
                <w:rFonts w:hint="default" w:ascii="Times New Roman" w:hAnsi="Times New Roman" w:eastAsia="宋体" w:cs="Times New Roman"/>
                <w:color w:val="auto"/>
                <w:sz w:val="24"/>
                <w:szCs w:val="24"/>
                <w:highlight w:val="none"/>
              </w:rPr>
              <w:t>/a</w:t>
            </w:r>
          </w:p>
        </w:tc>
        <w:tc>
          <w:tcPr>
            <w:tcW w:w="1732"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Merge w:val="continue"/>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eastAsia="zh-CN"/>
              </w:rPr>
            </w:pPr>
          </w:p>
        </w:tc>
        <w:tc>
          <w:tcPr>
            <w:tcW w:w="1556" w:type="dxa"/>
            <w:vAlign w:val="center"/>
          </w:tcPr>
          <w:p>
            <w:pPr>
              <w:keepNext w:val="0"/>
              <w:keepLines w:val="0"/>
              <w:pageBreakBefore w:val="0"/>
              <w:widowControl/>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rPr>
              <w:t>水膜除尘底泥</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9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1.295t</w:t>
            </w:r>
            <w:r>
              <w:rPr>
                <w:rFonts w:hint="default" w:ascii="Times New Roman" w:hAnsi="Times New Roman" w:eastAsia="宋体" w:cs="Times New Roman"/>
                <w:color w:val="auto"/>
                <w:sz w:val="24"/>
                <w:szCs w:val="24"/>
                <w:highlight w:val="none"/>
              </w:rPr>
              <w:t>/a</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71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1.295t</w:t>
            </w:r>
            <w:r>
              <w:rPr>
                <w:rFonts w:hint="default" w:ascii="Times New Roman" w:hAnsi="Times New Roman" w:eastAsia="宋体" w:cs="Times New Roman"/>
                <w:color w:val="auto"/>
                <w:sz w:val="24"/>
                <w:szCs w:val="24"/>
                <w:highlight w:val="none"/>
              </w:rPr>
              <w:t>/a</w:t>
            </w:r>
          </w:p>
        </w:tc>
        <w:tc>
          <w:tcPr>
            <w:tcW w:w="1732"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Merge w:val="continue"/>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eastAsia="zh-CN"/>
              </w:rPr>
            </w:pPr>
          </w:p>
        </w:tc>
        <w:tc>
          <w:tcPr>
            <w:tcW w:w="1556" w:type="dxa"/>
            <w:vAlign w:val="center"/>
          </w:tcPr>
          <w:p>
            <w:pPr>
              <w:keepNext w:val="0"/>
              <w:keepLines w:val="0"/>
              <w:pageBreakBefore w:val="0"/>
              <w:widowControl/>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废耐火材料</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9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415t</w:t>
            </w:r>
            <w:r>
              <w:rPr>
                <w:rFonts w:hint="default" w:ascii="Times New Roman" w:hAnsi="Times New Roman" w:eastAsia="宋体" w:cs="Times New Roman"/>
                <w:color w:val="auto"/>
                <w:sz w:val="24"/>
                <w:szCs w:val="24"/>
                <w:highlight w:val="none"/>
              </w:rPr>
              <w:t>/a</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71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415t</w:t>
            </w:r>
            <w:r>
              <w:rPr>
                <w:rFonts w:hint="default" w:ascii="Times New Roman" w:hAnsi="Times New Roman" w:eastAsia="宋体" w:cs="Times New Roman"/>
                <w:color w:val="auto"/>
                <w:sz w:val="24"/>
                <w:szCs w:val="24"/>
                <w:highlight w:val="none"/>
              </w:rPr>
              <w:t>/a</w:t>
            </w:r>
          </w:p>
        </w:tc>
        <w:tc>
          <w:tcPr>
            <w:tcW w:w="1732"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Merge w:val="continue"/>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eastAsia="zh-CN"/>
              </w:rPr>
            </w:pPr>
          </w:p>
        </w:tc>
        <w:tc>
          <w:tcPr>
            <w:tcW w:w="1556" w:type="dxa"/>
            <w:vAlign w:val="center"/>
          </w:tcPr>
          <w:p>
            <w:pPr>
              <w:keepNext w:val="0"/>
              <w:keepLines w:val="0"/>
              <w:pageBreakBefore w:val="0"/>
              <w:widowControl/>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rPr>
              <w:t>废电极</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9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lang w:val="en-US" w:eastAsia="zh-CN"/>
              </w:rPr>
              <w:t>30t</w:t>
            </w:r>
            <w:r>
              <w:rPr>
                <w:rFonts w:hint="default" w:ascii="Times New Roman" w:hAnsi="Times New Roman" w:eastAsia="宋体" w:cs="Times New Roman"/>
                <w:color w:val="auto"/>
                <w:sz w:val="24"/>
                <w:szCs w:val="24"/>
                <w:highlight w:val="none"/>
              </w:rPr>
              <w:t>/a</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71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lang w:val="en-US" w:eastAsia="zh-CN"/>
              </w:rPr>
              <w:t>30t</w:t>
            </w:r>
            <w:r>
              <w:rPr>
                <w:rFonts w:hint="default" w:ascii="Times New Roman" w:hAnsi="Times New Roman" w:eastAsia="宋体" w:cs="Times New Roman"/>
                <w:color w:val="auto"/>
                <w:sz w:val="24"/>
                <w:szCs w:val="24"/>
                <w:highlight w:val="none"/>
              </w:rPr>
              <w:t>/a</w:t>
            </w:r>
          </w:p>
        </w:tc>
        <w:tc>
          <w:tcPr>
            <w:tcW w:w="1732"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Merge w:val="continue"/>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eastAsia="zh-CN"/>
              </w:rPr>
            </w:pPr>
          </w:p>
        </w:tc>
        <w:tc>
          <w:tcPr>
            <w:tcW w:w="1556" w:type="dxa"/>
            <w:vAlign w:val="center"/>
          </w:tcPr>
          <w:p>
            <w:pPr>
              <w:keepNext w:val="0"/>
              <w:keepLines w:val="0"/>
              <w:pageBreakBefore w:val="0"/>
              <w:widowControl/>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硅渣</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59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2103.454t</w:t>
            </w:r>
            <w:r>
              <w:rPr>
                <w:rFonts w:hint="default" w:ascii="Times New Roman" w:hAnsi="Times New Roman" w:eastAsia="宋体" w:cs="Times New Roman"/>
                <w:color w:val="auto"/>
                <w:sz w:val="24"/>
                <w:szCs w:val="24"/>
                <w:highlight w:val="none"/>
              </w:rPr>
              <w:t>/a</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71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2103.454t</w:t>
            </w:r>
            <w:r>
              <w:rPr>
                <w:rFonts w:hint="default" w:ascii="Times New Roman" w:hAnsi="Times New Roman" w:eastAsia="宋体" w:cs="Times New Roman"/>
                <w:color w:val="auto"/>
                <w:sz w:val="24"/>
                <w:szCs w:val="24"/>
                <w:highlight w:val="none"/>
              </w:rPr>
              <w:t>/a</w:t>
            </w:r>
          </w:p>
        </w:tc>
        <w:tc>
          <w:tcPr>
            <w:tcW w:w="1732"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Merge w:val="continue"/>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eastAsia="zh-CN"/>
              </w:rPr>
            </w:pPr>
          </w:p>
        </w:tc>
        <w:tc>
          <w:tcPr>
            <w:tcW w:w="1556" w:type="dxa"/>
            <w:vAlign w:val="center"/>
          </w:tcPr>
          <w:p>
            <w:pPr>
              <w:keepNext w:val="0"/>
              <w:keepLines w:val="0"/>
              <w:pageBreakBefore w:val="0"/>
              <w:widowControl/>
              <w:kinsoku/>
              <w:wordWrap/>
              <w:overflowPunct/>
              <w:topLinePunct w:val="0"/>
              <w:autoSpaceDE/>
              <w:autoSpaceDN/>
              <w:bidi w:val="0"/>
              <w:adjustRightInd/>
              <w:spacing w:line="240" w:lineRule="auto"/>
              <w:ind w:left="0" w:lef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除尘灰</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4"/>
                <w:szCs w:val="24"/>
                <w:highlight w:val="none"/>
                <w:u w:val="none"/>
                <w:lang w:val="en-US" w:eastAsia="zh-CN" w:bidi="ar"/>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59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87.817t</w:t>
            </w:r>
            <w:r>
              <w:rPr>
                <w:rFonts w:hint="default" w:ascii="Times New Roman" w:hAnsi="Times New Roman" w:eastAsia="宋体" w:cs="Times New Roman"/>
                <w:color w:val="auto"/>
                <w:sz w:val="24"/>
                <w:szCs w:val="24"/>
                <w:highlight w:val="none"/>
              </w:rPr>
              <w:t>/a</w:t>
            </w:r>
          </w:p>
        </w:tc>
        <w:tc>
          <w:tcPr>
            <w:tcW w:w="1515"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1716"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87.817t</w:t>
            </w:r>
            <w:r>
              <w:rPr>
                <w:rFonts w:hint="default" w:ascii="Times New Roman" w:hAnsi="Times New Roman" w:eastAsia="宋体" w:cs="Times New Roman"/>
                <w:color w:val="auto"/>
                <w:sz w:val="24"/>
                <w:szCs w:val="24"/>
                <w:highlight w:val="none"/>
              </w:rPr>
              <w:t>/a</w:t>
            </w:r>
          </w:p>
        </w:tc>
        <w:tc>
          <w:tcPr>
            <w:tcW w:w="1732"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13" w:type="dxa"/>
            <w:vAlign w:val="center"/>
          </w:tcPr>
          <w:p>
            <w:pPr>
              <w:keepNext w:val="0"/>
              <w:keepLines w:val="0"/>
              <w:pageBreakBefore w:val="0"/>
              <w:widowControl/>
              <w:suppressLineNumbers w:val="0"/>
              <w:shd w:val="clear"/>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color w:val="auto"/>
                <w:sz w:val="24"/>
                <w:szCs w:val="24"/>
                <w:highlight w:val="none"/>
                <w:vertAlign w:val="baseline"/>
                <w:lang w:eastAsia="zh-CN"/>
              </w:rPr>
              <w:t>危险废物</w:t>
            </w:r>
          </w:p>
        </w:tc>
        <w:tc>
          <w:tcPr>
            <w:tcW w:w="1556" w:type="dxa"/>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eastAsia="zh-CN"/>
              </w:rPr>
              <w:t>废矿物油</w:t>
            </w:r>
          </w:p>
        </w:tc>
        <w:tc>
          <w:tcPr>
            <w:tcW w:w="1515" w:type="dxa"/>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515" w:type="dxa"/>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596" w:type="dxa"/>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lang w:val="en-US" w:eastAsia="zh-CN"/>
              </w:rPr>
              <w:t>0.1t</w:t>
            </w:r>
            <w:r>
              <w:rPr>
                <w:rFonts w:hint="default" w:ascii="Times New Roman" w:hAnsi="Times New Roman" w:eastAsia="宋体" w:cs="Times New Roman"/>
                <w:color w:val="auto"/>
                <w:sz w:val="24"/>
                <w:szCs w:val="24"/>
                <w:highlight w:val="none"/>
              </w:rPr>
              <w:t>/a</w:t>
            </w:r>
          </w:p>
        </w:tc>
        <w:tc>
          <w:tcPr>
            <w:tcW w:w="1515" w:type="dxa"/>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1716" w:type="dxa"/>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lang w:val="en-US" w:eastAsia="zh-CN"/>
              </w:rPr>
              <w:t>0.1t</w:t>
            </w:r>
            <w:r>
              <w:rPr>
                <w:rFonts w:hint="default" w:ascii="Times New Roman" w:hAnsi="Times New Roman" w:eastAsia="宋体" w:cs="Times New Roman"/>
                <w:color w:val="auto"/>
                <w:sz w:val="24"/>
                <w:szCs w:val="24"/>
                <w:highlight w:val="none"/>
              </w:rPr>
              <w:t>/a</w:t>
            </w:r>
          </w:p>
        </w:tc>
        <w:tc>
          <w:tcPr>
            <w:tcW w:w="1732" w:type="dxa"/>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r>
    </w:tbl>
    <w:p>
      <w:pPr>
        <w:pageBreakBefore w:val="0"/>
        <w:kinsoku/>
        <w:wordWrap/>
        <w:overflowPunct/>
        <w:topLinePunct w:val="0"/>
        <w:autoSpaceDE/>
        <w:autoSpaceDN/>
        <w:bidi w:val="0"/>
        <w:spacing w:line="259" w:lineRule="auto"/>
        <w:ind w:left="0" w:leftChars="0" w:firstLine="0" w:firstLineChars="0"/>
        <w:textAlignment w:val="auto"/>
        <w:rPr>
          <w:rFonts w:hint="default" w:ascii="Times New Roman" w:hAnsi="Times New Roman" w:eastAsia="宋体" w:cs="Times New Roman"/>
          <w:snapToGrid w:val="0"/>
          <w:color w:val="auto"/>
          <w:kern w:val="21"/>
          <w:szCs w:val="21"/>
          <w:highlight w:val="none"/>
        </w:rPr>
      </w:pPr>
    </w:p>
    <w:p>
      <w:pPr>
        <w:pageBreakBefore w:val="0"/>
        <w:kinsoku/>
        <w:wordWrap/>
        <w:overflowPunct/>
        <w:topLinePunct w:val="0"/>
        <w:autoSpaceDE/>
        <w:autoSpaceDN/>
        <w:bidi w:val="0"/>
        <w:spacing w:line="259" w:lineRule="auto"/>
        <w:ind w:left="0" w:leftChars="0" w:firstLine="0" w:firstLineChars="0"/>
        <w:textAlignment w:val="auto"/>
        <w:rPr>
          <w:rFonts w:hint="default" w:ascii="Times New Roman" w:hAnsi="Times New Roman" w:eastAsia="宋体" w:cs="Times New Roman"/>
          <w:snapToGrid w:val="0"/>
          <w:color w:val="auto"/>
          <w:kern w:val="21"/>
          <w:szCs w:val="21"/>
          <w:highlight w:val="none"/>
        </w:rPr>
      </w:pPr>
    </w:p>
    <w:p>
      <w:pPr>
        <w:pageBreakBefore w:val="0"/>
        <w:kinsoku/>
        <w:wordWrap/>
        <w:overflowPunct/>
        <w:topLinePunct w:val="0"/>
        <w:autoSpaceDE/>
        <w:autoSpaceDN/>
        <w:bidi w:val="0"/>
        <w:spacing w:line="259" w:lineRule="auto"/>
        <w:ind w:left="0" w:leftChars="0" w:firstLine="0" w:firstLineChars="0"/>
        <w:textAlignment w:val="auto"/>
        <w:rPr>
          <w:rFonts w:hint="default" w:ascii="Times New Roman" w:hAnsi="Times New Roman" w:eastAsia="宋体" w:cs="Times New Roman"/>
          <w:snapToGrid w:val="0"/>
          <w:color w:val="auto"/>
          <w:kern w:val="21"/>
          <w:szCs w:val="21"/>
          <w:highlight w:val="none"/>
        </w:rPr>
      </w:pPr>
    </w:p>
    <w:p>
      <w:pPr>
        <w:pageBreakBefore w:val="0"/>
        <w:kinsoku/>
        <w:wordWrap/>
        <w:overflowPunct/>
        <w:topLinePunct w:val="0"/>
        <w:autoSpaceDE/>
        <w:autoSpaceDN/>
        <w:bidi w:val="0"/>
        <w:spacing w:line="259" w:lineRule="auto"/>
        <w:ind w:left="0" w:leftChars="0" w:firstLine="0" w:firstLineChars="0"/>
        <w:textAlignment w:val="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kern w:val="21"/>
          <w:szCs w:val="21"/>
          <w:highlight w:val="none"/>
        </w:rPr>
        <w:t>注：</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③</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④</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⑤</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⑦</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p>
    <w:p>
      <w:pPr>
        <w:pageBreakBefore w:val="0"/>
        <w:kinsoku/>
        <w:wordWrap/>
        <w:overflowPunct/>
        <w:topLinePunct w:val="0"/>
        <w:autoSpaceDE/>
        <w:autoSpaceDN/>
        <w:bidi w:val="0"/>
        <w:spacing w:line="259" w:lineRule="auto"/>
        <w:ind w:left="0" w:leftChars="0" w:firstLine="0" w:firstLineChars="0"/>
        <w:textAlignment w:val="auto"/>
        <w:rPr>
          <w:rFonts w:hint="default" w:ascii="Times New Roman" w:hAnsi="Times New Roman" w:eastAsia="宋体" w:cs="Times New Roman"/>
          <w:snapToGrid w:val="0"/>
          <w:color w:val="auto"/>
          <w:spacing w:val="-6"/>
          <w:kern w:val="21"/>
          <w:szCs w:val="21"/>
          <w:highlight w:val="none"/>
        </w:rPr>
        <w:sectPr>
          <w:pgSz w:w="16838" w:h="11906" w:orient="landscape"/>
          <w:pgMar w:top="1440" w:right="1800" w:bottom="1440" w:left="1800" w:header="851" w:footer="850" w:gutter="0"/>
          <w:cols w:space="425" w:num="1"/>
          <w:docGrid w:type="lines" w:linePitch="326" w:charSpace="0"/>
        </w:sectPr>
      </w:pPr>
    </w:p>
    <w:p>
      <w:pPr>
        <w:pStyle w:val="4"/>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bookmarkStart w:id="22" w:name="_Toc163032416"/>
      <w:r>
        <w:rPr>
          <w:rFonts w:hint="default" w:ascii="Times New Roman" w:hAnsi="Times New Roman" w:eastAsia="宋体" w:cs="Times New Roman"/>
          <w:color w:val="auto"/>
          <w:highlight w:val="none"/>
        </w:rPr>
        <w:t>附图1项目地理位置图</w:t>
      </w:r>
      <w:bookmarkEnd w:id="22"/>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59264" behindDoc="0" locked="0" layoutInCell="1" allowOverlap="1">
                <wp:simplePos x="0" y="0"/>
                <wp:positionH relativeFrom="column">
                  <wp:posOffset>4081780</wp:posOffset>
                </wp:positionH>
                <wp:positionV relativeFrom="paragraph">
                  <wp:posOffset>3314065</wp:posOffset>
                </wp:positionV>
                <wp:extent cx="965835" cy="276860"/>
                <wp:effectExtent l="6350" t="6350" r="18415" b="231140"/>
                <wp:wrapNone/>
                <wp:docPr id="8" name="矩形标注 8"/>
                <wp:cNvGraphicFramePr/>
                <a:graphic xmlns:a="http://schemas.openxmlformats.org/drawingml/2006/main">
                  <a:graphicData uri="http://schemas.microsoft.com/office/word/2010/wordprocessingShape">
                    <wps:wsp>
                      <wps:cNvSpPr/>
                      <wps:spPr>
                        <a:xfrm>
                          <a:off x="0" y="0"/>
                          <a:ext cx="965835" cy="276860"/>
                        </a:xfrm>
                        <a:prstGeom prst="wedgeRectCallout">
                          <a:avLst>
                            <a:gd name="adj1" fmla="val -2333"/>
                            <a:gd name="adj2" fmla="val 123853"/>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eastAsiaTheme="minor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1.4pt;margin-top:260.95pt;height:21.8pt;width:76.05pt;z-index:251659264;v-text-anchor:middle;mso-width-relative:page;mso-height-relative:page;" filled="f" stroked="t" coordsize="21600,21600" o:gfxdata="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PtOfMNsAAAALAQAADwAAAAAAAAABACAAAAAiAAAAZHJzL2Rv&#10;d25yZXYueG1sUEsBAhQAFAAAAAgAh07iQEcHJ1CpAgAAOQUAAA4AAAAAAAAAAQAgAAAAKgEAAGRy&#10;cy9lMm9Eb2MueG1sUEsFBgAAAAAGAAYAWQEAAEUGAAAAAA==&#10;" adj="10296,37552">
                <v:fill on="f" focussize="0,0"/>
                <v:stroke weight="1pt" color="#FF0000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eastAsiaTheme="minor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本项目位置</w:t>
                      </w:r>
                    </w:p>
                  </w:txbxContent>
                </v:textbox>
              </v:shape>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60288" behindDoc="0" locked="0" layoutInCell="1" allowOverlap="1">
                <wp:simplePos x="0" y="0"/>
                <wp:positionH relativeFrom="column">
                  <wp:posOffset>4511040</wp:posOffset>
                </wp:positionH>
                <wp:positionV relativeFrom="paragraph">
                  <wp:posOffset>3762375</wp:posOffset>
                </wp:positionV>
                <wp:extent cx="75565" cy="75565"/>
                <wp:effectExtent l="6350" t="6350" r="13335" b="13335"/>
                <wp:wrapNone/>
                <wp:docPr id="9" name="椭圆 9"/>
                <wp:cNvGraphicFramePr/>
                <a:graphic xmlns:a="http://schemas.openxmlformats.org/drawingml/2006/main">
                  <a:graphicData uri="http://schemas.microsoft.com/office/word/2010/wordprocessingShape">
                    <wps:wsp>
                      <wps:cNvSpPr/>
                      <wps:spPr>
                        <a:xfrm>
                          <a:off x="0" y="0"/>
                          <a:ext cx="75565" cy="75565"/>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55.2pt;margin-top:296.25pt;height:5.95pt;width:5.95pt;z-index:251660288;v-text-anchor:middle;mso-width-relative:page;mso-height-relative:page;" fillcolor="#000000 [3213]" filled="t" stroked="t" coordsize="21600,21600" o:gfxdata="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isBt19oAAAALAQAADwAAAAAAAAABACAAAAAiAAAAZHJz&#10;L2Rvd25yZXYueG1sUEsBAhQAFAAAAAgAh07iQJa9XiN0AgAA/wQAAA4AAAAAAAAAAQAgAAAAKQEA&#10;AGRycy9lMm9Eb2MueG1sUEsFBgAAAAAGAAYAWQEAAA8GAAAAAA==&#10;">
                <v:fill on="t" focussize="0,0"/>
                <v:stroke weight="1pt" color="#FF0000 [3204]" miterlimit="8" joinstyle="miter"/>
                <v:imagedata o:title=""/>
                <o:lock v:ext="edit" aspectratio="f"/>
                <v:textbox>
                  <w:txbxContent>
                    <w:p>
                      <w:pPr>
                        <w:jc w:val="center"/>
                      </w:pPr>
                    </w:p>
                  </w:txbxContent>
                </v:textbox>
              </v:shape>
            </w:pict>
          </mc:Fallback>
        </mc:AlternateContent>
      </w:r>
      <w:r>
        <w:rPr>
          <w:rFonts w:hint="default" w:ascii="Times New Roman" w:hAnsi="Times New Roman" w:eastAsia="宋体" w:cs="Times New Roman"/>
          <w:color w:val="auto"/>
          <w:highlight w:val="none"/>
        </w:rPr>
        <w:drawing>
          <wp:inline distT="0" distB="0" distL="114300" distR="114300">
            <wp:extent cx="7738745" cy="5255895"/>
            <wp:effectExtent l="0" t="0" r="14605" b="190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31"/>
                    <a:srcRect t="2599" b="1352"/>
                    <a:stretch>
                      <a:fillRect/>
                    </a:stretch>
                  </pic:blipFill>
                  <pic:spPr>
                    <a:xfrm>
                      <a:off x="0" y="0"/>
                      <a:ext cx="7738745" cy="5255895"/>
                    </a:xfrm>
                    <a:prstGeom prst="rect">
                      <a:avLst/>
                    </a:prstGeom>
                    <a:noFill/>
                    <a:ln>
                      <a:noFill/>
                    </a:ln>
                  </pic:spPr>
                </pic:pic>
              </a:graphicData>
            </a:graphic>
          </wp:inline>
        </w:drawing>
      </w: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sectPr>
          <w:pgSz w:w="16838" w:h="11906" w:orient="landscape"/>
          <w:pgMar w:top="1440" w:right="1800" w:bottom="1440" w:left="1800" w:header="851" w:footer="850" w:gutter="0"/>
          <w:cols w:space="425" w:num="1"/>
          <w:docGrid w:type="lines" w:linePitch="326" w:charSpace="0"/>
        </w:sectPr>
      </w:pPr>
    </w:p>
    <w:p>
      <w:pPr>
        <w:pStyle w:val="4"/>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rPr>
      </w:pPr>
      <w:bookmarkStart w:id="23" w:name="_Toc163032417"/>
      <w:r>
        <w:rPr>
          <w:rFonts w:hint="default" w:ascii="Times New Roman" w:hAnsi="Times New Roman" w:eastAsia="宋体" w:cs="Times New Roman"/>
          <w:snapToGrid w:val="0"/>
          <w:color w:val="auto"/>
          <w:highlight w:val="none"/>
        </w:rPr>
        <w:t>附图2项目</w:t>
      </w:r>
      <w:r>
        <w:rPr>
          <w:rFonts w:hint="default" w:ascii="Times New Roman" w:hAnsi="Times New Roman" w:eastAsia="宋体" w:cs="Times New Roman"/>
          <w:snapToGrid w:val="0"/>
          <w:color w:val="auto"/>
          <w:highlight w:val="none"/>
          <w:lang w:val="en-US" w:eastAsia="zh-CN"/>
        </w:rPr>
        <w:t>四邻</w:t>
      </w:r>
      <w:r>
        <w:rPr>
          <w:rFonts w:hint="default" w:ascii="Times New Roman" w:hAnsi="Times New Roman" w:eastAsia="宋体" w:cs="Times New Roman"/>
          <w:snapToGrid w:val="0"/>
          <w:color w:val="auto"/>
          <w:highlight w:val="none"/>
        </w:rPr>
        <w:t>关系图</w:t>
      </w:r>
      <w:bookmarkEnd w:id="23"/>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drawing>
          <wp:anchor distT="0" distB="0" distL="114300" distR="114300" simplePos="0" relativeHeight="251667456" behindDoc="0" locked="0" layoutInCell="1" allowOverlap="1">
            <wp:simplePos x="0" y="0"/>
            <wp:positionH relativeFrom="column">
              <wp:posOffset>6734810</wp:posOffset>
            </wp:positionH>
            <wp:positionV relativeFrom="paragraph">
              <wp:posOffset>68580</wp:posOffset>
            </wp:positionV>
            <wp:extent cx="567055" cy="624840"/>
            <wp:effectExtent l="0" t="0" r="4445" b="3810"/>
            <wp:wrapNone/>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32"/>
                    <a:stretch>
                      <a:fillRect/>
                    </a:stretch>
                  </pic:blipFill>
                  <pic:spPr>
                    <a:xfrm>
                      <a:off x="0" y="0"/>
                      <a:ext cx="567055" cy="624840"/>
                    </a:xfrm>
                    <a:prstGeom prst="rect">
                      <a:avLst/>
                    </a:prstGeom>
                    <a:noFill/>
                    <a:ln>
                      <a:noFill/>
                    </a:ln>
                  </pic:spPr>
                </pic:pic>
              </a:graphicData>
            </a:graphic>
          </wp:anchor>
        </w:drawing>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5408" behindDoc="0" locked="0" layoutInCell="1" allowOverlap="1">
                <wp:simplePos x="0" y="0"/>
                <wp:positionH relativeFrom="column">
                  <wp:posOffset>2324100</wp:posOffset>
                </wp:positionH>
                <wp:positionV relativeFrom="paragraph">
                  <wp:posOffset>2508885</wp:posOffset>
                </wp:positionV>
                <wp:extent cx="1496060" cy="462280"/>
                <wp:effectExtent l="0" t="0" r="0" b="0"/>
                <wp:wrapNone/>
                <wp:docPr id="15" name="矩形 15"/>
                <wp:cNvGraphicFramePr/>
                <a:graphic xmlns:a="http://schemas.openxmlformats.org/drawingml/2006/main">
                  <a:graphicData uri="http://schemas.microsoft.com/office/word/2010/wordprocessingShape">
                    <wps:wsp>
                      <wps:cNvSpPr/>
                      <wps:spPr>
                        <a:xfrm>
                          <a:off x="0" y="0"/>
                          <a:ext cx="1496060" cy="4622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ind w:left="0" w:leftChars="0" w:firstLine="0" w:firstLineChars="0"/>
                              <w:rPr>
                                <w:rFonts w:hint="default" w:ascii="Times New Roman" w:hAnsi="Times New Roman"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农垦飞达铸业公司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3pt;margin-top:197.55pt;height:36.4pt;width:117.8pt;z-index:251665408;v-text-anchor:middle;mso-width-relative:page;mso-height-relative:page;" filled="f" stroked="f" coordsize="21600,21600" o:gfxdata="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bimnNkAAAALAQAADwAAAAAAAAABACAAAAAiAAAAZHJzL2Rvd25yZXYueG1sUEsBAhQAFAAA&#10;AAgAh07iQGcxEShgAgAArwQAAA4AAAAAAAAAAQAgAAAAKAEAAGRycy9lMm9Eb2MueG1sUEsFBgAA&#10;AAAGAAYAWQEAAPoFAAAAAA==&#10;">
                <v:fill on="f" focussize="0,0"/>
                <v:stroke on="f" weight="1pt" miterlimit="8" joinstyle="miter"/>
                <v:imagedata o:title=""/>
                <o:lock v:ext="edit" aspectratio="f"/>
                <v:textbox>
                  <w:txbxContent>
                    <w:p>
                      <w:pPr>
                        <w:ind w:left="0" w:leftChars="0" w:firstLine="0" w:firstLineChars="0"/>
                        <w:rPr>
                          <w:rFonts w:hint="default" w:ascii="Times New Roman" w:hAnsi="Times New Roman"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农垦飞达铸业公司</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4384" behindDoc="0" locked="0" layoutInCell="1" allowOverlap="1">
                <wp:simplePos x="0" y="0"/>
                <wp:positionH relativeFrom="column">
                  <wp:posOffset>2729865</wp:posOffset>
                </wp:positionH>
                <wp:positionV relativeFrom="paragraph">
                  <wp:posOffset>3710305</wp:posOffset>
                </wp:positionV>
                <wp:extent cx="1917700" cy="469900"/>
                <wp:effectExtent l="0" t="0" r="0" b="0"/>
                <wp:wrapNone/>
                <wp:docPr id="14" name="矩形 14"/>
                <wp:cNvGraphicFramePr/>
                <a:graphic xmlns:a="http://schemas.openxmlformats.org/drawingml/2006/main">
                  <a:graphicData uri="http://schemas.microsoft.com/office/word/2010/wordprocessingShape">
                    <wps:wsp>
                      <wps:cNvSpPr/>
                      <wps:spPr>
                        <a:xfrm>
                          <a:off x="0" y="0"/>
                          <a:ext cx="1917700" cy="4699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ind w:left="0" w:leftChars="0" w:firstLine="0" w:firstLineChars="0"/>
                              <w:jc w:val="both"/>
                              <w:rPr>
                                <w:rFonts w:hint="default" w:ascii="Times New Roman" w:hAnsi="Times New Roman"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四通鼓风机制造有限公司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4.95pt;margin-top:292.15pt;height:37pt;width:151pt;z-index:251664384;v-text-anchor:middle;mso-width-relative:page;mso-height-relative:page;" filled="f" stroked="f" coordsize="21600,21600" o:gfxdata="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eplSTaAAAACwEAAA8AAAAAAAAAAQAgAAAAIgAAAGRycy9kb3ducmV2LnhtbFBLAQIUABQAAAAI&#10;AIdO4kDIUw2fXQIAAK8EAAAOAAAAAAAAAAEAIAAAACkBAABkcnMvZTJvRG9jLnhtbFBLBQYAAAAA&#10;BgAGAFkBAAD4BQAAAAA=&#10;">
                <v:fill on="f" focussize="0,0"/>
                <v:stroke on="f" weight="1pt" miterlimit="8" joinstyle="miter"/>
                <v:imagedata o:title=""/>
                <o:lock v:ext="edit" aspectratio="f"/>
                <v:textbox>
                  <w:txbxContent>
                    <w:p>
                      <w:pPr>
                        <w:ind w:left="0" w:leftChars="0" w:firstLine="0" w:firstLineChars="0"/>
                        <w:jc w:val="both"/>
                        <w:rPr>
                          <w:rFonts w:hint="default" w:ascii="Times New Roman" w:hAnsi="Times New Roman"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四通鼓风机制造有限公司</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3402965</wp:posOffset>
                </wp:positionH>
                <wp:positionV relativeFrom="paragraph">
                  <wp:posOffset>886460</wp:posOffset>
                </wp:positionV>
                <wp:extent cx="1658620" cy="448945"/>
                <wp:effectExtent l="0" t="0" r="0" b="0"/>
                <wp:wrapNone/>
                <wp:docPr id="19" name="矩形 19"/>
                <wp:cNvGraphicFramePr/>
                <a:graphic xmlns:a="http://schemas.openxmlformats.org/drawingml/2006/main">
                  <a:graphicData uri="http://schemas.microsoft.com/office/word/2010/wordprocessingShape">
                    <wps:wsp>
                      <wps:cNvSpPr/>
                      <wps:spPr>
                        <a:xfrm>
                          <a:off x="0" y="0"/>
                          <a:ext cx="1658620"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ind w:left="0" w:leftChars="0" w:firstLine="0" w:firstLineChars="0"/>
                              <w:jc w:val="both"/>
                              <w:rPr>
                                <w:rFonts w:hint="default" w:ascii="Times New Roman" w:hAnsi="Times New Roman"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硕业公司水泥制品厂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7.95pt;margin-top:69.8pt;height:35.35pt;width:130.6pt;z-index:251666432;v-text-anchor:middle;mso-width-relative:page;mso-height-relative:page;" filled="f" stroked="f" coordsize="21600,21600" o:gfxdata="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4EAo/aAAAACwEAAA8AAAAAAAAAAQAgAAAAIgAAAGRycy9kb3ducmV2LnhtbFBLAQIUABQA&#10;AAAIAIdO4kDpt1RnYAIAAK8EAAAOAAAAAAAAAAEAIAAAACkBAABkcnMvZTJvRG9jLnhtbFBLBQYA&#10;AAAABgAGAFkBAAD7BQAAAAA=&#10;">
                <v:fill on="f" focussize="0,0"/>
                <v:stroke on="f" weight="1pt" miterlimit="8" joinstyle="miter"/>
                <v:imagedata o:title=""/>
                <o:lock v:ext="edit" aspectratio="f"/>
                <v:textbox>
                  <w:txbxContent>
                    <w:p>
                      <w:pPr>
                        <w:ind w:left="0" w:leftChars="0" w:firstLine="0" w:firstLineChars="0"/>
                        <w:jc w:val="both"/>
                        <w:rPr>
                          <w:rFonts w:hint="default" w:ascii="Times New Roman" w:hAnsi="Times New Roman"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硕业公司水泥制品厂</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4999355</wp:posOffset>
                </wp:positionH>
                <wp:positionV relativeFrom="paragraph">
                  <wp:posOffset>2312670</wp:posOffset>
                </wp:positionV>
                <wp:extent cx="734695" cy="462280"/>
                <wp:effectExtent l="0" t="0" r="0" b="0"/>
                <wp:wrapNone/>
                <wp:docPr id="13" name="矩形 13"/>
                <wp:cNvGraphicFramePr/>
                <a:graphic xmlns:a="http://schemas.openxmlformats.org/drawingml/2006/main">
                  <a:graphicData uri="http://schemas.microsoft.com/office/word/2010/wordprocessingShape">
                    <wps:wsp>
                      <wps:cNvSpPr/>
                      <wps:spPr>
                        <a:xfrm>
                          <a:off x="0" y="0"/>
                          <a:ext cx="734695" cy="4622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ind w:left="0" w:leftChars="0" w:firstLine="0" w:firstLineChars="0"/>
                              <w:jc w:val="both"/>
                              <w:rPr>
                                <w:rFonts w:hint="default"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3.65pt;margin-top:182.1pt;height:36.4pt;width:57.85pt;z-index:251663360;v-text-anchor:middle;mso-width-relative:page;mso-height-relative:page;" filled="f" stroked="f" coordsize="21600,21600" o:gfxdata="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5XiLrdkAAAALAQAADwAAAAAAAAABACAAAAAiAAAAZHJzL2Rvd25yZXYueG1sUEsBAhQAFAAA&#10;AAgAh07iQLATul9gAgAArgQAAA4AAAAAAAAAAQAgAAAAKAEAAGRycy9lMm9Eb2MueG1sUEsFBgAA&#10;AAAGAAYAWQEAAPoFAAAAAA==&#10;">
                <v:fill on="f" focussize="0,0"/>
                <v:stroke on="f" weight="1pt" miterlimit="8" joinstyle="miter"/>
                <v:imagedata o:title=""/>
                <o:lock v:ext="edit" aspectratio="f"/>
                <v:textbox>
                  <w:txbxContent>
                    <w:p>
                      <w:pPr>
                        <w:ind w:left="0" w:leftChars="0" w:firstLine="0" w:firstLineChars="0"/>
                        <w:jc w:val="both"/>
                        <w:rPr>
                          <w:rFonts w:hint="default" w:eastAsia="宋体"/>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FF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空地</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2336" behindDoc="0" locked="0" layoutInCell="1" allowOverlap="1">
                <wp:simplePos x="0" y="0"/>
                <wp:positionH relativeFrom="column">
                  <wp:posOffset>3880485</wp:posOffset>
                </wp:positionH>
                <wp:positionV relativeFrom="paragraph">
                  <wp:posOffset>2499995</wp:posOffset>
                </wp:positionV>
                <wp:extent cx="734695" cy="462280"/>
                <wp:effectExtent l="0" t="0" r="0" b="0"/>
                <wp:wrapNone/>
                <wp:docPr id="12" name="矩形 12"/>
                <wp:cNvGraphicFramePr/>
                <a:graphic xmlns:a="http://schemas.openxmlformats.org/drawingml/2006/main">
                  <a:graphicData uri="http://schemas.microsoft.com/office/word/2010/wordprocessingShape">
                    <wps:wsp>
                      <wps:cNvSpPr/>
                      <wps:spPr>
                        <a:xfrm>
                          <a:off x="1880235" y="2145665"/>
                          <a:ext cx="734695" cy="4622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ind w:left="0" w:leftChars="0" w:firstLine="0" w:firstLineChars="0"/>
                              <w:jc w:val="both"/>
                              <w:rPr>
                                <w:rFonts w:hint="eastAsia" w:eastAsia="宋体"/>
                                <w:b/>
                                <w:bCs/>
                                <w:color w:val="FF00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55pt;margin-top:196.85pt;height:36.4pt;width:57.85pt;z-index:251662336;v-text-anchor:middle;mso-width-relative:page;mso-height-relative:page;" filled="f" stroked="f" coordsize="21600,21600" o:gfxdata="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RniBv2gAAAAsBAAAPAAAAAAAAAAEAIAAAACIAAABkcnMvZG93bnJl&#10;di54bWxQSwECFAAUAAAACACHTuJA8chEpW0CAAC6BAAADgAAAAAAAAABACAAAAApAQAAZHJzL2Uy&#10;b0RvYy54bWxQSwUGAAAAAAYABgBZAQAACAYAAAAA&#10;">
                <v:fill on="f" focussize="0,0"/>
                <v:stroke on="f" weight="1pt" miterlimit="8" joinstyle="miter"/>
                <v:imagedata o:title=""/>
                <o:lock v:ext="edit" aspectratio="f"/>
                <v:textbox>
                  <w:txbxContent>
                    <w:p>
                      <w:pPr>
                        <w:ind w:left="0" w:leftChars="0" w:firstLine="0" w:firstLineChars="0"/>
                        <w:jc w:val="both"/>
                        <w:rPr>
                          <w:rFonts w:hint="eastAsia" w:eastAsia="宋体"/>
                          <w:b/>
                          <w:bCs/>
                          <w:color w:val="FF00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本项目</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1312" behindDoc="0" locked="0" layoutInCell="1" allowOverlap="1">
                <wp:simplePos x="0" y="0"/>
                <wp:positionH relativeFrom="column">
                  <wp:posOffset>3689985</wp:posOffset>
                </wp:positionH>
                <wp:positionV relativeFrom="paragraph">
                  <wp:posOffset>2418715</wp:posOffset>
                </wp:positionV>
                <wp:extent cx="1136650" cy="673735"/>
                <wp:effectExtent l="31750" t="44450" r="31750" b="62865"/>
                <wp:wrapNone/>
                <wp:docPr id="11" name="矩形 11"/>
                <wp:cNvGraphicFramePr/>
                <a:graphic xmlns:a="http://schemas.openxmlformats.org/drawingml/2006/main">
                  <a:graphicData uri="http://schemas.microsoft.com/office/word/2010/wordprocessingShape">
                    <wps:wsp>
                      <wps:cNvSpPr/>
                      <wps:spPr>
                        <a:xfrm rot="21420000">
                          <a:off x="4662805" y="2689860"/>
                          <a:ext cx="1136650" cy="673735"/>
                        </a:xfrm>
                        <a:prstGeom prst="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55pt;margin-top:190.45pt;height:53.05pt;width:89.5pt;rotation:-196608f;z-index:251661312;v-text-anchor:middle;mso-width-relative:page;mso-height-relative:page;" filled="f" stroked="t" coordsize="21600,21600" o:gfxdata="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Rl3Lu3AAAAAsBAAAPAAAA&#10;AAAAAAEAIAAAACIAAABkcnMvZG93bnJldi54bWxQSwECFAAUAAAACACHTuJAEAGrHoMCAADoBAAA&#10;DgAAAAAAAAABACAAAAArAQAAZHJzL2Uyb0RvYy54bWxQSwUGAAAAAAYABgBZAQAAIAYAAAAA&#10;">
                <v:fill on="f" focussize="0,0"/>
                <v:stroke weight="2.25pt" color="#FF0000 [2404]" miterlimit="8" joinstyle="miter"/>
                <v:imagedata o:title=""/>
                <o:lock v:ext="edit" aspectratio="f"/>
              </v:rect>
            </w:pict>
          </mc:Fallback>
        </mc:AlternateContent>
      </w:r>
      <w:r>
        <w:rPr>
          <w:rFonts w:hint="default" w:ascii="Times New Roman" w:hAnsi="Times New Roman" w:eastAsia="宋体" w:cs="Times New Roman"/>
          <w:color w:val="auto"/>
          <w:highlight w:val="none"/>
          <w:lang w:eastAsia="zh-CN"/>
        </w:rPr>
        <w:drawing>
          <wp:inline distT="0" distB="0" distL="114300" distR="114300">
            <wp:extent cx="5024755" cy="5255895"/>
            <wp:effectExtent l="0" t="0" r="4445" b="1905"/>
            <wp:docPr id="10" name="图片 10" descr="1716453776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716453776449"/>
                    <pic:cNvPicPr>
                      <a:picLocks noChangeAspect="1"/>
                    </pic:cNvPicPr>
                  </pic:nvPicPr>
                  <pic:blipFill>
                    <a:blip r:embed="rId33"/>
                    <a:stretch>
                      <a:fillRect/>
                    </a:stretch>
                  </pic:blipFill>
                  <pic:spPr>
                    <a:xfrm>
                      <a:off x="0" y="0"/>
                      <a:ext cx="5024755" cy="5255895"/>
                    </a:xfrm>
                    <a:prstGeom prst="rect">
                      <a:avLst/>
                    </a:prstGeom>
                  </pic:spPr>
                </pic:pic>
              </a:graphicData>
            </a:graphic>
          </wp:inline>
        </w:drawing>
      </w:r>
    </w:p>
    <w:p>
      <w:pPr>
        <w:pStyle w:val="4"/>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bookmarkStart w:id="24" w:name="_Toc163032418"/>
      <w:r>
        <w:rPr>
          <w:rFonts w:hint="default" w:ascii="Times New Roman" w:hAnsi="Times New Roman" w:eastAsia="宋体" w:cs="Times New Roman"/>
          <w:color w:val="auto"/>
          <w:highlight w:val="none"/>
        </w:rPr>
        <w:t>附图3：平面布置图</w:t>
      </w:r>
      <w:bookmarkEnd w:id="24"/>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6136640</wp:posOffset>
                </wp:positionH>
                <wp:positionV relativeFrom="paragraph">
                  <wp:posOffset>2455545</wp:posOffset>
                </wp:positionV>
                <wp:extent cx="665480" cy="1669415"/>
                <wp:effectExtent l="58420" t="31115" r="76200" b="33020"/>
                <wp:wrapNone/>
                <wp:docPr id="24" name="矩形 24"/>
                <wp:cNvGraphicFramePr/>
                <a:graphic xmlns:a="http://schemas.openxmlformats.org/drawingml/2006/main">
                  <a:graphicData uri="http://schemas.microsoft.com/office/word/2010/wordprocessingShape">
                    <wps:wsp>
                      <wps:cNvSpPr/>
                      <wps:spPr>
                        <a:xfrm rot="21420000">
                          <a:off x="0" y="0"/>
                          <a:ext cx="665480" cy="1669415"/>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pPr>
                              <w:ind w:left="0" w:leftChars="0" w:firstLine="0" w:firstLineChars="0"/>
                              <w:jc w:val="both"/>
                              <w:rPr>
                                <w:rFonts w:hint="default"/>
                                <w:lang w:val="en-US" w:eastAsia="zh-CN"/>
                              </w:rPr>
                            </w:pPr>
                            <w:r>
                              <w:rPr>
                                <w:rFonts w:hint="eastAsia"/>
                                <w:b/>
                                <w:bCs/>
                                <w:color w:val="FFFF00"/>
                                <w:sz w:val="32"/>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办公室</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3.2pt;margin-top:193.35pt;height:131.45pt;width:52.4pt;rotation:-196608f;z-index:251671552;v-text-anchor:middle;mso-width-relative:page;mso-height-relative:page;" filled="f" stroked="t" coordsize="21600,21600" o:gfxdata="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obZhLcAAAADAEAAA8AAAAAAAAAAQAg&#10;AAAAIgAAAGRycy9kb3ducmV2LnhtbFBLAQIUABQAAAAIAIdO4kB8CaSFfAIAAOcEAAAOAAAAAAAA&#10;AAEAIAAAACsBAABkcnMvZTJvRG9jLnhtbFBLBQYAAAAABgAGAFkBAAAZBgAAAAA=&#10;">
                <v:fill on="f" focussize="0,0"/>
                <v:stroke weight="2.25pt" color="#FFFF00 [2404]" miterlimit="8" joinstyle="miter"/>
                <v:imagedata o:title=""/>
                <o:lock v:ext="edit" aspectratio="f"/>
                <v:textbox>
                  <w:txbxContent>
                    <w:p>
                      <w:pPr>
                        <w:ind w:left="0" w:leftChars="0" w:firstLine="0" w:firstLineChars="0"/>
                        <w:jc w:val="both"/>
                        <w:rPr>
                          <w:rFonts w:hint="default"/>
                          <w:lang w:val="en-US" w:eastAsia="zh-CN"/>
                        </w:rPr>
                      </w:pPr>
                      <w:r>
                        <w:rPr>
                          <w:rFonts w:hint="eastAsia"/>
                          <w:b/>
                          <w:bCs/>
                          <w:color w:val="FFFF00"/>
                          <w:sz w:val="32"/>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办公室</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0528" behindDoc="0" locked="0" layoutInCell="1" allowOverlap="1">
                <wp:simplePos x="0" y="0"/>
                <wp:positionH relativeFrom="column">
                  <wp:posOffset>922020</wp:posOffset>
                </wp:positionH>
                <wp:positionV relativeFrom="paragraph">
                  <wp:posOffset>847725</wp:posOffset>
                </wp:positionV>
                <wp:extent cx="5527040" cy="1348105"/>
                <wp:effectExtent l="46355" t="158750" r="46355" b="169545"/>
                <wp:wrapNone/>
                <wp:docPr id="23" name="矩形 23"/>
                <wp:cNvGraphicFramePr/>
                <a:graphic xmlns:a="http://schemas.openxmlformats.org/drawingml/2006/main">
                  <a:graphicData uri="http://schemas.microsoft.com/office/word/2010/wordprocessingShape">
                    <wps:wsp>
                      <wps:cNvSpPr/>
                      <wps:spPr>
                        <a:xfrm rot="21420000">
                          <a:off x="0" y="0"/>
                          <a:ext cx="5527040" cy="1348105"/>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lang w:val="en-US" w:eastAsia="zh-CN"/>
                              </w:rPr>
                            </w:pPr>
                            <w:r>
                              <w:rPr>
                                <w:rFonts w:hint="eastAsia"/>
                                <w:b/>
                                <w:bCs/>
                                <w:color w:val="FFFF00"/>
                                <w:sz w:val="32"/>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生产车间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6pt;margin-top:66.75pt;height:106.15pt;width:435.2pt;rotation:-196608f;z-index:251670528;v-text-anchor:middle;mso-width-relative:page;mso-height-relative:page;" filled="f" stroked="t" coordsize="21600,21600" o:gfxdata="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tWagn3AAAAAwBAAAPAAAAAAAAAAEA&#10;IAAAACIAAABkcnMvZG93bnJldi54bWxQSwECFAAUAAAACACHTuJAFdl1l30CAADoBAAADgAAAAAA&#10;AAABACAAAAArAQAAZHJzL2Uyb0RvYy54bWxQSwUGAAAAAAYABgBZAQAAGgYAAAAA&#10;">
                <v:fill on="f" focussize="0,0"/>
                <v:stroke weight="2.25pt" color="#FFFF00 [2404]" miterlimit="8" joinstyle="miter"/>
                <v:imagedata o:title=""/>
                <o:lock v:ext="edit" aspectratio="f"/>
                <v:textbox>
                  <w:txbxContent>
                    <w:p>
                      <w:pPr>
                        <w:jc w:val="center"/>
                        <w:rPr>
                          <w:rFonts w:hint="default"/>
                          <w:lang w:val="en-US" w:eastAsia="zh-CN"/>
                        </w:rPr>
                      </w:pPr>
                      <w:r>
                        <w:rPr>
                          <w:rFonts w:hint="eastAsia"/>
                          <w:b/>
                          <w:bCs/>
                          <w:color w:val="FFFF00"/>
                          <w:sz w:val="32"/>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生产车间</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700405</wp:posOffset>
                </wp:positionH>
                <wp:positionV relativeFrom="paragraph">
                  <wp:posOffset>407035</wp:posOffset>
                </wp:positionV>
                <wp:extent cx="6235065" cy="4058285"/>
                <wp:effectExtent l="116840" t="175260" r="125095" b="186055"/>
                <wp:wrapNone/>
                <wp:docPr id="22" name="矩形 22"/>
                <wp:cNvGraphicFramePr/>
                <a:graphic xmlns:a="http://schemas.openxmlformats.org/drawingml/2006/main">
                  <a:graphicData uri="http://schemas.microsoft.com/office/word/2010/wordprocessingShape">
                    <wps:wsp>
                      <wps:cNvSpPr/>
                      <wps:spPr>
                        <a:xfrm rot="21420000">
                          <a:off x="0" y="0"/>
                          <a:ext cx="6235065" cy="4058285"/>
                        </a:xfrm>
                        <a:prstGeom prst="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15pt;margin-top:32.05pt;height:319.55pt;width:490.95pt;rotation:-196608f;z-index:251669504;v-text-anchor:middle;mso-width-relative:page;mso-height-relative:page;" filled="f" stroked="t" coordsize="21600,21600" o:gfxdata="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C9Aw+PcAAAACwEAAA8AAAAAAAAAAQAgAAAAIgAA&#10;AGRycy9kb3ducmV2LnhtbFBLAQIUABQAAAAIAIdO4kBfoAz/dgIAAN0EAAAOAAAAAAAAAAEAIAAA&#10;ACsBAABkcnMvZTJvRG9jLnhtbFBLBQYAAAAABgAGAFkBAAATBgAAAAA=&#10;">
                <v:fill on="f" focussize="0,0"/>
                <v:stroke weight="2.25pt" color="#FF0000 [2404]" miterlimit="8" joinstyle="miter"/>
                <v:imagedata o:title=""/>
                <o:lock v:ext="edit" aspectratio="f"/>
              </v:rect>
            </w:pict>
          </mc:Fallback>
        </mc:AlternateContent>
      </w:r>
      <w:r>
        <w:rPr>
          <w:rFonts w:hint="default" w:ascii="Times New Roman" w:hAnsi="Times New Roman" w:eastAsia="宋体" w:cs="Times New Roman"/>
          <w:color w:val="auto"/>
          <w:highlight w:val="none"/>
        </w:rPr>
        <w:drawing>
          <wp:anchor distT="0" distB="0" distL="114300" distR="114300" simplePos="0" relativeHeight="251668480" behindDoc="0" locked="0" layoutInCell="1" allowOverlap="1">
            <wp:simplePos x="0" y="0"/>
            <wp:positionH relativeFrom="column">
              <wp:posOffset>7836535</wp:posOffset>
            </wp:positionH>
            <wp:positionV relativeFrom="paragraph">
              <wp:posOffset>77470</wp:posOffset>
            </wp:positionV>
            <wp:extent cx="567055" cy="624840"/>
            <wp:effectExtent l="0" t="0" r="4445" b="3810"/>
            <wp:wrapNone/>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32"/>
                    <a:stretch>
                      <a:fillRect/>
                    </a:stretch>
                  </pic:blipFill>
                  <pic:spPr>
                    <a:xfrm>
                      <a:off x="0" y="0"/>
                      <a:ext cx="567055" cy="624840"/>
                    </a:xfrm>
                    <a:prstGeom prst="rect">
                      <a:avLst/>
                    </a:prstGeom>
                    <a:noFill/>
                    <a:ln>
                      <a:noFill/>
                    </a:ln>
                  </pic:spPr>
                </pic:pic>
              </a:graphicData>
            </a:graphic>
          </wp:anchor>
        </w:drawing>
      </w:r>
      <w:r>
        <w:rPr>
          <w:rFonts w:hint="default" w:ascii="Times New Roman" w:hAnsi="Times New Roman" w:eastAsia="宋体" w:cs="Times New Roman"/>
          <w:color w:val="auto"/>
          <w:highlight w:val="none"/>
        </w:rPr>
        <w:drawing>
          <wp:inline distT="0" distB="0" distL="114300" distR="114300">
            <wp:extent cx="7860030" cy="5255895"/>
            <wp:effectExtent l="0" t="0" r="7620" b="1905"/>
            <wp:docPr id="21" name="图片 21" descr="1716454017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716454017978"/>
                    <pic:cNvPicPr>
                      <a:picLocks noChangeAspect="1"/>
                    </pic:cNvPicPr>
                  </pic:nvPicPr>
                  <pic:blipFill>
                    <a:blip r:embed="rId34"/>
                    <a:stretch>
                      <a:fillRect/>
                    </a:stretch>
                  </pic:blipFill>
                  <pic:spPr>
                    <a:xfrm>
                      <a:off x="0" y="0"/>
                      <a:ext cx="7860030" cy="5255895"/>
                    </a:xfrm>
                    <a:prstGeom prst="rect">
                      <a:avLst/>
                    </a:prstGeom>
                  </pic:spPr>
                </pic:pic>
              </a:graphicData>
            </a:graphic>
          </wp:inline>
        </w:drawing>
      </w:r>
    </w:p>
    <w:p>
      <w:pPr>
        <w:pStyle w:val="4"/>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bookmarkStart w:id="25" w:name="_Toc163032419"/>
      <w:r>
        <w:rPr>
          <w:rFonts w:hint="default" w:ascii="Times New Roman" w:hAnsi="Times New Roman" w:eastAsia="宋体" w:cs="Times New Roman"/>
          <w:color w:val="auto"/>
          <w:highlight w:val="none"/>
        </w:rPr>
        <w:t>附图4引用TSP监测数据项目与本项目的位置关系图</w:t>
      </w:r>
      <w:bookmarkEnd w:id="25"/>
    </w:p>
    <w:p>
      <w:pPr>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75648" behindDoc="0" locked="0" layoutInCell="1" allowOverlap="1">
                <wp:simplePos x="0" y="0"/>
                <wp:positionH relativeFrom="column">
                  <wp:posOffset>4751070</wp:posOffset>
                </wp:positionH>
                <wp:positionV relativeFrom="paragraph">
                  <wp:posOffset>2275840</wp:posOffset>
                </wp:positionV>
                <wp:extent cx="1148715" cy="276860"/>
                <wp:effectExtent l="6350" t="6350" r="6985" b="231140"/>
                <wp:wrapNone/>
                <wp:docPr id="29" name="矩形标注 29"/>
                <wp:cNvGraphicFramePr/>
                <a:graphic xmlns:a="http://schemas.openxmlformats.org/drawingml/2006/main">
                  <a:graphicData uri="http://schemas.microsoft.com/office/word/2010/wordprocessingShape">
                    <wps:wsp>
                      <wps:cNvSpPr/>
                      <wps:spPr>
                        <a:xfrm>
                          <a:off x="0" y="0"/>
                          <a:ext cx="1148715" cy="276860"/>
                        </a:xfrm>
                        <a:prstGeom prst="wedgeRectCallout">
                          <a:avLst>
                            <a:gd name="adj1" fmla="val -2333"/>
                            <a:gd name="adj2" fmla="val 123853"/>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eastAsiaTheme="minor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4"/>
                                <w:szCs w:val="3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TSP监测</w:t>
                            </w:r>
                            <w:r>
                              <w:rPr>
                                <w:rFonts w:hint="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4.1pt;margin-top:179.2pt;height:21.8pt;width:90.45pt;z-index:251675648;v-text-anchor:middle;mso-width-relative:page;mso-height-relative:page;" filled="f" stroked="t" coordsize="21600,21600" o:gfxdata="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yNwDM2gAAAAsBAAAPAAAAAAAAAAEAIAAAACIAAABkcnMv&#10;ZG93bnJldi54bWxQSwECFAAUAAAACACHTuJAyeZ/26wCAAA8BQAADgAAAAAAAAABACAAAAApAQAA&#10;ZHJzL2Uyb0RvYy54bWxQSwUGAAAAAAYABgBZAQAARwYAAAAA&#10;" adj="10296,37552">
                <v:fill on="f" focussize="0,0"/>
                <v:stroke weight="1pt" color="#FF0000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eastAsiaTheme="minor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4"/>
                          <w:szCs w:val="3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TSP监测</w:t>
                      </w:r>
                      <w:r>
                        <w:rPr>
                          <w:rFonts w:hint="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位置</w:t>
                      </w:r>
                    </w:p>
                  </w:txbxContent>
                </v:textbox>
              </v:shape>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74624" behindDoc="0" locked="0" layoutInCell="1" allowOverlap="1">
                <wp:simplePos x="0" y="0"/>
                <wp:positionH relativeFrom="column">
                  <wp:posOffset>5255260</wp:posOffset>
                </wp:positionH>
                <wp:positionV relativeFrom="paragraph">
                  <wp:posOffset>2759075</wp:posOffset>
                </wp:positionV>
                <wp:extent cx="75565" cy="75565"/>
                <wp:effectExtent l="6350" t="6350" r="13335" b="13335"/>
                <wp:wrapNone/>
                <wp:docPr id="28" name="椭圆 28"/>
                <wp:cNvGraphicFramePr/>
                <a:graphic xmlns:a="http://schemas.openxmlformats.org/drawingml/2006/main">
                  <a:graphicData uri="http://schemas.microsoft.com/office/word/2010/wordprocessingShape">
                    <wps:wsp>
                      <wps:cNvSpPr/>
                      <wps:spPr>
                        <a:xfrm>
                          <a:off x="6398260" y="3880485"/>
                          <a:ext cx="75565" cy="75565"/>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3.8pt;margin-top:217.25pt;height:5.95pt;width:5.95pt;z-index:251674624;v-text-anchor:middle;mso-width-relative:page;mso-height-relative:page;" fillcolor="#FF0000" filled="t" stroked="t" coordsize="21600,21600" o:gfxdata="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LGH6kbaAAAACwEAAA8AAAAAAAAAAQAgAAAA&#10;IgAAAGRycy9kb3ducmV2LnhtbFBLAQIUABQAAAAIAIdO4kCVxalJewIAAAIFAAAOAAAAAAAAAAEA&#10;IAAAACkBAABkcnMvZTJvRG9jLnhtbFBLBQYAAAAABgAGAFkBAAAWBgAAAAA=&#1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73600" behindDoc="0" locked="0" layoutInCell="1" allowOverlap="1">
                <wp:simplePos x="0" y="0"/>
                <wp:positionH relativeFrom="column">
                  <wp:posOffset>2836545</wp:posOffset>
                </wp:positionH>
                <wp:positionV relativeFrom="paragraph">
                  <wp:posOffset>1851025</wp:posOffset>
                </wp:positionV>
                <wp:extent cx="965835" cy="276860"/>
                <wp:effectExtent l="6350" t="6350" r="18415" b="231140"/>
                <wp:wrapNone/>
                <wp:docPr id="27" name="矩形标注 27"/>
                <wp:cNvGraphicFramePr/>
                <a:graphic xmlns:a="http://schemas.openxmlformats.org/drawingml/2006/main">
                  <a:graphicData uri="http://schemas.microsoft.com/office/word/2010/wordprocessingShape">
                    <wps:wsp>
                      <wps:cNvSpPr/>
                      <wps:spPr>
                        <a:xfrm>
                          <a:off x="0" y="0"/>
                          <a:ext cx="965835" cy="276860"/>
                        </a:xfrm>
                        <a:prstGeom prst="wedgeRectCallout">
                          <a:avLst>
                            <a:gd name="adj1" fmla="val -2333"/>
                            <a:gd name="adj2" fmla="val 123853"/>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eastAsiaTheme="minor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3.35pt;margin-top:145.75pt;height:21.8pt;width:76.05pt;z-index:251673600;v-text-anchor:middle;mso-width-relative:page;mso-height-relative:page;" filled="f" stroked="t" coordsize="21600,21600" o:gfxdata="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DrJIW2wAAAAsBAAAPAAAAAAAAAAEAIAAAACIAAABkcnMv&#10;ZG93bnJldi54bWxQSwECFAAUAAAACACHTuJAOVhGUKsCAAA7BQAADgAAAAAAAAABACAAAAAqAQAA&#10;ZHJzL2Uyb0RvYy54bWxQSwUGAAAAAAYABgBZAQAARwYAAAAA&#10;" adj="10296,37552">
                <v:fill on="f" focussize="0,0"/>
                <v:stroke weight="1pt" color="#FF0000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eastAsiaTheme="minor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本项目位置</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3234690</wp:posOffset>
                </wp:positionH>
                <wp:positionV relativeFrom="paragraph">
                  <wp:posOffset>2313305</wp:posOffset>
                </wp:positionV>
                <wp:extent cx="71755" cy="71755"/>
                <wp:effectExtent l="6350" t="6350" r="17145" b="17145"/>
                <wp:wrapNone/>
                <wp:docPr id="26" name="矩形 26"/>
                <wp:cNvGraphicFramePr/>
                <a:graphic xmlns:a="http://schemas.openxmlformats.org/drawingml/2006/main">
                  <a:graphicData uri="http://schemas.microsoft.com/office/word/2010/wordprocessingShape">
                    <wps:wsp>
                      <wps:cNvSpPr/>
                      <wps:spPr>
                        <a:xfrm>
                          <a:off x="3969385" y="3088005"/>
                          <a:ext cx="71755" cy="71755"/>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4.7pt;margin-top:182.15pt;height:5.65pt;width:5.65pt;z-index:251672576;v-text-anchor:middle;mso-width-relative:page;mso-height-relative:page;" fillcolor="#FF0000" filled="t" stroked="t" coordsize="21600,21600" o:gfxdata="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C7fRU3aAAAACwEAAA8AAAAAAAAAAQAgAAAAIgAA&#10;AGRycy9kb3ducmV2LnhtbFBLAQIUABQAAAAIAIdO4kCH0dhPeAIAAP8EAAAOAAAAAAAAAAEAIAAA&#10;ACkBAABkcnMvZTJvRG9jLnhtbFBLBQYAAAAABgAGAFkBAAATBgAAAAA=&#10;">
                <v:fill on="t" focussize="0,0"/>
                <v:stroke weight="1pt" color="#000000 [3213]" miterlimit="8" joinstyle="miter"/>
                <v:imagedata o:title=""/>
                <o:lock v:ext="edit" aspectratio="f"/>
              </v:rect>
            </w:pict>
          </mc:Fallback>
        </mc:AlternateContent>
      </w:r>
      <w:r>
        <w:rPr>
          <w:rFonts w:hint="default" w:ascii="Times New Roman" w:hAnsi="Times New Roman" w:eastAsia="宋体" w:cs="Times New Roman"/>
          <w:color w:val="auto"/>
          <w:highlight w:val="none"/>
          <w:lang w:eastAsia="zh-CN"/>
        </w:rPr>
        <w:drawing>
          <wp:inline distT="0" distB="0" distL="114300" distR="114300">
            <wp:extent cx="6055995" cy="5255895"/>
            <wp:effectExtent l="0" t="0" r="1905" b="1905"/>
            <wp:docPr id="25" name="图片 25" descr="1716454118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716454118041"/>
                    <pic:cNvPicPr>
                      <a:picLocks noChangeAspect="1"/>
                    </pic:cNvPicPr>
                  </pic:nvPicPr>
                  <pic:blipFill>
                    <a:blip r:embed="rId35"/>
                    <a:stretch>
                      <a:fillRect/>
                    </a:stretch>
                  </pic:blipFill>
                  <pic:spPr>
                    <a:xfrm>
                      <a:off x="0" y="0"/>
                      <a:ext cx="6055995" cy="5255895"/>
                    </a:xfrm>
                    <a:prstGeom prst="rect">
                      <a:avLst/>
                    </a:prstGeom>
                  </pic:spPr>
                </pic:pic>
              </a:graphicData>
            </a:graphic>
          </wp:inline>
        </w:drawing>
      </w: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sectPr>
          <w:pgSz w:w="16838" w:h="11906" w:orient="landscape"/>
          <w:pgMar w:top="1440" w:right="1800" w:bottom="1440" w:left="1800" w:header="794" w:footer="850" w:gutter="0"/>
          <w:cols w:space="425" w:num="1"/>
          <w:docGrid w:type="lines" w:linePitch="326" w:charSpace="0"/>
        </w:sectPr>
      </w:pPr>
    </w:p>
    <w:p>
      <w:pPr>
        <w:pageBreakBefore w:val="0"/>
        <w:kinsoku/>
        <w:wordWrap/>
        <w:overflowPunct/>
        <w:topLinePunct w:val="0"/>
        <w:autoSpaceDE/>
        <w:autoSpaceDN/>
        <w:bidi w:val="0"/>
        <w:ind w:left="0" w:leftChars="0" w:firstLine="0" w:firstLineChars="0"/>
        <w:jc w:val="right"/>
        <w:textAlignment w:val="auto"/>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rPr>
        <w:drawing>
          <wp:inline distT="0" distB="0" distL="114300" distR="114300">
            <wp:extent cx="5274310" cy="7253605"/>
            <wp:effectExtent l="0" t="0" r="2540" b="4445"/>
            <wp:docPr id="30" name="图片 30" descr="69487f040313505beb8ac23e34912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69487f040313505beb8ac23e34912d9"/>
                    <pic:cNvPicPr>
                      <a:picLocks noChangeAspect="1"/>
                    </pic:cNvPicPr>
                  </pic:nvPicPr>
                  <pic:blipFill>
                    <a:blip r:embed="rId36"/>
                    <a:stretch>
                      <a:fillRect/>
                    </a:stretch>
                  </pic:blipFill>
                  <pic:spPr>
                    <a:xfrm>
                      <a:off x="0" y="0"/>
                      <a:ext cx="5274310" cy="7253605"/>
                    </a:xfrm>
                    <a:prstGeom prst="rect">
                      <a:avLst/>
                    </a:prstGeom>
                  </pic:spPr>
                </pic:pic>
              </a:graphicData>
            </a:graphic>
          </wp:inline>
        </w:drawing>
      </w:r>
    </w:p>
    <w:p>
      <w:pPr>
        <w:pageBreakBefore w:val="0"/>
        <w:kinsoku/>
        <w:wordWrap/>
        <w:overflowPunct/>
        <w:topLinePunct w:val="0"/>
        <w:autoSpaceDE/>
        <w:autoSpaceDN/>
        <w:bidi w:val="0"/>
        <w:ind w:left="0" w:leftChars="0" w:firstLine="0" w:firstLineChars="0"/>
        <w:jc w:val="right"/>
        <w:textAlignment w:val="auto"/>
        <w:rPr>
          <w:rFonts w:hint="default" w:ascii="Times New Roman" w:hAnsi="Times New Roman" w:eastAsia="宋体" w:cs="Times New Roman"/>
          <w:b/>
          <w:color w:val="auto"/>
          <w:sz w:val="28"/>
          <w:szCs w:val="28"/>
          <w:highlight w:val="none"/>
        </w:rPr>
      </w:pPr>
    </w:p>
    <w:p>
      <w:pPr>
        <w:pageBreakBefore w:val="0"/>
        <w:kinsoku/>
        <w:wordWrap/>
        <w:overflowPunct/>
        <w:topLinePunct w:val="0"/>
        <w:autoSpaceDE/>
        <w:autoSpaceDN/>
        <w:bidi w:val="0"/>
        <w:ind w:left="0" w:leftChars="0" w:firstLine="0" w:firstLineChars="0"/>
        <w:jc w:val="right"/>
        <w:textAlignment w:val="auto"/>
        <w:rPr>
          <w:rFonts w:hint="default" w:ascii="Times New Roman" w:hAnsi="Times New Roman" w:eastAsia="宋体" w:cs="Times New Roman"/>
          <w:b/>
          <w:color w:val="auto"/>
          <w:sz w:val="28"/>
          <w:szCs w:val="28"/>
          <w:highlight w:val="none"/>
        </w:rPr>
      </w:pP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rPr>
        <w:sectPr>
          <w:pgSz w:w="11906" w:h="16838"/>
          <w:pgMar w:top="1440" w:right="1800" w:bottom="1440" w:left="1800" w:header="851" w:footer="992" w:gutter="0"/>
          <w:cols w:space="425" w:num="1"/>
          <w:docGrid w:type="lines" w:linePitch="326" w:charSpace="0"/>
        </w:sectPr>
      </w:pPr>
    </w:p>
    <w:p>
      <w:pPr>
        <w:pStyle w:val="4"/>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rPr>
      </w:pPr>
      <w:bookmarkStart w:id="26" w:name="_Toc163032421"/>
      <w:r>
        <w:rPr>
          <w:rFonts w:hint="default" w:ascii="Times New Roman" w:hAnsi="Times New Roman" w:eastAsia="宋体" w:cs="Times New Roman"/>
          <w:snapToGrid w:val="0"/>
          <w:color w:val="auto"/>
          <w:highlight w:val="none"/>
        </w:rPr>
        <w:t>附件2：备案文件</w:t>
      </w:r>
      <w:bookmarkEnd w:id="26"/>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5400040" cy="7640955"/>
            <wp:effectExtent l="0" t="0" r="10160" b="17145"/>
            <wp:docPr id="1" name="图片 1" descr="34bda5eedc8834ec92e0b1581049d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4bda5eedc8834ec92e0b1581049dfb"/>
                    <pic:cNvPicPr>
                      <a:picLocks noChangeAspect="1"/>
                    </pic:cNvPicPr>
                  </pic:nvPicPr>
                  <pic:blipFill>
                    <a:blip r:embed="rId37"/>
                    <a:stretch>
                      <a:fillRect/>
                    </a:stretch>
                  </pic:blipFill>
                  <pic:spPr>
                    <a:xfrm>
                      <a:off x="0" y="0"/>
                      <a:ext cx="5400040" cy="7640955"/>
                    </a:xfrm>
                    <a:prstGeom prst="rect">
                      <a:avLst/>
                    </a:prstGeom>
                  </pic:spPr>
                </pic:pic>
              </a:graphicData>
            </a:graphic>
          </wp:inline>
        </w:drawing>
      </w: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p>
    <w:p>
      <w:pPr>
        <w:pStyle w:val="4"/>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附件3：饮用水水源保护区文件</w:t>
      </w: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5260340" cy="7439660"/>
            <wp:effectExtent l="0" t="0" r="16510" b="8890"/>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38"/>
                    <a:stretch>
                      <a:fillRect/>
                    </a:stretch>
                  </pic:blipFill>
                  <pic:spPr>
                    <a:xfrm>
                      <a:off x="0" y="0"/>
                      <a:ext cx="5260340" cy="7439660"/>
                    </a:xfrm>
                    <a:prstGeom prst="rect">
                      <a:avLst/>
                    </a:prstGeom>
                    <a:noFill/>
                    <a:ln>
                      <a:noFill/>
                    </a:ln>
                  </pic:spPr>
                </pic:pic>
              </a:graphicData>
            </a:graphic>
          </wp:inline>
        </w:drawing>
      </w: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5260340" cy="7439660"/>
            <wp:effectExtent l="0" t="0" r="16510" b="8890"/>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39"/>
                    <a:stretch>
                      <a:fillRect/>
                    </a:stretch>
                  </pic:blipFill>
                  <pic:spPr>
                    <a:xfrm>
                      <a:off x="0" y="0"/>
                      <a:ext cx="5260340" cy="7439660"/>
                    </a:xfrm>
                    <a:prstGeom prst="rect">
                      <a:avLst/>
                    </a:prstGeom>
                    <a:noFill/>
                    <a:ln>
                      <a:noFill/>
                    </a:ln>
                  </pic:spPr>
                </pic:pic>
              </a:graphicData>
            </a:graphic>
          </wp:inline>
        </w:drawing>
      </w: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lang w:eastAsia="zh-CN"/>
        </w:rPr>
      </w:pP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lang w:eastAsia="zh-CN"/>
        </w:rPr>
      </w:pP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lang w:eastAsia="zh-CN"/>
        </w:rPr>
      </w:pP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lang w:eastAsia="zh-CN"/>
        </w:rPr>
      </w:pP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drawing>
          <wp:inline distT="0" distB="0" distL="114300" distR="114300">
            <wp:extent cx="5260340" cy="7439660"/>
            <wp:effectExtent l="0" t="0" r="16510" b="889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40"/>
                    <a:stretch>
                      <a:fillRect/>
                    </a:stretch>
                  </pic:blipFill>
                  <pic:spPr>
                    <a:xfrm>
                      <a:off x="0" y="0"/>
                      <a:ext cx="5260340" cy="7439660"/>
                    </a:xfrm>
                    <a:prstGeom prst="rect">
                      <a:avLst/>
                    </a:prstGeom>
                    <a:noFill/>
                    <a:ln>
                      <a:noFill/>
                    </a:ln>
                  </pic:spPr>
                </pic:pic>
              </a:graphicData>
            </a:graphic>
          </wp:inline>
        </w:drawing>
      </w: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lang w:eastAsia="zh-CN"/>
        </w:rPr>
      </w:pP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lang w:eastAsia="zh-CN"/>
        </w:rPr>
      </w:pP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p>
    <w:p>
      <w:pPr>
        <w:pStyle w:val="4"/>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附件</w:t>
      </w:r>
      <w:r>
        <w:rPr>
          <w:rFonts w:hint="eastAsia"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：园区规划环评说明</w:t>
      </w: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drawing>
          <wp:inline distT="0" distB="0" distL="0" distR="0">
            <wp:extent cx="5400040" cy="7490460"/>
            <wp:effectExtent l="0" t="0" r="10160" b="15240"/>
            <wp:docPr id="18810346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34663" name="图片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400040" cy="7490460"/>
                    </a:xfrm>
                    <a:prstGeom prst="rect">
                      <a:avLst/>
                    </a:prstGeom>
                    <a:noFill/>
                    <a:ln>
                      <a:noFill/>
                    </a:ln>
                  </pic:spPr>
                </pic:pic>
              </a:graphicData>
            </a:graphic>
          </wp:inline>
        </w:drawing>
      </w:r>
      <w:bookmarkStart w:id="27" w:name="_GoBack"/>
      <w:bookmarkEnd w:id="27"/>
    </w:p>
    <w:p>
      <w:pPr>
        <w:rPr>
          <w:rFonts w:hint="default" w:ascii="Times New Roman" w:hAnsi="Times New Roman" w:eastAsia="宋体" w:cs="Times New Roman"/>
          <w:snapToGrid w:val="0"/>
          <w:color w:val="auto"/>
          <w:highlight w:val="none"/>
        </w:rPr>
      </w:pPr>
    </w:p>
    <w:p>
      <w:pPr>
        <w:rPr>
          <w:rFonts w:hint="default" w:ascii="Times New Roman" w:hAnsi="Times New Roman" w:eastAsia="宋体" w:cs="Times New Roman"/>
          <w:snapToGrid w:val="0"/>
          <w:color w:val="auto"/>
          <w:highlight w:val="none"/>
        </w:rPr>
      </w:pPr>
    </w:p>
    <w:p>
      <w:pPr>
        <w:pStyle w:val="4"/>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附件</w:t>
      </w:r>
      <w:r>
        <w:rPr>
          <w:rFonts w:hint="default" w:ascii="Times New Roman" w:hAnsi="Times New Roman" w:eastAsia="宋体"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天然气组分分析报告</w:t>
      </w:r>
    </w:p>
    <w:p>
      <w:pPr>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5200650" cy="7477125"/>
            <wp:effectExtent l="0" t="0" r="0" b="9525"/>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pic:cNvPicPr>
                      <a:picLocks noChangeAspect="1"/>
                    </pic:cNvPicPr>
                  </pic:nvPicPr>
                  <pic:blipFill>
                    <a:blip r:embed="rId42"/>
                    <a:stretch>
                      <a:fillRect/>
                    </a:stretch>
                  </pic:blipFill>
                  <pic:spPr>
                    <a:xfrm>
                      <a:off x="0" y="0"/>
                      <a:ext cx="5200650" cy="7477125"/>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Heiti SC Light">
    <w:altName w:val="Calibri"/>
    <w:panose1 w:val="00000000000000000000"/>
    <w:charset w:val="50"/>
    <w:family w:val="auto"/>
    <w:pitch w:val="default"/>
    <w:sig w:usb0="00000000" w:usb1="00000000" w:usb2="00000000" w:usb3="00000000" w:csb0="00040001" w:csb1="00000000"/>
  </w:font>
  <w:font w:name="等线">
    <w:panose1 w:val="02010600030101010101"/>
    <w:charset w:val="86"/>
    <w:family w:val="auto"/>
    <w:pitch w:val="default"/>
    <w:sig w:usb0="A00002BF" w:usb1="38CF7CFA" w:usb2="00000016" w:usb3="00000000" w:csb0="0004000F"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40829519"/>
    </w:sdtPr>
    <w:sdtContent>
      <w:p>
        <w:pPr>
          <w:pStyle w:val="20"/>
          <w:ind w:firstLine="360"/>
          <w:jc w:val="center"/>
        </w:pPr>
        <w:r>
          <w:fldChar w:fldCharType="begin"/>
        </w:r>
        <w:r>
          <w:instrText xml:space="preserve">PAGE   \* MERGEFORMAT</w:instrText>
        </w:r>
        <w:r>
          <w:fldChar w:fldCharType="separate"/>
        </w:r>
        <w:r>
          <w:rPr>
            <w:lang w:val="zh-CN"/>
          </w:rPr>
          <w:t>58</w:t>
        </w:r>
        <w:r>
          <w:rPr>
            <w:lang w:val="zh-CN"/>
          </w:rPr>
          <w:fldChar w:fldCharType="end"/>
        </w:r>
      </w:p>
    </w:sdtContent>
  </w:sdt>
  <w:p>
    <w:pPr>
      <w:pStyle w:val="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78641253"/>
    </w:sdtPr>
    <w:sdtContent>
      <w:p>
        <w:pPr>
          <w:pStyle w:val="20"/>
          <w:ind w:firstLine="360"/>
          <w:jc w:val="center"/>
        </w:pPr>
        <w:r>
          <w:fldChar w:fldCharType="begin"/>
        </w:r>
        <w:r>
          <w:instrText xml:space="preserve">PAGE   \* MERGEFORMAT</w:instrText>
        </w:r>
        <w:r>
          <w:fldChar w:fldCharType="separate"/>
        </w:r>
        <w:r>
          <w:rPr>
            <w:lang w:val="zh-CN"/>
          </w:rPr>
          <w:t>2</w:t>
        </w:r>
        <w:r>
          <w:rPr>
            <w:lang w:val="zh-CN"/>
          </w:rPr>
          <w:fldChar w:fldCharType="end"/>
        </w:r>
      </w:p>
    </w:sdtContent>
  </w:sdt>
  <w:p>
    <w:pPr>
      <w:pStyle w:val="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40829519"/>
    </w:sdtPr>
    <w:sdtContent>
      <w:p>
        <w:pPr>
          <w:pStyle w:val="20"/>
          <w:ind w:firstLine="360"/>
          <w:jc w:val="center"/>
        </w:pPr>
        <w:r>
          <w:fldChar w:fldCharType="begin"/>
        </w:r>
        <w:r>
          <w:instrText xml:space="preserve">PAGE   \* MERGEFORMAT</w:instrText>
        </w:r>
        <w:r>
          <w:fldChar w:fldCharType="separate"/>
        </w:r>
        <w:r>
          <w:rPr>
            <w:lang w:val="zh-CN"/>
          </w:rPr>
          <w:t>58</w:t>
        </w:r>
        <w:r>
          <w:rPr>
            <w:lang w:val="zh-CN"/>
          </w:rPr>
          <w:fldChar w:fldCharType="end"/>
        </w:r>
      </w:p>
    </w:sdtContent>
  </w:sdt>
  <w:p>
    <w:pPr>
      <w:pStyle w:val="20"/>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spacing w:line="240" w:lineRule="auto"/>
      <w:ind w:firstLine="0" w:firstLineChars="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B59792"/>
    <w:multiLevelType w:val="singleLevel"/>
    <w:tmpl w:val="C9B59792"/>
    <w:lvl w:ilvl="0" w:tentative="0">
      <w:start w:val="1"/>
      <w:numFmt w:val="bullet"/>
      <w:pStyle w:val="16"/>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A3ZTg5MTU0MDZiYTZmNDA3Y2E1NzA1YzFmNDBhODAifQ=="/>
  </w:docVars>
  <w:rsids>
    <w:rsidRoot w:val="00252C8D"/>
    <w:rsid w:val="00000741"/>
    <w:rsid w:val="00000A9A"/>
    <w:rsid w:val="00002B44"/>
    <w:rsid w:val="00005DEA"/>
    <w:rsid w:val="00007BA4"/>
    <w:rsid w:val="00007BDE"/>
    <w:rsid w:val="00007E1B"/>
    <w:rsid w:val="00007F98"/>
    <w:rsid w:val="000105B5"/>
    <w:rsid w:val="00011290"/>
    <w:rsid w:val="00016A35"/>
    <w:rsid w:val="00017533"/>
    <w:rsid w:val="00017C9A"/>
    <w:rsid w:val="0002128A"/>
    <w:rsid w:val="00021F58"/>
    <w:rsid w:val="000224C6"/>
    <w:rsid w:val="00024D1A"/>
    <w:rsid w:val="0002590E"/>
    <w:rsid w:val="000260A9"/>
    <w:rsid w:val="000268C1"/>
    <w:rsid w:val="000272F4"/>
    <w:rsid w:val="0003187C"/>
    <w:rsid w:val="0003357C"/>
    <w:rsid w:val="00042EB9"/>
    <w:rsid w:val="00044F38"/>
    <w:rsid w:val="00045BF9"/>
    <w:rsid w:val="00050370"/>
    <w:rsid w:val="00050499"/>
    <w:rsid w:val="000529EA"/>
    <w:rsid w:val="00053BC9"/>
    <w:rsid w:val="00054C05"/>
    <w:rsid w:val="000563D7"/>
    <w:rsid w:val="00056A8F"/>
    <w:rsid w:val="00056E0B"/>
    <w:rsid w:val="00060CD0"/>
    <w:rsid w:val="000636FC"/>
    <w:rsid w:val="0006455A"/>
    <w:rsid w:val="000646CA"/>
    <w:rsid w:val="0006547D"/>
    <w:rsid w:val="000662EA"/>
    <w:rsid w:val="000669B4"/>
    <w:rsid w:val="000669EF"/>
    <w:rsid w:val="00070E76"/>
    <w:rsid w:val="000712BF"/>
    <w:rsid w:val="00072A17"/>
    <w:rsid w:val="00073CBE"/>
    <w:rsid w:val="000748DC"/>
    <w:rsid w:val="00075CFA"/>
    <w:rsid w:val="000761C2"/>
    <w:rsid w:val="000777AE"/>
    <w:rsid w:val="00077D7A"/>
    <w:rsid w:val="00082251"/>
    <w:rsid w:val="00087D33"/>
    <w:rsid w:val="00092F24"/>
    <w:rsid w:val="000941FE"/>
    <w:rsid w:val="00094469"/>
    <w:rsid w:val="000963B5"/>
    <w:rsid w:val="0009695D"/>
    <w:rsid w:val="00097F73"/>
    <w:rsid w:val="000A0623"/>
    <w:rsid w:val="000A1638"/>
    <w:rsid w:val="000A4706"/>
    <w:rsid w:val="000A71F0"/>
    <w:rsid w:val="000A75EB"/>
    <w:rsid w:val="000B0179"/>
    <w:rsid w:val="000B35ED"/>
    <w:rsid w:val="000B3A4A"/>
    <w:rsid w:val="000B4216"/>
    <w:rsid w:val="000B4BC7"/>
    <w:rsid w:val="000B7640"/>
    <w:rsid w:val="000B7CE4"/>
    <w:rsid w:val="000C127B"/>
    <w:rsid w:val="000C1292"/>
    <w:rsid w:val="000C1406"/>
    <w:rsid w:val="000C2254"/>
    <w:rsid w:val="000C316A"/>
    <w:rsid w:val="000C479D"/>
    <w:rsid w:val="000C4CEC"/>
    <w:rsid w:val="000C5940"/>
    <w:rsid w:val="000C6471"/>
    <w:rsid w:val="000C77C2"/>
    <w:rsid w:val="000C7A73"/>
    <w:rsid w:val="000C7E95"/>
    <w:rsid w:val="000D2FB6"/>
    <w:rsid w:val="000D390D"/>
    <w:rsid w:val="000D3E59"/>
    <w:rsid w:val="000D4318"/>
    <w:rsid w:val="000D4CDA"/>
    <w:rsid w:val="000D4DDB"/>
    <w:rsid w:val="000D6371"/>
    <w:rsid w:val="000E414E"/>
    <w:rsid w:val="000E69CB"/>
    <w:rsid w:val="000E73B6"/>
    <w:rsid w:val="000E7684"/>
    <w:rsid w:val="000F101F"/>
    <w:rsid w:val="000F1E7D"/>
    <w:rsid w:val="000F2F45"/>
    <w:rsid w:val="000F37AF"/>
    <w:rsid w:val="000F5075"/>
    <w:rsid w:val="000F68FB"/>
    <w:rsid w:val="001010F4"/>
    <w:rsid w:val="00101527"/>
    <w:rsid w:val="00101FB5"/>
    <w:rsid w:val="00102944"/>
    <w:rsid w:val="00103C44"/>
    <w:rsid w:val="0010685B"/>
    <w:rsid w:val="00113412"/>
    <w:rsid w:val="001146C8"/>
    <w:rsid w:val="001154CB"/>
    <w:rsid w:val="001164DA"/>
    <w:rsid w:val="00116B37"/>
    <w:rsid w:val="001171B9"/>
    <w:rsid w:val="00117799"/>
    <w:rsid w:val="00117A43"/>
    <w:rsid w:val="00117EC0"/>
    <w:rsid w:val="0012000A"/>
    <w:rsid w:val="00120BAF"/>
    <w:rsid w:val="00120E58"/>
    <w:rsid w:val="00122327"/>
    <w:rsid w:val="001223CF"/>
    <w:rsid w:val="00122ABB"/>
    <w:rsid w:val="001230C3"/>
    <w:rsid w:val="001240E7"/>
    <w:rsid w:val="00124B13"/>
    <w:rsid w:val="00125563"/>
    <w:rsid w:val="0013280F"/>
    <w:rsid w:val="00132E8D"/>
    <w:rsid w:val="001330C8"/>
    <w:rsid w:val="00133BB7"/>
    <w:rsid w:val="001353D8"/>
    <w:rsid w:val="001379B0"/>
    <w:rsid w:val="00140C7C"/>
    <w:rsid w:val="001410A2"/>
    <w:rsid w:val="00141FFC"/>
    <w:rsid w:val="00142788"/>
    <w:rsid w:val="00145303"/>
    <w:rsid w:val="00146AB1"/>
    <w:rsid w:val="00147494"/>
    <w:rsid w:val="00147941"/>
    <w:rsid w:val="00150A1D"/>
    <w:rsid w:val="00152E75"/>
    <w:rsid w:val="0015306A"/>
    <w:rsid w:val="001542C9"/>
    <w:rsid w:val="001557A9"/>
    <w:rsid w:val="00155C6F"/>
    <w:rsid w:val="00161ED4"/>
    <w:rsid w:val="00162013"/>
    <w:rsid w:val="00165BBC"/>
    <w:rsid w:val="00167601"/>
    <w:rsid w:val="00167C85"/>
    <w:rsid w:val="00171003"/>
    <w:rsid w:val="00171473"/>
    <w:rsid w:val="00173D60"/>
    <w:rsid w:val="00174517"/>
    <w:rsid w:val="00174E39"/>
    <w:rsid w:val="001767A6"/>
    <w:rsid w:val="001767E3"/>
    <w:rsid w:val="0017729A"/>
    <w:rsid w:val="0018059B"/>
    <w:rsid w:val="001809F9"/>
    <w:rsid w:val="001834FA"/>
    <w:rsid w:val="0018402A"/>
    <w:rsid w:val="001861A5"/>
    <w:rsid w:val="00186AEC"/>
    <w:rsid w:val="00190230"/>
    <w:rsid w:val="001925C0"/>
    <w:rsid w:val="00192FC1"/>
    <w:rsid w:val="0019395C"/>
    <w:rsid w:val="00193B8D"/>
    <w:rsid w:val="001954D3"/>
    <w:rsid w:val="00195E16"/>
    <w:rsid w:val="00195FBF"/>
    <w:rsid w:val="00196309"/>
    <w:rsid w:val="00196A1F"/>
    <w:rsid w:val="001A31D6"/>
    <w:rsid w:val="001A5365"/>
    <w:rsid w:val="001A6152"/>
    <w:rsid w:val="001A6162"/>
    <w:rsid w:val="001A6D71"/>
    <w:rsid w:val="001B2F70"/>
    <w:rsid w:val="001B3CF2"/>
    <w:rsid w:val="001B47BE"/>
    <w:rsid w:val="001B57D1"/>
    <w:rsid w:val="001B6643"/>
    <w:rsid w:val="001C28A6"/>
    <w:rsid w:val="001C50B1"/>
    <w:rsid w:val="001C7A56"/>
    <w:rsid w:val="001D18B9"/>
    <w:rsid w:val="001D1BB8"/>
    <w:rsid w:val="001D37B9"/>
    <w:rsid w:val="001D5084"/>
    <w:rsid w:val="001D5F11"/>
    <w:rsid w:val="001D6614"/>
    <w:rsid w:val="001D7915"/>
    <w:rsid w:val="001E0F51"/>
    <w:rsid w:val="001E1982"/>
    <w:rsid w:val="001E314D"/>
    <w:rsid w:val="001E4786"/>
    <w:rsid w:val="001E5F09"/>
    <w:rsid w:val="001E6560"/>
    <w:rsid w:val="001F0015"/>
    <w:rsid w:val="001F0468"/>
    <w:rsid w:val="001F0A43"/>
    <w:rsid w:val="001F0E6A"/>
    <w:rsid w:val="001F0E70"/>
    <w:rsid w:val="001F1040"/>
    <w:rsid w:val="001F1221"/>
    <w:rsid w:val="001F2449"/>
    <w:rsid w:val="001F524A"/>
    <w:rsid w:val="001F6671"/>
    <w:rsid w:val="00200281"/>
    <w:rsid w:val="00201103"/>
    <w:rsid w:val="00202ACD"/>
    <w:rsid w:val="002038D0"/>
    <w:rsid w:val="00203A16"/>
    <w:rsid w:val="00204394"/>
    <w:rsid w:val="00204AAF"/>
    <w:rsid w:val="002108E5"/>
    <w:rsid w:val="0021180B"/>
    <w:rsid w:val="00212DE0"/>
    <w:rsid w:val="0021420D"/>
    <w:rsid w:val="002151C7"/>
    <w:rsid w:val="00220EF4"/>
    <w:rsid w:val="0022250F"/>
    <w:rsid w:val="00223EF9"/>
    <w:rsid w:val="00227E0C"/>
    <w:rsid w:val="002311C9"/>
    <w:rsid w:val="002335C6"/>
    <w:rsid w:val="00233E8F"/>
    <w:rsid w:val="00234698"/>
    <w:rsid w:val="00235C83"/>
    <w:rsid w:val="002360D1"/>
    <w:rsid w:val="0023638E"/>
    <w:rsid w:val="00236861"/>
    <w:rsid w:val="00237F38"/>
    <w:rsid w:val="00240A80"/>
    <w:rsid w:val="00240DAA"/>
    <w:rsid w:val="002419B9"/>
    <w:rsid w:val="00244090"/>
    <w:rsid w:val="002441E2"/>
    <w:rsid w:val="00246EAC"/>
    <w:rsid w:val="00247D15"/>
    <w:rsid w:val="002505C5"/>
    <w:rsid w:val="00252515"/>
    <w:rsid w:val="00252C8D"/>
    <w:rsid w:val="0025638C"/>
    <w:rsid w:val="00256C01"/>
    <w:rsid w:val="002576BE"/>
    <w:rsid w:val="00257AE5"/>
    <w:rsid w:val="00262A62"/>
    <w:rsid w:val="00263EB6"/>
    <w:rsid w:val="002644DF"/>
    <w:rsid w:val="00266051"/>
    <w:rsid w:val="00270669"/>
    <w:rsid w:val="00270AC3"/>
    <w:rsid w:val="0027157C"/>
    <w:rsid w:val="00272048"/>
    <w:rsid w:val="00273869"/>
    <w:rsid w:val="002744BD"/>
    <w:rsid w:val="002744CF"/>
    <w:rsid w:val="00275BF9"/>
    <w:rsid w:val="00281603"/>
    <w:rsid w:val="00283F94"/>
    <w:rsid w:val="00290B18"/>
    <w:rsid w:val="00291E8F"/>
    <w:rsid w:val="00292639"/>
    <w:rsid w:val="00297C36"/>
    <w:rsid w:val="002A2507"/>
    <w:rsid w:val="002A5365"/>
    <w:rsid w:val="002A5D91"/>
    <w:rsid w:val="002A61AB"/>
    <w:rsid w:val="002A627C"/>
    <w:rsid w:val="002B2A69"/>
    <w:rsid w:val="002B3935"/>
    <w:rsid w:val="002C06ED"/>
    <w:rsid w:val="002C1552"/>
    <w:rsid w:val="002C18DD"/>
    <w:rsid w:val="002C2DDD"/>
    <w:rsid w:val="002C33BE"/>
    <w:rsid w:val="002C534C"/>
    <w:rsid w:val="002C61EF"/>
    <w:rsid w:val="002C7BE1"/>
    <w:rsid w:val="002D02B6"/>
    <w:rsid w:val="002D097E"/>
    <w:rsid w:val="002D0AFB"/>
    <w:rsid w:val="002D18F3"/>
    <w:rsid w:val="002D239B"/>
    <w:rsid w:val="002D29E4"/>
    <w:rsid w:val="002D5579"/>
    <w:rsid w:val="002E098B"/>
    <w:rsid w:val="002E13C4"/>
    <w:rsid w:val="002E1C55"/>
    <w:rsid w:val="002E23E1"/>
    <w:rsid w:val="002E3219"/>
    <w:rsid w:val="002E57DF"/>
    <w:rsid w:val="002E5896"/>
    <w:rsid w:val="002E60F6"/>
    <w:rsid w:val="002E6A72"/>
    <w:rsid w:val="002F1874"/>
    <w:rsid w:val="002F25E1"/>
    <w:rsid w:val="002F2973"/>
    <w:rsid w:val="002F4024"/>
    <w:rsid w:val="002F4700"/>
    <w:rsid w:val="002F64F0"/>
    <w:rsid w:val="003002F9"/>
    <w:rsid w:val="003025AC"/>
    <w:rsid w:val="0030262B"/>
    <w:rsid w:val="00302BBC"/>
    <w:rsid w:val="00302C95"/>
    <w:rsid w:val="00303F9D"/>
    <w:rsid w:val="00304C0A"/>
    <w:rsid w:val="003062FC"/>
    <w:rsid w:val="00306BAD"/>
    <w:rsid w:val="00307660"/>
    <w:rsid w:val="00307EF9"/>
    <w:rsid w:val="00310089"/>
    <w:rsid w:val="00311299"/>
    <w:rsid w:val="003117EA"/>
    <w:rsid w:val="00312180"/>
    <w:rsid w:val="003128EB"/>
    <w:rsid w:val="00312B0B"/>
    <w:rsid w:val="003159F1"/>
    <w:rsid w:val="00316843"/>
    <w:rsid w:val="0031774B"/>
    <w:rsid w:val="0031784B"/>
    <w:rsid w:val="0032082B"/>
    <w:rsid w:val="00322CDA"/>
    <w:rsid w:val="0032308A"/>
    <w:rsid w:val="00323283"/>
    <w:rsid w:val="00324253"/>
    <w:rsid w:val="003265E6"/>
    <w:rsid w:val="00326CEC"/>
    <w:rsid w:val="003276FE"/>
    <w:rsid w:val="00330DC3"/>
    <w:rsid w:val="00332498"/>
    <w:rsid w:val="0033353C"/>
    <w:rsid w:val="003346AD"/>
    <w:rsid w:val="003354D1"/>
    <w:rsid w:val="00337020"/>
    <w:rsid w:val="003421BA"/>
    <w:rsid w:val="0034298E"/>
    <w:rsid w:val="003507E8"/>
    <w:rsid w:val="00353AEA"/>
    <w:rsid w:val="003555E2"/>
    <w:rsid w:val="0035570B"/>
    <w:rsid w:val="00355849"/>
    <w:rsid w:val="00360D18"/>
    <w:rsid w:val="00360E5B"/>
    <w:rsid w:val="00361B9E"/>
    <w:rsid w:val="003631FD"/>
    <w:rsid w:val="00363324"/>
    <w:rsid w:val="00367F58"/>
    <w:rsid w:val="0037118B"/>
    <w:rsid w:val="00372B4B"/>
    <w:rsid w:val="00374586"/>
    <w:rsid w:val="00374EEB"/>
    <w:rsid w:val="0037662F"/>
    <w:rsid w:val="00380C67"/>
    <w:rsid w:val="00381A9F"/>
    <w:rsid w:val="00381FCE"/>
    <w:rsid w:val="00382633"/>
    <w:rsid w:val="003854EF"/>
    <w:rsid w:val="00385522"/>
    <w:rsid w:val="00386019"/>
    <w:rsid w:val="00386E5A"/>
    <w:rsid w:val="00386F2C"/>
    <w:rsid w:val="003914DA"/>
    <w:rsid w:val="00391871"/>
    <w:rsid w:val="0039287E"/>
    <w:rsid w:val="003936D1"/>
    <w:rsid w:val="00393C4B"/>
    <w:rsid w:val="00394A90"/>
    <w:rsid w:val="003956A3"/>
    <w:rsid w:val="00396EFB"/>
    <w:rsid w:val="003970CD"/>
    <w:rsid w:val="003975A5"/>
    <w:rsid w:val="003A03D9"/>
    <w:rsid w:val="003A6164"/>
    <w:rsid w:val="003A718D"/>
    <w:rsid w:val="003A7F72"/>
    <w:rsid w:val="003B2662"/>
    <w:rsid w:val="003B2C77"/>
    <w:rsid w:val="003B4237"/>
    <w:rsid w:val="003B6D12"/>
    <w:rsid w:val="003B6FF0"/>
    <w:rsid w:val="003C0695"/>
    <w:rsid w:val="003C1E06"/>
    <w:rsid w:val="003C31C6"/>
    <w:rsid w:val="003C392A"/>
    <w:rsid w:val="003C4A95"/>
    <w:rsid w:val="003C4F4E"/>
    <w:rsid w:val="003C622A"/>
    <w:rsid w:val="003C7E46"/>
    <w:rsid w:val="003D07CA"/>
    <w:rsid w:val="003D19EF"/>
    <w:rsid w:val="003D3A4D"/>
    <w:rsid w:val="003D43C5"/>
    <w:rsid w:val="003D59F7"/>
    <w:rsid w:val="003D7023"/>
    <w:rsid w:val="003E0445"/>
    <w:rsid w:val="003E0CF1"/>
    <w:rsid w:val="003E159B"/>
    <w:rsid w:val="003E5002"/>
    <w:rsid w:val="003F0F40"/>
    <w:rsid w:val="003F2176"/>
    <w:rsid w:val="003F25AD"/>
    <w:rsid w:val="003F3065"/>
    <w:rsid w:val="003F5613"/>
    <w:rsid w:val="003F6892"/>
    <w:rsid w:val="00400348"/>
    <w:rsid w:val="004004A3"/>
    <w:rsid w:val="00401C3E"/>
    <w:rsid w:val="00403618"/>
    <w:rsid w:val="004040A2"/>
    <w:rsid w:val="00405E42"/>
    <w:rsid w:val="00406D35"/>
    <w:rsid w:val="00410220"/>
    <w:rsid w:val="00412276"/>
    <w:rsid w:val="004125B0"/>
    <w:rsid w:val="0041444D"/>
    <w:rsid w:val="00415B61"/>
    <w:rsid w:val="00415C77"/>
    <w:rsid w:val="00416708"/>
    <w:rsid w:val="00417D52"/>
    <w:rsid w:val="004203B4"/>
    <w:rsid w:val="00420844"/>
    <w:rsid w:val="004220D2"/>
    <w:rsid w:val="004224CB"/>
    <w:rsid w:val="00423209"/>
    <w:rsid w:val="00423FD5"/>
    <w:rsid w:val="00425430"/>
    <w:rsid w:val="00425AAB"/>
    <w:rsid w:val="00425EA4"/>
    <w:rsid w:val="00426DB5"/>
    <w:rsid w:val="00430921"/>
    <w:rsid w:val="0043223A"/>
    <w:rsid w:val="00432603"/>
    <w:rsid w:val="004328DB"/>
    <w:rsid w:val="00433201"/>
    <w:rsid w:val="004341A1"/>
    <w:rsid w:val="00434A42"/>
    <w:rsid w:val="004356AA"/>
    <w:rsid w:val="00436E0A"/>
    <w:rsid w:val="00441C10"/>
    <w:rsid w:val="00443354"/>
    <w:rsid w:val="00445407"/>
    <w:rsid w:val="004460CA"/>
    <w:rsid w:val="00450117"/>
    <w:rsid w:val="00453405"/>
    <w:rsid w:val="00455887"/>
    <w:rsid w:val="004558C2"/>
    <w:rsid w:val="00456786"/>
    <w:rsid w:val="0046046B"/>
    <w:rsid w:val="00463791"/>
    <w:rsid w:val="00467447"/>
    <w:rsid w:val="004677B9"/>
    <w:rsid w:val="004725EF"/>
    <w:rsid w:val="00476268"/>
    <w:rsid w:val="00481630"/>
    <w:rsid w:val="004829C9"/>
    <w:rsid w:val="0048390B"/>
    <w:rsid w:val="0048414F"/>
    <w:rsid w:val="0048451A"/>
    <w:rsid w:val="00486D20"/>
    <w:rsid w:val="00493381"/>
    <w:rsid w:val="004943DE"/>
    <w:rsid w:val="004957A5"/>
    <w:rsid w:val="00495F31"/>
    <w:rsid w:val="004977A2"/>
    <w:rsid w:val="004979EB"/>
    <w:rsid w:val="004A0E6D"/>
    <w:rsid w:val="004A115A"/>
    <w:rsid w:val="004A1E24"/>
    <w:rsid w:val="004A242D"/>
    <w:rsid w:val="004A2C7F"/>
    <w:rsid w:val="004A59CF"/>
    <w:rsid w:val="004A6B63"/>
    <w:rsid w:val="004B0E6E"/>
    <w:rsid w:val="004B1333"/>
    <w:rsid w:val="004B2B69"/>
    <w:rsid w:val="004B497F"/>
    <w:rsid w:val="004B58BA"/>
    <w:rsid w:val="004B5FCD"/>
    <w:rsid w:val="004B68DF"/>
    <w:rsid w:val="004B707F"/>
    <w:rsid w:val="004B7215"/>
    <w:rsid w:val="004B78A0"/>
    <w:rsid w:val="004C0B01"/>
    <w:rsid w:val="004C231E"/>
    <w:rsid w:val="004C393E"/>
    <w:rsid w:val="004C4204"/>
    <w:rsid w:val="004C517A"/>
    <w:rsid w:val="004C5B67"/>
    <w:rsid w:val="004C71B9"/>
    <w:rsid w:val="004D112C"/>
    <w:rsid w:val="004D1C2E"/>
    <w:rsid w:val="004D4425"/>
    <w:rsid w:val="004E0E8F"/>
    <w:rsid w:val="004E3810"/>
    <w:rsid w:val="004E4441"/>
    <w:rsid w:val="004E6CC2"/>
    <w:rsid w:val="004F0B6C"/>
    <w:rsid w:val="004F1EC3"/>
    <w:rsid w:val="004F2084"/>
    <w:rsid w:val="004F297F"/>
    <w:rsid w:val="004F3718"/>
    <w:rsid w:val="004F4748"/>
    <w:rsid w:val="004F4895"/>
    <w:rsid w:val="004F6095"/>
    <w:rsid w:val="004F62C1"/>
    <w:rsid w:val="005003E3"/>
    <w:rsid w:val="00500AB0"/>
    <w:rsid w:val="00501AC3"/>
    <w:rsid w:val="00503A87"/>
    <w:rsid w:val="00504D73"/>
    <w:rsid w:val="0050523A"/>
    <w:rsid w:val="00505AFB"/>
    <w:rsid w:val="005069D9"/>
    <w:rsid w:val="0050762B"/>
    <w:rsid w:val="00510643"/>
    <w:rsid w:val="0051089F"/>
    <w:rsid w:val="0051212E"/>
    <w:rsid w:val="00513D5D"/>
    <w:rsid w:val="005143E7"/>
    <w:rsid w:val="00517F48"/>
    <w:rsid w:val="0052147F"/>
    <w:rsid w:val="0052148E"/>
    <w:rsid w:val="005231F1"/>
    <w:rsid w:val="00523ED3"/>
    <w:rsid w:val="005244FF"/>
    <w:rsid w:val="00527A1D"/>
    <w:rsid w:val="005303D7"/>
    <w:rsid w:val="00530CDB"/>
    <w:rsid w:val="00533647"/>
    <w:rsid w:val="0053439F"/>
    <w:rsid w:val="00534BD4"/>
    <w:rsid w:val="00535088"/>
    <w:rsid w:val="00536018"/>
    <w:rsid w:val="00540FD3"/>
    <w:rsid w:val="005449E4"/>
    <w:rsid w:val="00552682"/>
    <w:rsid w:val="005537FD"/>
    <w:rsid w:val="00553DBA"/>
    <w:rsid w:val="00555428"/>
    <w:rsid w:val="005559DD"/>
    <w:rsid w:val="00555CFC"/>
    <w:rsid w:val="00560788"/>
    <w:rsid w:val="0056206B"/>
    <w:rsid w:val="0056329B"/>
    <w:rsid w:val="00566869"/>
    <w:rsid w:val="005708A0"/>
    <w:rsid w:val="00570C6B"/>
    <w:rsid w:val="005720FC"/>
    <w:rsid w:val="005722CE"/>
    <w:rsid w:val="00572D52"/>
    <w:rsid w:val="0057623A"/>
    <w:rsid w:val="00576D0B"/>
    <w:rsid w:val="00577798"/>
    <w:rsid w:val="005817E2"/>
    <w:rsid w:val="0058346C"/>
    <w:rsid w:val="00587B49"/>
    <w:rsid w:val="00590430"/>
    <w:rsid w:val="00591672"/>
    <w:rsid w:val="005919F0"/>
    <w:rsid w:val="00591C04"/>
    <w:rsid w:val="00593076"/>
    <w:rsid w:val="005937C7"/>
    <w:rsid w:val="0059473C"/>
    <w:rsid w:val="005956E8"/>
    <w:rsid w:val="00595CF9"/>
    <w:rsid w:val="005A0786"/>
    <w:rsid w:val="005A14B9"/>
    <w:rsid w:val="005A2A11"/>
    <w:rsid w:val="005A4103"/>
    <w:rsid w:val="005A4975"/>
    <w:rsid w:val="005A50F4"/>
    <w:rsid w:val="005A5A00"/>
    <w:rsid w:val="005A5AD5"/>
    <w:rsid w:val="005A6110"/>
    <w:rsid w:val="005A700B"/>
    <w:rsid w:val="005B0214"/>
    <w:rsid w:val="005B084C"/>
    <w:rsid w:val="005B1C5B"/>
    <w:rsid w:val="005B1E21"/>
    <w:rsid w:val="005B366A"/>
    <w:rsid w:val="005B5BED"/>
    <w:rsid w:val="005B5C30"/>
    <w:rsid w:val="005B5D4D"/>
    <w:rsid w:val="005B6827"/>
    <w:rsid w:val="005C035F"/>
    <w:rsid w:val="005C19C2"/>
    <w:rsid w:val="005C282C"/>
    <w:rsid w:val="005C3AEA"/>
    <w:rsid w:val="005C670C"/>
    <w:rsid w:val="005D0544"/>
    <w:rsid w:val="005D1924"/>
    <w:rsid w:val="005D1C3F"/>
    <w:rsid w:val="005D1FCC"/>
    <w:rsid w:val="005D5A5E"/>
    <w:rsid w:val="005D6260"/>
    <w:rsid w:val="005D6B5A"/>
    <w:rsid w:val="005D7B31"/>
    <w:rsid w:val="005E03D8"/>
    <w:rsid w:val="005E171B"/>
    <w:rsid w:val="005E1916"/>
    <w:rsid w:val="005E1E2D"/>
    <w:rsid w:val="005E2194"/>
    <w:rsid w:val="005E322E"/>
    <w:rsid w:val="005E5879"/>
    <w:rsid w:val="005F071D"/>
    <w:rsid w:val="005F149B"/>
    <w:rsid w:val="005F18E9"/>
    <w:rsid w:val="005F1C75"/>
    <w:rsid w:val="005F1D30"/>
    <w:rsid w:val="005F362E"/>
    <w:rsid w:val="005F648E"/>
    <w:rsid w:val="005F6E3E"/>
    <w:rsid w:val="006004B3"/>
    <w:rsid w:val="00601BDA"/>
    <w:rsid w:val="00603DB7"/>
    <w:rsid w:val="00604A4D"/>
    <w:rsid w:val="006055AF"/>
    <w:rsid w:val="00606360"/>
    <w:rsid w:val="00607B07"/>
    <w:rsid w:val="00610196"/>
    <w:rsid w:val="006142C2"/>
    <w:rsid w:val="006148BF"/>
    <w:rsid w:val="00615106"/>
    <w:rsid w:val="00615F4B"/>
    <w:rsid w:val="006177A1"/>
    <w:rsid w:val="006205C7"/>
    <w:rsid w:val="00621718"/>
    <w:rsid w:val="00621D21"/>
    <w:rsid w:val="0062218C"/>
    <w:rsid w:val="0062285B"/>
    <w:rsid w:val="00623743"/>
    <w:rsid w:val="00625965"/>
    <w:rsid w:val="00626277"/>
    <w:rsid w:val="006322C0"/>
    <w:rsid w:val="00633BFB"/>
    <w:rsid w:val="006348D3"/>
    <w:rsid w:val="00635943"/>
    <w:rsid w:val="00635E1B"/>
    <w:rsid w:val="00637DD8"/>
    <w:rsid w:val="006422A0"/>
    <w:rsid w:val="006429EA"/>
    <w:rsid w:val="00645F8E"/>
    <w:rsid w:val="0065176E"/>
    <w:rsid w:val="00651D02"/>
    <w:rsid w:val="00652EB7"/>
    <w:rsid w:val="006535AC"/>
    <w:rsid w:val="00654565"/>
    <w:rsid w:val="0065524F"/>
    <w:rsid w:val="006554A4"/>
    <w:rsid w:val="006559DE"/>
    <w:rsid w:val="00655D5A"/>
    <w:rsid w:val="00660CDF"/>
    <w:rsid w:val="0066188D"/>
    <w:rsid w:val="00662DF2"/>
    <w:rsid w:val="00664EE1"/>
    <w:rsid w:val="00666AF5"/>
    <w:rsid w:val="0067062A"/>
    <w:rsid w:val="00670D16"/>
    <w:rsid w:val="00673376"/>
    <w:rsid w:val="0067356F"/>
    <w:rsid w:val="006737DC"/>
    <w:rsid w:val="00673CB0"/>
    <w:rsid w:val="00673D54"/>
    <w:rsid w:val="00674DCA"/>
    <w:rsid w:val="00674FF0"/>
    <w:rsid w:val="00675DB6"/>
    <w:rsid w:val="00675F4D"/>
    <w:rsid w:val="006763F9"/>
    <w:rsid w:val="00677CA3"/>
    <w:rsid w:val="006809E3"/>
    <w:rsid w:val="00681DBD"/>
    <w:rsid w:val="00684F97"/>
    <w:rsid w:val="006858C3"/>
    <w:rsid w:val="00685BB3"/>
    <w:rsid w:val="006874AF"/>
    <w:rsid w:val="00690598"/>
    <w:rsid w:val="00692395"/>
    <w:rsid w:val="00692E8A"/>
    <w:rsid w:val="006946EF"/>
    <w:rsid w:val="006948C7"/>
    <w:rsid w:val="00694C58"/>
    <w:rsid w:val="006A003E"/>
    <w:rsid w:val="006A0E2F"/>
    <w:rsid w:val="006A30E0"/>
    <w:rsid w:val="006A46FC"/>
    <w:rsid w:val="006A75E3"/>
    <w:rsid w:val="006A7E07"/>
    <w:rsid w:val="006B03CB"/>
    <w:rsid w:val="006B094F"/>
    <w:rsid w:val="006B098B"/>
    <w:rsid w:val="006B21B8"/>
    <w:rsid w:val="006B2D9B"/>
    <w:rsid w:val="006B2F57"/>
    <w:rsid w:val="006B48C5"/>
    <w:rsid w:val="006B51FA"/>
    <w:rsid w:val="006C2392"/>
    <w:rsid w:val="006C3C19"/>
    <w:rsid w:val="006C5EF2"/>
    <w:rsid w:val="006D0681"/>
    <w:rsid w:val="006D18D8"/>
    <w:rsid w:val="006D1C5B"/>
    <w:rsid w:val="006D20AF"/>
    <w:rsid w:val="006D3A7F"/>
    <w:rsid w:val="006D3B4E"/>
    <w:rsid w:val="006D4A78"/>
    <w:rsid w:val="006D4BEA"/>
    <w:rsid w:val="006D561A"/>
    <w:rsid w:val="006D6C3C"/>
    <w:rsid w:val="006D728B"/>
    <w:rsid w:val="006D761C"/>
    <w:rsid w:val="006E07AF"/>
    <w:rsid w:val="006E0B24"/>
    <w:rsid w:val="006E0D45"/>
    <w:rsid w:val="006E0EED"/>
    <w:rsid w:val="006E0F97"/>
    <w:rsid w:val="006E3FE3"/>
    <w:rsid w:val="006E5C75"/>
    <w:rsid w:val="006E743E"/>
    <w:rsid w:val="006F0A32"/>
    <w:rsid w:val="006F128E"/>
    <w:rsid w:val="006F1587"/>
    <w:rsid w:val="006F17F3"/>
    <w:rsid w:val="006F23B8"/>
    <w:rsid w:val="006F2CB9"/>
    <w:rsid w:val="006F39E0"/>
    <w:rsid w:val="006F4192"/>
    <w:rsid w:val="006F5B55"/>
    <w:rsid w:val="006F5EAA"/>
    <w:rsid w:val="006F7099"/>
    <w:rsid w:val="006F7356"/>
    <w:rsid w:val="00702F49"/>
    <w:rsid w:val="0070736A"/>
    <w:rsid w:val="00707B4E"/>
    <w:rsid w:val="00707FF8"/>
    <w:rsid w:val="00710DC1"/>
    <w:rsid w:val="00711C81"/>
    <w:rsid w:val="00713422"/>
    <w:rsid w:val="0071449A"/>
    <w:rsid w:val="00714C43"/>
    <w:rsid w:val="00714F69"/>
    <w:rsid w:val="00715154"/>
    <w:rsid w:val="00715E5A"/>
    <w:rsid w:val="00716D02"/>
    <w:rsid w:val="007177D0"/>
    <w:rsid w:val="00717878"/>
    <w:rsid w:val="007221CE"/>
    <w:rsid w:val="0072272B"/>
    <w:rsid w:val="007235FB"/>
    <w:rsid w:val="007266AA"/>
    <w:rsid w:val="00727442"/>
    <w:rsid w:val="00731433"/>
    <w:rsid w:val="00731D3A"/>
    <w:rsid w:val="00736E5F"/>
    <w:rsid w:val="00744729"/>
    <w:rsid w:val="0074669C"/>
    <w:rsid w:val="00750C87"/>
    <w:rsid w:val="007514DB"/>
    <w:rsid w:val="007524F3"/>
    <w:rsid w:val="0075258C"/>
    <w:rsid w:val="00753223"/>
    <w:rsid w:val="007550FB"/>
    <w:rsid w:val="00755972"/>
    <w:rsid w:val="00757500"/>
    <w:rsid w:val="00757B3A"/>
    <w:rsid w:val="00757F09"/>
    <w:rsid w:val="0076155C"/>
    <w:rsid w:val="00763895"/>
    <w:rsid w:val="0076427E"/>
    <w:rsid w:val="0076484F"/>
    <w:rsid w:val="00765FAC"/>
    <w:rsid w:val="00766862"/>
    <w:rsid w:val="00767FA2"/>
    <w:rsid w:val="0077113E"/>
    <w:rsid w:val="00772A33"/>
    <w:rsid w:val="0077755A"/>
    <w:rsid w:val="00780EF8"/>
    <w:rsid w:val="00781A9A"/>
    <w:rsid w:val="00781BDC"/>
    <w:rsid w:val="00782CD4"/>
    <w:rsid w:val="00784707"/>
    <w:rsid w:val="007851B6"/>
    <w:rsid w:val="00786FDF"/>
    <w:rsid w:val="00787972"/>
    <w:rsid w:val="00791844"/>
    <w:rsid w:val="007939BF"/>
    <w:rsid w:val="00794DD2"/>
    <w:rsid w:val="007973C1"/>
    <w:rsid w:val="00797914"/>
    <w:rsid w:val="00797E89"/>
    <w:rsid w:val="007A2981"/>
    <w:rsid w:val="007A3547"/>
    <w:rsid w:val="007A4B0A"/>
    <w:rsid w:val="007A4B53"/>
    <w:rsid w:val="007A6062"/>
    <w:rsid w:val="007A6AB9"/>
    <w:rsid w:val="007B010F"/>
    <w:rsid w:val="007B0DAC"/>
    <w:rsid w:val="007B1FD1"/>
    <w:rsid w:val="007B2AA2"/>
    <w:rsid w:val="007B2B61"/>
    <w:rsid w:val="007B4EBD"/>
    <w:rsid w:val="007B530E"/>
    <w:rsid w:val="007B61FB"/>
    <w:rsid w:val="007B6E12"/>
    <w:rsid w:val="007C0759"/>
    <w:rsid w:val="007C36A1"/>
    <w:rsid w:val="007C3972"/>
    <w:rsid w:val="007C3EC5"/>
    <w:rsid w:val="007C4346"/>
    <w:rsid w:val="007C49F2"/>
    <w:rsid w:val="007C50F3"/>
    <w:rsid w:val="007D09BD"/>
    <w:rsid w:val="007D179B"/>
    <w:rsid w:val="007D3539"/>
    <w:rsid w:val="007D3973"/>
    <w:rsid w:val="007D4081"/>
    <w:rsid w:val="007D6AB8"/>
    <w:rsid w:val="007D7861"/>
    <w:rsid w:val="007E0493"/>
    <w:rsid w:val="007E16DB"/>
    <w:rsid w:val="007E1B93"/>
    <w:rsid w:val="007E2000"/>
    <w:rsid w:val="007E3CDC"/>
    <w:rsid w:val="007E484C"/>
    <w:rsid w:val="007E6044"/>
    <w:rsid w:val="007E661A"/>
    <w:rsid w:val="007E7EA0"/>
    <w:rsid w:val="007F0281"/>
    <w:rsid w:val="007F0283"/>
    <w:rsid w:val="007F0401"/>
    <w:rsid w:val="007F1DCA"/>
    <w:rsid w:val="007F26FC"/>
    <w:rsid w:val="007F2D07"/>
    <w:rsid w:val="007F34BD"/>
    <w:rsid w:val="007F3A33"/>
    <w:rsid w:val="007F3B2D"/>
    <w:rsid w:val="007F3C93"/>
    <w:rsid w:val="007F4139"/>
    <w:rsid w:val="007F5293"/>
    <w:rsid w:val="007F66CA"/>
    <w:rsid w:val="007F7F74"/>
    <w:rsid w:val="008009BD"/>
    <w:rsid w:val="00801E8C"/>
    <w:rsid w:val="00802528"/>
    <w:rsid w:val="00802B4C"/>
    <w:rsid w:val="00803EB5"/>
    <w:rsid w:val="00804D18"/>
    <w:rsid w:val="008050A5"/>
    <w:rsid w:val="0080515C"/>
    <w:rsid w:val="00805578"/>
    <w:rsid w:val="00806A05"/>
    <w:rsid w:val="00806DD5"/>
    <w:rsid w:val="00807F97"/>
    <w:rsid w:val="00810114"/>
    <w:rsid w:val="00810A94"/>
    <w:rsid w:val="00810C82"/>
    <w:rsid w:val="008117FC"/>
    <w:rsid w:val="0081273F"/>
    <w:rsid w:val="008144E6"/>
    <w:rsid w:val="008145CE"/>
    <w:rsid w:val="0081542C"/>
    <w:rsid w:val="00815AEE"/>
    <w:rsid w:val="00815E93"/>
    <w:rsid w:val="00816028"/>
    <w:rsid w:val="008162E4"/>
    <w:rsid w:val="00817BBD"/>
    <w:rsid w:val="00821C67"/>
    <w:rsid w:val="00821DBB"/>
    <w:rsid w:val="00822A0F"/>
    <w:rsid w:val="00823F31"/>
    <w:rsid w:val="00824D41"/>
    <w:rsid w:val="008257DB"/>
    <w:rsid w:val="00831D7B"/>
    <w:rsid w:val="008344DC"/>
    <w:rsid w:val="008346C1"/>
    <w:rsid w:val="0083480D"/>
    <w:rsid w:val="00834CFF"/>
    <w:rsid w:val="00836C92"/>
    <w:rsid w:val="0084237E"/>
    <w:rsid w:val="00843B77"/>
    <w:rsid w:val="00844DB3"/>
    <w:rsid w:val="008461C1"/>
    <w:rsid w:val="00847FB1"/>
    <w:rsid w:val="00852353"/>
    <w:rsid w:val="00854594"/>
    <w:rsid w:val="008551EF"/>
    <w:rsid w:val="0085607B"/>
    <w:rsid w:val="00856CCB"/>
    <w:rsid w:val="00856E75"/>
    <w:rsid w:val="008572E8"/>
    <w:rsid w:val="00857DF6"/>
    <w:rsid w:val="00857E54"/>
    <w:rsid w:val="00860400"/>
    <w:rsid w:val="00861543"/>
    <w:rsid w:val="00863FEC"/>
    <w:rsid w:val="0086613C"/>
    <w:rsid w:val="00866621"/>
    <w:rsid w:val="00870FA5"/>
    <w:rsid w:val="008719A4"/>
    <w:rsid w:val="00872105"/>
    <w:rsid w:val="00875696"/>
    <w:rsid w:val="00877EC3"/>
    <w:rsid w:val="00885488"/>
    <w:rsid w:val="00885919"/>
    <w:rsid w:val="00885C56"/>
    <w:rsid w:val="00886F36"/>
    <w:rsid w:val="00886FD8"/>
    <w:rsid w:val="008874D1"/>
    <w:rsid w:val="00887E13"/>
    <w:rsid w:val="008903C3"/>
    <w:rsid w:val="00891028"/>
    <w:rsid w:val="008927C3"/>
    <w:rsid w:val="008948A1"/>
    <w:rsid w:val="00894CF9"/>
    <w:rsid w:val="00897C12"/>
    <w:rsid w:val="008A1B09"/>
    <w:rsid w:val="008A2C46"/>
    <w:rsid w:val="008A32C8"/>
    <w:rsid w:val="008A5D4D"/>
    <w:rsid w:val="008A652F"/>
    <w:rsid w:val="008B4173"/>
    <w:rsid w:val="008B54C2"/>
    <w:rsid w:val="008B56BA"/>
    <w:rsid w:val="008B5B66"/>
    <w:rsid w:val="008B637A"/>
    <w:rsid w:val="008B6A23"/>
    <w:rsid w:val="008B7676"/>
    <w:rsid w:val="008C0AE1"/>
    <w:rsid w:val="008C134D"/>
    <w:rsid w:val="008C4B41"/>
    <w:rsid w:val="008D0A0B"/>
    <w:rsid w:val="008D0F71"/>
    <w:rsid w:val="008D6724"/>
    <w:rsid w:val="008D7396"/>
    <w:rsid w:val="008E1E6D"/>
    <w:rsid w:val="008E1FE9"/>
    <w:rsid w:val="008E2549"/>
    <w:rsid w:val="008E400C"/>
    <w:rsid w:val="008E44EE"/>
    <w:rsid w:val="008E6DE2"/>
    <w:rsid w:val="008E6FD8"/>
    <w:rsid w:val="008E7F36"/>
    <w:rsid w:val="008F1C82"/>
    <w:rsid w:val="008F24E6"/>
    <w:rsid w:val="008F3E33"/>
    <w:rsid w:val="008F49A6"/>
    <w:rsid w:val="008F53DB"/>
    <w:rsid w:val="008F5745"/>
    <w:rsid w:val="008F5A9E"/>
    <w:rsid w:val="008F6929"/>
    <w:rsid w:val="008F6C87"/>
    <w:rsid w:val="008F7C2B"/>
    <w:rsid w:val="00901478"/>
    <w:rsid w:val="00902BA2"/>
    <w:rsid w:val="00903DF7"/>
    <w:rsid w:val="00904309"/>
    <w:rsid w:val="00904CFE"/>
    <w:rsid w:val="00912131"/>
    <w:rsid w:val="009123CE"/>
    <w:rsid w:val="00912414"/>
    <w:rsid w:val="0091600F"/>
    <w:rsid w:val="00917CFF"/>
    <w:rsid w:val="00921B12"/>
    <w:rsid w:val="0092378E"/>
    <w:rsid w:val="00924347"/>
    <w:rsid w:val="00924B43"/>
    <w:rsid w:val="009255F0"/>
    <w:rsid w:val="00925F83"/>
    <w:rsid w:val="00926304"/>
    <w:rsid w:val="0093095F"/>
    <w:rsid w:val="00931808"/>
    <w:rsid w:val="00932456"/>
    <w:rsid w:val="00934522"/>
    <w:rsid w:val="00934772"/>
    <w:rsid w:val="00937A6D"/>
    <w:rsid w:val="009410D7"/>
    <w:rsid w:val="0094142D"/>
    <w:rsid w:val="00941D2A"/>
    <w:rsid w:val="00942424"/>
    <w:rsid w:val="00942571"/>
    <w:rsid w:val="00951134"/>
    <w:rsid w:val="0095431D"/>
    <w:rsid w:val="00954E2D"/>
    <w:rsid w:val="00957FC7"/>
    <w:rsid w:val="009600C5"/>
    <w:rsid w:val="00960AF6"/>
    <w:rsid w:val="009644B7"/>
    <w:rsid w:val="0096515E"/>
    <w:rsid w:val="00966158"/>
    <w:rsid w:val="00967594"/>
    <w:rsid w:val="00967CEB"/>
    <w:rsid w:val="00971458"/>
    <w:rsid w:val="00971AC0"/>
    <w:rsid w:val="009744CD"/>
    <w:rsid w:val="009746CD"/>
    <w:rsid w:val="00975ADE"/>
    <w:rsid w:val="0098279B"/>
    <w:rsid w:val="00985720"/>
    <w:rsid w:val="00985E3C"/>
    <w:rsid w:val="009879F7"/>
    <w:rsid w:val="00993377"/>
    <w:rsid w:val="00995D1B"/>
    <w:rsid w:val="009A05DB"/>
    <w:rsid w:val="009A308D"/>
    <w:rsid w:val="009A405D"/>
    <w:rsid w:val="009A4AD7"/>
    <w:rsid w:val="009A4C9C"/>
    <w:rsid w:val="009A645F"/>
    <w:rsid w:val="009A66C3"/>
    <w:rsid w:val="009B13FD"/>
    <w:rsid w:val="009B3466"/>
    <w:rsid w:val="009B534E"/>
    <w:rsid w:val="009C1FCA"/>
    <w:rsid w:val="009C3E8F"/>
    <w:rsid w:val="009C550F"/>
    <w:rsid w:val="009C641F"/>
    <w:rsid w:val="009D0765"/>
    <w:rsid w:val="009D10AA"/>
    <w:rsid w:val="009D222B"/>
    <w:rsid w:val="009D267F"/>
    <w:rsid w:val="009D49F1"/>
    <w:rsid w:val="009D60DA"/>
    <w:rsid w:val="009D725A"/>
    <w:rsid w:val="009D759F"/>
    <w:rsid w:val="009D798D"/>
    <w:rsid w:val="009D79C3"/>
    <w:rsid w:val="009E09B1"/>
    <w:rsid w:val="009E0AD9"/>
    <w:rsid w:val="009E0D7A"/>
    <w:rsid w:val="009E27E6"/>
    <w:rsid w:val="009E2B3C"/>
    <w:rsid w:val="009E3206"/>
    <w:rsid w:val="009E4CC3"/>
    <w:rsid w:val="009E76FB"/>
    <w:rsid w:val="009F0B87"/>
    <w:rsid w:val="009F250F"/>
    <w:rsid w:val="009F3A3E"/>
    <w:rsid w:val="009F56C5"/>
    <w:rsid w:val="009F5702"/>
    <w:rsid w:val="009F5BE1"/>
    <w:rsid w:val="009F6679"/>
    <w:rsid w:val="009F74A0"/>
    <w:rsid w:val="00A0295D"/>
    <w:rsid w:val="00A02BEC"/>
    <w:rsid w:val="00A03563"/>
    <w:rsid w:val="00A0440F"/>
    <w:rsid w:val="00A05D6E"/>
    <w:rsid w:val="00A06189"/>
    <w:rsid w:val="00A122BF"/>
    <w:rsid w:val="00A12CE4"/>
    <w:rsid w:val="00A135C6"/>
    <w:rsid w:val="00A13CC9"/>
    <w:rsid w:val="00A15AD4"/>
    <w:rsid w:val="00A16C7E"/>
    <w:rsid w:val="00A17C62"/>
    <w:rsid w:val="00A20278"/>
    <w:rsid w:val="00A205F8"/>
    <w:rsid w:val="00A23221"/>
    <w:rsid w:val="00A24C80"/>
    <w:rsid w:val="00A25B44"/>
    <w:rsid w:val="00A25CBD"/>
    <w:rsid w:val="00A2699A"/>
    <w:rsid w:val="00A31C0E"/>
    <w:rsid w:val="00A3450A"/>
    <w:rsid w:val="00A4066C"/>
    <w:rsid w:val="00A42238"/>
    <w:rsid w:val="00A422D4"/>
    <w:rsid w:val="00A44679"/>
    <w:rsid w:val="00A459D0"/>
    <w:rsid w:val="00A460DC"/>
    <w:rsid w:val="00A4625D"/>
    <w:rsid w:val="00A4778D"/>
    <w:rsid w:val="00A4790D"/>
    <w:rsid w:val="00A47D93"/>
    <w:rsid w:val="00A47FF4"/>
    <w:rsid w:val="00A53BD8"/>
    <w:rsid w:val="00A53C46"/>
    <w:rsid w:val="00A53FD9"/>
    <w:rsid w:val="00A56D3D"/>
    <w:rsid w:val="00A6076B"/>
    <w:rsid w:val="00A61235"/>
    <w:rsid w:val="00A65946"/>
    <w:rsid w:val="00A701D4"/>
    <w:rsid w:val="00A73F27"/>
    <w:rsid w:val="00A74AB0"/>
    <w:rsid w:val="00A75CCC"/>
    <w:rsid w:val="00A76D69"/>
    <w:rsid w:val="00A77FAE"/>
    <w:rsid w:val="00A800FD"/>
    <w:rsid w:val="00A818D1"/>
    <w:rsid w:val="00A83919"/>
    <w:rsid w:val="00A83ABD"/>
    <w:rsid w:val="00A869DB"/>
    <w:rsid w:val="00A86CB9"/>
    <w:rsid w:val="00A87123"/>
    <w:rsid w:val="00A90002"/>
    <w:rsid w:val="00A900F9"/>
    <w:rsid w:val="00A90B7E"/>
    <w:rsid w:val="00A90BC4"/>
    <w:rsid w:val="00A922C8"/>
    <w:rsid w:val="00A92499"/>
    <w:rsid w:val="00AA2CFB"/>
    <w:rsid w:val="00AA2D30"/>
    <w:rsid w:val="00AA3ADE"/>
    <w:rsid w:val="00AA3F2E"/>
    <w:rsid w:val="00AA5FD8"/>
    <w:rsid w:val="00AA6CD4"/>
    <w:rsid w:val="00AA7327"/>
    <w:rsid w:val="00AB0350"/>
    <w:rsid w:val="00AB0761"/>
    <w:rsid w:val="00AB342A"/>
    <w:rsid w:val="00AB38D5"/>
    <w:rsid w:val="00AB799C"/>
    <w:rsid w:val="00AB7BEC"/>
    <w:rsid w:val="00AC0E9C"/>
    <w:rsid w:val="00AC151B"/>
    <w:rsid w:val="00AC1A42"/>
    <w:rsid w:val="00AC49D6"/>
    <w:rsid w:val="00AC57E0"/>
    <w:rsid w:val="00AC6A2E"/>
    <w:rsid w:val="00AC7351"/>
    <w:rsid w:val="00AD1D59"/>
    <w:rsid w:val="00AD291A"/>
    <w:rsid w:val="00AD2DAA"/>
    <w:rsid w:val="00AD4D20"/>
    <w:rsid w:val="00AE0E4F"/>
    <w:rsid w:val="00AE1CBF"/>
    <w:rsid w:val="00AE2407"/>
    <w:rsid w:val="00AE3CFB"/>
    <w:rsid w:val="00AE52C0"/>
    <w:rsid w:val="00AE564C"/>
    <w:rsid w:val="00AE6001"/>
    <w:rsid w:val="00AF027B"/>
    <w:rsid w:val="00AF15B9"/>
    <w:rsid w:val="00AF339E"/>
    <w:rsid w:val="00AF409B"/>
    <w:rsid w:val="00AF4CEC"/>
    <w:rsid w:val="00B026B5"/>
    <w:rsid w:val="00B03E7B"/>
    <w:rsid w:val="00B0494B"/>
    <w:rsid w:val="00B07BB1"/>
    <w:rsid w:val="00B13979"/>
    <w:rsid w:val="00B1544A"/>
    <w:rsid w:val="00B16B4E"/>
    <w:rsid w:val="00B20BA9"/>
    <w:rsid w:val="00B23B4A"/>
    <w:rsid w:val="00B25A00"/>
    <w:rsid w:val="00B25DFB"/>
    <w:rsid w:val="00B2617C"/>
    <w:rsid w:val="00B2699A"/>
    <w:rsid w:val="00B27519"/>
    <w:rsid w:val="00B309E8"/>
    <w:rsid w:val="00B30CA6"/>
    <w:rsid w:val="00B33320"/>
    <w:rsid w:val="00B36E6A"/>
    <w:rsid w:val="00B40228"/>
    <w:rsid w:val="00B40B55"/>
    <w:rsid w:val="00B41B04"/>
    <w:rsid w:val="00B41B86"/>
    <w:rsid w:val="00B42E6F"/>
    <w:rsid w:val="00B43976"/>
    <w:rsid w:val="00B44E4A"/>
    <w:rsid w:val="00B455D0"/>
    <w:rsid w:val="00B45783"/>
    <w:rsid w:val="00B45B7B"/>
    <w:rsid w:val="00B463C9"/>
    <w:rsid w:val="00B510B3"/>
    <w:rsid w:val="00B52314"/>
    <w:rsid w:val="00B567A4"/>
    <w:rsid w:val="00B56DB4"/>
    <w:rsid w:val="00B631F3"/>
    <w:rsid w:val="00B63EE5"/>
    <w:rsid w:val="00B64175"/>
    <w:rsid w:val="00B64E7D"/>
    <w:rsid w:val="00B6525F"/>
    <w:rsid w:val="00B657A7"/>
    <w:rsid w:val="00B658E7"/>
    <w:rsid w:val="00B66ABA"/>
    <w:rsid w:val="00B67A6B"/>
    <w:rsid w:val="00B700B6"/>
    <w:rsid w:val="00B71459"/>
    <w:rsid w:val="00B71C7D"/>
    <w:rsid w:val="00B72172"/>
    <w:rsid w:val="00B73DD9"/>
    <w:rsid w:val="00B7446C"/>
    <w:rsid w:val="00B76D53"/>
    <w:rsid w:val="00B80117"/>
    <w:rsid w:val="00B813B5"/>
    <w:rsid w:val="00B81796"/>
    <w:rsid w:val="00B85A7D"/>
    <w:rsid w:val="00B85B52"/>
    <w:rsid w:val="00B86497"/>
    <w:rsid w:val="00B87412"/>
    <w:rsid w:val="00B902EF"/>
    <w:rsid w:val="00B9445A"/>
    <w:rsid w:val="00B96F99"/>
    <w:rsid w:val="00BA0238"/>
    <w:rsid w:val="00BA05E6"/>
    <w:rsid w:val="00BA114A"/>
    <w:rsid w:val="00BA274B"/>
    <w:rsid w:val="00BA296F"/>
    <w:rsid w:val="00BA2B9B"/>
    <w:rsid w:val="00BA34C5"/>
    <w:rsid w:val="00BA37E9"/>
    <w:rsid w:val="00BA45E2"/>
    <w:rsid w:val="00BA5CF4"/>
    <w:rsid w:val="00BA7072"/>
    <w:rsid w:val="00BA7712"/>
    <w:rsid w:val="00BA7A3D"/>
    <w:rsid w:val="00BB207E"/>
    <w:rsid w:val="00BB269A"/>
    <w:rsid w:val="00BB3101"/>
    <w:rsid w:val="00BB33FA"/>
    <w:rsid w:val="00BB4333"/>
    <w:rsid w:val="00BB46BF"/>
    <w:rsid w:val="00BB4D86"/>
    <w:rsid w:val="00BB59AD"/>
    <w:rsid w:val="00BB5BD1"/>
    <w:rsid w:val="00BB6178"/>
    <w:rsid w:val="00BC0CC2"/>
    <w:rsid w:val="00BC24E2"/>
    <w:rsid w:val="00BC2830"/>
    <w:rsid w:val="00BC39C6"/>
    <w:rsid w:val="00BC3BE3"/>
    <w:rsid w:val="00BC5DBA"/>
    <w:rsid w:val="00BC6544"/>
    <w:rsid w:val="00BC7F12"/>
    <w:rsid w:val="00BD13DC"/>
    <w:rsid w:val="00BD3290"/>
    <w:rsid w:val="00BD542A"/>
    <w:rsid w:val="00BD744F"/>
    <w:rsid w:val="00BE1A24"/>
    <w:rsid w:val="00BE226E"/>
    <w:rsid w:val="00BE2424"/>
    <w:rsid w:val="00BE2A9F"/>
    <w:rsid w:val="00BE2C6C"/>
    <w:rsid w:val="00BE388B"/>
    <w:rsid w:val="00BE3F7F"/>
    <w:rsid w:val="00BE4C55"/>
    <w:rsid w:val="00BE7BCE"/>
    <w:rsid w:val="00BF0004"/>
    <w:rsid w:val="00BF07EF"/>
    <w:rsid w:val="00BF27BB"/>
    <w:rsid w:val="00BF3284"/>
    <w:rsid w:val="00BF3ACF"/>
    <w:rsid w:val="00BF3C76"/>
    <w:rsid w:val="00BF4107"/>
    <w:rsid w:val="00BF689A"/>
    <w:rsid w:val="00BF7743"/>
    <w:rsid w:val="00C000CF"/>
    <w:rsid w:val="00C0028F"/>
    <w:rsid w:val="00C01156"/>
    <w:rsid w:val="00C02511"/>
    <w:rsid w:val="00C036C8"/>
    <w:rsid w:val="00C05AED"/>
    <w:rsid w:val="00C108B5"/>
    <w:rsid w:val="00C10B2A"/>
    <w:rsid w:val="00C1168E"/>
    <w:rsid w:val="00C12688"/>
    <w:rsid w:val="00C12F95"/>
    <w:rsid w:val="00C1350F"/>
    <w:rsid w:val="00C15901"/>
    <w:rsid w:val="00C17428"/>
    <w:rsid w:val="00C202F9"/>
    <w:rsid w:val="00C205F6"/>
    <w:rsid w:val="00C21669"/>
    <w:rsid w:val="00C22047"/>
    <w:rsid w:val="00C2219D"/>
    <w:rsid w:val="00C227EB"/>
    <w:rsid w:val="00C24769"/>
    <w:rsid w:val="00C24B44"/>
    <w:rsid w:val="00C27887"/>
    <w:rsid w:val="00C30C01"/>
    <w:rsid w:val="00C330C4"/>
    <w:rsid w:val="00C33B32"/>
    <w:rsid w:val="00C362C9"/>
    <w:rsid w:val="00C3631E"/>
    <w:rsid w:val="00C4055E"/>
    <w:rsid w:val="00C42A71"/>
    <w:rsid w:val="00C42D85"/>
    <w:rsid w:val="00C444F4"/>
    <w:rsid w:val="00C449F6"/>
    <w:rsid w:val="00C468D7"/>
    <w:rsid w:val="00C46AC5"/>
    <w:rsid w:val="00C46B8A"/>
    <w:rsid w:val="00C47E4E"/>
    <w:rsid w:val="00C503B2"/>
    <w:rsid w:val="00C50C1A"/>
    <w:rsid w:val="00C50C8B"/>
    <w:rsid w:val="00C51774"/>
    <w:rsid w:val="00C5293F"/>
    <w:rsid w:val="00C529AC"/>
    <w:rsid w:val="00C54E2E"/>
    <w:rsid w:val="00C559D8"/>
    <w:rsid w:val="00C57989"/>
    <w:rsid w:val="00C605E9"/>
    <w:rsid w:val="00C60C32"/>
    <w:rsid w:val="00C61B2D"/>
    <w:rsid w:val="00C63FFA"/>
    <w:rsid w:val="00C64323"/>
    <w:rsid w:val="00C64B0F"/>
    <w:rsid w:val="00C6656B"/>
    <w:rsid w:val="00C67CA0"/>
    <w:rsid w:val="00C72CAA"/>
    <w:rsid w:val="00C7332C"/>
    <w:rsid w:val="00C73A34"/>
    <w:rsid w:val="00C75FC5"/>
    <w:rsid w:val="00C80214"/>
    <w:rsid w:val="00C806B4"/>
    <w:rsid w:val="00C83340"/>
    <w:rsid w:val="00C83D03"/>
    <w:rsid w:val="00C87C02"/>
    <w:rsid w:val="00C87F06"/>
    <w:rsid w:val="00C92900"/>
    <w:rsid w:val="00C92E88"/>
    <w:rsid w:val="00C9345C"/>
    <w:rsid w:val="00C9513E"/>
    <w:rsid w:val="00C9523D"/>
    <w:rsid w:val="00CA09D2"/>
    <w:rsid w:val="00CA0E66"/>
    <w:rsid w:val="00CA3695"/>
    <w:rsid w:val="00CA5796"/>
    <w:rsid w:val="00CA5D34"/>
    <w:rsid w:val="00CA64C8"/>
    <w:rsid w:val="00CA6AC3"/>
    <w:rsid w:val="00CA6AE3"/>
    <w:rsid w:val="00CB0177"/>
    <w:rsid w:val="00CB07F4"/>
    <w:rsid w:val="00CB13BD"/>
    <w:rsid w:val="00CB2794"/>
    <w:rsid w:val="00CB43A6"/>
    <w:rsid w:val="00CB7AFD"/>
    <w:rsid w:val="00CC2E94"/>
    <w:rsid w:val="00CC42A2"/>
    <w:rsid w:val="00CC45F2"/>
    <w:rsid w:val="00CC5AB4"/>
    <w:rsid w:val="00CC63DF"/>
    <w:rsid w:val="00CD18E8"/>
    <w:rsid w:val="00CD23D6"/>
    <w:rsid w:val="00CD3070"/>
    <w:rsid w:val="00CD488B"/>
    <w:rsid w:val="00CE0487"/>
    <w:rsid w:val="00CE1156"/>
    <w:rsid w:val="00CE2F1B"/>
    <w:rsid w:val="00CE5BC2"/>
    <w:rsid w:val="00CE6904"/>
    <w:rsid w:val="00CE7FA5"/>
    <w:rsid w:val="00CF0A08"/>
    <w:rsid w:val="00CF378B"/>
    <w:rsid w:val="00CF3A45"/>
    <w:rsid w:val="00CF3C6A"/>
    <w:rsid w:val="00CF429A"/>
    <w:rsid w:val="00CF463D"/>
    <w:rsid w:val="00CF5357"/>
    <w:rsid w:val="00D01982"/>
    <w:rsid w:val="00D02DB5"/>
    <w:rsid w:val="00D03AED"/>
    <w:rsid w:val="00D05314"/>
    <w:rsid w:val="00D07F25"/>
    <w:rsid w:val="00D11886"/>
    <w:rsid w:val="00D12E5E"/>
    <w:rsid w:val="00D142F9"/>
    <w:rsid w:val="00D16C4A"/>
    <w:rsid w:val="00D22BD5"/>
    <w:rsid w:val="00D22E83"/>
    <w:rsid w:val="00D23EDF"/>
    <w:rsid w:val="00D27A89"/>
    <w:rsid w:val="00D32D4D"/>
    <w:rsid w:val="00D330F5"/>
    <w:rsid w:val="00D3460E"/>
    <w:rsid w:val="00D34736"/>
    <w:rsid w:val="00D34D9E"/>
    <w:rsid w:val="00D35D49"/>
    <w:rsid w:val="00D373E5"/>
    <w:rsid w:val="00D420B7"/>
    <w:rsid w:val="00D442D8"/>
    <w:rsid w:val="00D465F5"/>
    <w:rsid w:val="00D467E8"/>
    <w:rsid w:val="00D470D2"/>
    <w:rsid w:val="00D47D68"/>
    <w:rsid w:val="00D50160"/>
    <w:rsid w:val="00D50AC1"/>
    <w:rsid w:val="00D514D9"/>
    <w:rsid w:val="00D53223"/>
    <w:rsid w:val="00D55D91"/>
    <w:rsid w:val="00D56C01"/>
    <w:rsid w:val="00D577B9"/>
    <w:rsid w:val="00D57871"/>
    <w:rsid w:val="00D62A1F"/>
    <w:rsid w:val="00D62E22"/>
    <w:rsid w:val="00D65576"/>
    <w:rsid w:val="00D66D0E"/>
    <w:rsid w:val="00D67C85"/>
    <w:rsid w:val="00D72BFC"/>
    <w:rsid w:val="00D74B15"/>
    <w:rsid w:val="00D74EBE"/>
    <w:rsid w:val="00D75098"/>
    <w:rsid w:val="00D800B2"/>
    <w:rsid w:val="00D81DEF"/>
    <w:rsid w:val="00D83E01"/>
    <w:rsid w:val="00D86155"/>
    <w:rsid w:val="00D86821"/>
    <w:rsid w:val="00D879C3"/>
    <w:rsid w:val="00D92DE1"/>
    <w:rsid w:val="00D94179"/>
    <w:rsid w:val="00D94D0F"/>
    <w:rsid w:val="00D94E4D"/>
    <w:rsid w:val="00D96295"/>
    <w:rsid w:val="00D966C9"/>
    <w:rsid w:val="00D9736A"/>
    <w:rsid w:val="00DA0573"/>
    <w:rsid w:val="00DA0648"/>
    <w:rsid w:val="00DA0A2A"/>
    <w:rsid w:val="00DA0B4E"/>
    <w:rsid w:val="00DA1936"/>
    <w:rsid w:val="00DA2B19"/>
    <w:rsid w:val="00DA2CBA"/>
    <w:rsid w:val="00DA313B"/>
    <w:rsid w:val="00DA4DDC"/>
    <w:rsid w:val="00DA5AE3"/>
    <w:rsid w:val="00DA60CD"/>
    <w:rsid w:val="00DA6BA5"/>
    <w:rsid w:val="00DB09D2"/>
    <w:rsid w:val="00DB0FAA"/>
    <w:rsid w:val="00DB15DE"/>
    <w:rsid w:val="00DB2440"/>
    <w:rsid w:val="00DB2578"/>
    <w:rsid w:val="00DB26E7"/>
    <w:rsid w:val="00DB46A9"/>
    <w:rsid w:val="00DB5F9B"/>
    <w:rsid w:val="00DB691F"/>
    <w:rsid w:val="00DB7C0E"/>
    <w:rsid w:val="00DC1393"/>
    <w:rsid w:val="00DC713C"/>
    <w:rsid w:val="00DC7585"/>
    <w:rsid w:val="00DC78B1"/>
    <w:rsid w:val="00DC78FD"/>
    <w:rsid w:val="00DD1E86"/>
    <w:rsid w:val="00DD2786"/>
    <w:rsid w:val="00DD538A"/>
    <w:rsid w:val="00DD5DEA"/>
    <w:rsid w:val="00DE077C"/>
    <w:rsid w:val="00DE1304"/>
    <w:rsid w:val="00DF368A"/>
    <w:rsid w:val="00DF39C9"/>
    <w:rsid w:val="00DF3E29"/>
    <w:rsid w:val="00DF42D6"/>
    <w:rsid w:val="00DF4D2D"/>
    <w:rsid w:val="00DF5518"/>
    <w:rsid w:val="00DF58FF"/>
    <w:rsid w:val="00DF5D8A"/>
    <w:rsid w:val="00DF6C07"/>
    <w:rsid w:val="00E00018"/>
    <w:rsid w:val="00E0056B"/>
    <w:rsid w:val="00E0075A"/>
    <w:rsid w:val="00E01BAC"/>
    <w:rsid w:val="00E02BF1"/>
    <w:rsid w:val="00E02C50"/>
    <w:rsid w:val="00E032A5"/>
    <w:rsid w:val="00E03421"/>
    <w:rsid w:val="00E06029"/>
    <w:rsid w:val="00E0689F"/>
    <w:rsid w:val="00E06913"/>
    <w:rsid w:val="00E07152"/>
    <w:rsid w:val="00E073D0"/>
    <w:rsid w:val="00E07E8B"/>
    <w:rsid w:val="00E10A59"/>
    <w:rsid w:val="00E11C7D"/>
    <w:rsid w:val="00E1484D"/>
    <w:rsid w:val="00E20F01"/>
    <w:rsid w:val="00E222A8"/>
    <w:rsid w:val="00E22440"/>
    <w:rsid w:val="00E23E1B"/>
    <w:rsid w:val="00E24503"/>
    <w:rsid w:val="00E24C55"/>
    <w:rsid w:val="00E26988"/>
    <w:rsid w:val="00E26D8F"/>
    <w:rsid w:val="00E270AF"/>
    <w:rsid w:val="00E271C6"/>
    <w:rsid w:val="00E30DD7"/>
    <w:rsid w:val="00E3135D"/>
    <w:rsid w:val="00E32366"/>
    <w:rsid w:val="00E3281A"/>
    <w:rsid w:val="00E33927"/>
    <w:rsid w:val="00E36D96"/>
    <w:rsid w:val="00E412FC"/>
    <w:rsid w:val="00E41CCD"/>
    <w:rsid w:val="00E42071"/>
    <w:rsid w:val="00E42B35"/>
    <w:rsid w:val="00E430F4"/>
    <w:rsid w:val="00E43183"/>
    <w:rsid w:val="00E43D9A"/>
    <w:rsid w:val="00E443D3"/>
    <w:rsid w:val="00E45F8B"/>
    <w:rsid w:val="00E460F4"/>
    <w:rsid w:val="00E4628E"/>
    <w:rsid w:val="00E47CBC"/>
    <w:rsid w:val="00E500B8"/>
    <w:rsid w:val="00E508A0"/>
    <w:rsid w:val="00E51027"/>
    <w:rsid w:val="00E5233F"/>
    <w:rsid w:val="00E52EEF"/>
    <w:rsid w:val="00E54E91"/>
    <w:rsid w:val="00E569CE"/>
    <w:rsid w:val="00E575EC"/>
    <w:rsid w:val="00E611EA"/>
    <w:rsid w:val="00E61DF5"/>
    <w:rsid w:val="00E62355"/>
    <w:rsid w:val="00E650A2"/>
    <w:rsid w:val="00E652D5"/>
    <w:rsid w:val="00E65DC2"/>
    <w:rsid w:val="00E66884"/>
    <w:rsid w:val="00E670C0"/>
    <w:rsid w:val="00E70A00"/>
    <w:rsid w:val="00E725D6"/>
    <w:rsid w:val="00E731A6"/>
    <w:rsid w:val="00E73F25"/>
    <w:rsid w:val="00E74DC1"/>
    <w:rsid w:val="00E7788A"/>
    <w:rsid w:val="00E778DA"/>
    <w:rsid w:val="00E80778"/>
    <w:rsid w:val="00E80F66"/>
    <w:rsid w:val="00E84B3C"/>
    <w:rsid w:val="00E87317"/>
    <w:rsid w:val="00E8766B"/>
    <w:rsid w:val="00E90B8E"/>
    <w:rsid w:val="00E91082"/>
    <w:rsid w:val="00E92B55"/>
    <w:rsid w:val="00E94561"/>
    <w:rsid w:val="00E94773"/>
    <w:rsid w:val="00E95067"/>
    <w:rsid w:val="00E955A7"/>
    <w:rsid w:val="00E97D17"/>
    <w:rsid w:val="00EA0B83"/>
    <w:rsid w:val="00EA0F05"/>
    <w:rsid w:val="00EA2388"/>
    <w:rsid w:val="00EA47E0"/>
    <w:rsid w:val="00EA5681"/>
    <w:rsid w:val="00EB09EC"/>
    <w:rsid w:val="00EB0A32"/>
    <w:rsid w:val="00EB0B07"/>
    <w:rsid w:val="00EB5AFA"/>
    <w:rsid w:val="00EB65CA"/>
    <w:rsid w:val="00EB7269"/>
    <w:rsid w:val="00EC17B3"/>
    <w:rsid w:val="00EC2870"/>
    <w:rsid w:val="00EC2A33"/>
    <w:rsid w:val="00EC38B1"/>
    <w:rsid w:val="00EC3F0E"/>
    <w:rsid w:val="00EC4AF4"/>
    <w:rsid w:val="00EC59EB"/>
    <w:rsid w:val="00EC5EBD"/>
    <w:rsid w:val="00EC631B"/>
    <w:rsid w:val="00EC67F3"/>
    <w:rsid w:val="00ED2D8D"/>
    <w:rsid w:val="00ED333D"/>
    <w:rsid w:val="00ED50EF"/>
    <w:rsid w:val="00ED51E2"/>
    <w:rsid w:val="00ED649A"/>
    <w:rsid w:val="00ED7F1D"/>
    <w:rsid w:val="00EE051B"/>
    <w:rsid w:val="00EE15BE"/>
    <w:rsid w:val="00EE27A5"/>
    <w:rsid w:val="00EE5928"/>
    <w:rsid w:val="00EE7A66"/>
    <w:rsid w:val="00EF21C1"/>
    <w:rsid w:val="00EF5A1C"/>
    <w:rsid w:val="00F02452"/>
    <w:rsid w:val="00F0263D"/>
    <w:rsid w:val="00F03BB4"/>
    <w:rsid w:val="00F07A9E"/>
    <w:rsid w:val="00F10139"/>
    <w:rsid w:val="00F109E1"/>
    <w:rsid w:val="00F10D2A"/>
    <w:rsid w:val="00F10E6C"/>
    <w:rsid w:val="00F11145"/>
    <w:rsid w:val="00F1196F"/>
    <w:rsid w:val="00F11E5E"/>
    <w:rsid w:val="00F122B6"/>
    <w:rsid w:val="00F12E1B"/>
    <w:rsid w:val="00F12F17"/>
    <w:rsid w:val="00F1348F"/>
    <w:rsid w:val="00F14791"/>
    <w:rsid w:val="00F155D3"/>
    <w:rsid w:val="00F16D1F"/>
    <w:rsid w:val="00F20D62"/>
    <w:rsid w:val="00F2482B"/>
    <w:rsid w:val="00F2633E"/>
    <w:rsid w:val="00F27D4E"/>
    <w:rsid w:val="00F3018C"/>
    <w:rsid w:val="00F3100E"/>
    <w:rsid w:val="00F3310E"/>
    <w:rsid w:val="00F336B6"/>
    <w:rsid w:val="00F35578"/>
    <w:rsid w:val="00F35F1F"/>
    <w:rsid w:val="00F36457"/>
    <w:rsid w:val="00F36EA0"/>
    <w:rsid w:val="00F373CC"/>
    <w:rsid w:val="00F4213B"/>
    <w:rsid w:val="00F43BCE"/>
    <w:rsid w:val="00F44CB0"/>
    <w:rsid w:val="00F51535"/>
    <w:rsid w:val="00F5214A"/>
    <w:rsid w:val="00F52777"/>
    <w:rsid w:val="00F528BF"/>
    <w:rsid w:val="00F529BE"/>
    <w:rsid w:val="00F57D78"/>
    <w:rsid w:val="00F60720"/>
    <w:rsid w:val="00F61712"/>
    <w:rsid w:val="00F624B0"/>
    <w:rsid w:val="00F63AC6"/>
    <w:rsid w:val="00F649C0"/>
    <w:rsid w:val="00F66014"/>
    <w:rsid w:val="00F67C39"/>
    <w:rsid w:val="00F7015D"/>
    <w:rsid w:val="00F71D07"/>
    <w:rsid w:val="00F71E35"/>
    <w:rsid w:val="00F72DC8"/>
    <w:rsid w:val="00F74794"/>
    <w:rsid w:val="00F74ACE"/>
    <w:rsid w:val="00F76A18"/>
    <w:rsid w:val="00F7734A"/>
    <w:rsid w:val="00F808FB"/>
    <w:rsid w:val="00F82189"/>
    <w:rsid w:val="00F82AD6"/>
    <w:rsid w:val="00F84CB7"/>
    <w:rsid w:val="00F86337"/>
    <w:rsid w:val="00F87B38"/>
    <w:rsid w:val="00F91534"/>
    <w:rsid w:val="00F9177B"/>
    <w:rsid w:val="00F91A3A"/>
    <w:rsid w:val="00F920F0"/>
    <w:rsid w:val="00F938B6"/>
    <w:rsid w:val="00F93A9A"/>
    <w:rsid w:val="00F93B90"/>
    <w:rsid w:val="00F9625A"/>
    <w:rsid w:val="00F96799"/>
    <w:rsid w:val="00FA01B4"/>
    <w:rsid w:val="00FA0354"/>
    <w:rsid w:val="00FA0592"/>
    <w:rsid w:val="00FA1D40"/>
    <w:rsid w:val="00FA1F3A"/>
    <w:rsid w:val="00FA2CDA"/>
    <w:rsid w:val="00FA3876"/>
    <w:rsid w:val="00FA3F44"/>
    <w:rsid w:val="00FA5729"/>
    <w:rsid w:val="00FA5A99"/>
    <w:rsid w:val="00FA63FF"/>
    <w:rsid w:val="00FA6BE0"/>
    <w:rsid w:val="00FA76D6"/>
    <w:rsid w:val="00FA7CC5"/>
    <w:rsid w:val="00FB03EE"/>
    <w:rsid w:val="00FB15F4"/>
    <w:rsid w:val="00FB28E4"/>
    <w:rsid w:val="00FB2FA2"/>
    <w:rsid w:val="00FB31B7"/>
    <w:rsid w:val="00FB421A"/>
    <w:rsid w:val="00FB5B40"/>
    <w:rsid w:val="00FB5C49"/>
    <w:rsid w:val="00FB60CF"/>
    <w:rsid w:val="00FB65CF"/>
    <w:rsid w:val="00FC0032"/>
    <w:rsid w:val="00FC0A01"/>
    <w:rsid w:val="00FC0FC5"/>
    <w:rsid w:val="00FC211F"/>
    <w:rsid w:val="00FC5D0E"/>
    <w:rsid w:val="00FC5DD6"/>
    <w:rsid w:val="00FC6704"/>
    <w:rsid w:val="00FC7F66"/>
    <w:rsid w:val="00FD2A14"/>
    <w:rsid w:val="00FD2C5E"/>
    <w:rsid w:val="00FD4D01"/>
    <w:rsid w:val="00FD5FFF"/>
    <w:rsid w:val="00FE2874"/>
    <w:rsid w:val="00FE35E1"/>
    <w:rsid w:val="00FE4601"/>
    <w:rsid w:val="00FE49DA"/>
    <w:rsid w:val="00FE5D78"/>
    <w:rsid w:val="00FF096A"/>
    <w:rsid w:val="00FF0D90"/>
    <w:rsid w:val="00FF232F"/>
    <w:rsid w:val="00FF6EC8"/>
    <w:rsid w:val="00FF7020"/>
    <w:rsid w:val="00FF7925"/>
    <w:rsid w:val="019451D8"/>
    <w:rsid w:val="023870D5"/>
    <w:rsid w:val="031F6456"/>
    <w:rsid w:val="054D2E29"/>
    <w:rsid w:val="077566D6"/>
    <w:rsid w:val="083E11BD"/>
    <w:rsid w:val="08D833C0"/>
    <w:rsid w:val="09286893"/>
    <w:rsid w:val="0A334D52"/>
    <w:rsid w:val="0A486180"/>
    <w:rsid w:val="0A78310C"/>
    <w:rsid w:val="0C032502"/>
    <w:rsid w:val="0D374B59"/>
    <w:rsid w:val="0D3938E8"/>
    <w:rsid w:val="0EA224A6"/>
    <w:rsid w:val="0ECF2B6F"/>
    <w:rsid w:val="0FA802DC"/>
    <w:rsid w:val="0FCB1589"/>
    <w:rsid w:val="0FDD12BC"/>
    <w:rsid w:val="10343E47"/>
    <w:rsid w:val="107C6D27"/>
    <w:rsid w:val="1102547E"/>
    <w:rsid w:val="11B5604C"/>
    <w:rsid w:val="11C13D74"/>
    <w:rsid w:val="12AA6C58"/>
    <w:rsid w:val="14C116E2"/>
    <w:rsid w:val="160D6710"/>
    <w:rsid w:val="169E2C66"/>
    <w:rsid w:val="16E15B36"/>
    <w:rsid w:val="1741793A"/>
    <w:rsid w:val="18434951"/>
    <w:rsid w:val="184B14B9"/>
    <w:rsid w:val="18DF3766"/>
    <w:rsid w:val="19E80F89"/>
    <w:rsid w:val="1B3E3557"/>
    <w:rsid w:val="1BB05AD7"/>
    <w:rsid w:val="1C3514E0"/>
    <w:rsid w:val="1E65704C"/>
    <w:rsid w:val="1E8030BB"/>
    <w:rsid w:val="1FD5171D"/>
    <w:rsid w:val="20B0050F"/>
    <w:rsid w:val="2158354E"/>
    <w:rsid w:val="23C30A9D"/>
    <w:rsid w:val="24A851AB"/>
    <w:rsid w:val="250D178C"/>
    <w:rsid w:val="251548AE"/>
    <w:rsid w:val="263E08AF"/>
    <w:rsid w:val="265005E2"/>
    <w:rsid w:val="26587DA3"/>
    <w:rsid w:val="274C20B0"/>
    <w:rsid w:val="27BE6888"/>
    <w:rsid w:val="28B74948"/>
    <w:rsid w:val="290D6316"/>
    <w:rsid w:val="294C32E2"/>
    <w:rsid w:val="2AB86CE8"/>
    <w:rsid w:val="2B002F1A"/>
    <w:rsid w:val="2B3B53BD"/>
    <w:rsid w:val="2B7C05C4"/>
    <w:rsid w:val="2CD03D43"/>
    <w:rsid w:val="2D7A0AB0"/>
    <w:rsid w:val="2DE7182C"/>
    <w:rsid w:val="2E99332D"/>
    <w:rsid w:val="2F337470"/>
    <w:rsid w:val="3140250F"/>
    <w:rsid w:val="314277DA"/>
    <w:rsid w:val="31D84F5C"/>
    <w:rsid w:val="33323DCB"/>
    <w:rsid w:val="33356B95"/>
    <w:rsid w:val="33782BCD"/>
    <w:rsid w:val="340071A3"/>
    <w:rsid w:val="34BB756E"/>
    <w:rsid w:val="355E0A28"/>
    <w:rsid w:val="35AD10FA"/>
    <w:rsid w:val="35CE0B1D"/>
    <w:rsid w:val="362034B1"/>
    <w:rsid w:val="36AA1648"/>
    <w:rsid w:val="387F1B24"/>
    <w:rsid w:val="394752D8"/>
    <w:rsid w:val="39700927"/>
    <w:rsid w:val="39EB26A4"/>
    <w:rsid w:val="3A3E4470"/>
    <w:rsid w:val="3AC52EF5"/>
    <w:rsid w:val="3AE45194"/>
    <w:rsid w:val="3B693836"/>
    <w:rsid w:val="3D3B2EB9"/>
    <w:rsid w:val="3D630FB1"/>
    <w:rsid w:val="3ECF0CF0"/>
    <w:rsid w:val="3ED90D1D"/>
    <w:rsid w:val="3FDD4184"/>
    <w:rsid w:val="40AD4CD2"/>
    <w:rsid w:val="43106CD7"/>
    <w:rsid w:val="434D1CD9"/>
    <w:rsid w:val="43B9111D"/>
    <w:rsid w:val="44B65387"/>
    <w:rsid w:val="44FD4C93"/>
    <w:rsid w:val="453B5892"/>
    <w:rsid w:val="45CA0F92"/>
    <w:rsid w:val="4636208F"/>
    <w:rsid w:val="46430BED"/>
    <w:rsid w:val="46876739"/>
    <w:rsid w:val="46BD0F24"/>
    <w:rsid w:val="486B3D10"/>
    <w:rsid w:val="493600EE"/>
    <w:rsid w:val="49BB71E7"/>
    <w:rsid w:val="4AD018E1"/>
    <w:rsid w:val="4D4E2A7B"/>
    <w:rsid w:val="4D647EBF"/>
    <w:rsid w:val="4D7209E2"/>
    <w:rsid w:val="4EB16C3C"/>
    <w:rsid w:val="4EC744C6"/>
    <w:rsid w:val="4F292913"/>
    <w:rsid w:val="4FFB346E"/>
    <w:rsid w:val="50193B69"/>
    <w:rsid w:val="501F67AB"/>
    <w:rsid w:val="51703763"/>
    <w:rsid w:val="51730B5D"/>
    <w:rsid w:val="528A0854"/>
    <w:rsid w:val="53A5521A"/>
    <w:rsid w:val="545F2DCF"/>
    <w:rsid w:val="54617011"/>
    <w:rsid w:val="55592760"/>
    <w:rsid w:val="573F5858"/>
    <w:rsid w:val="57D367F9"/>
    <w:rsid w:val="58A67A6A"/>
    <w:rsid w:val="59B60181"/>
    <w:rsid w:val="59BB5797"/>
    <w:rsid w:val="59F7072C"/>
    <w:rsid w:val="5B501F0F"/>
    <w:rsid w:val="5B801D1B"/>
    <w:rsid w:val="5BCF3F2F"/>
    <w:rsid w:val="5BEF3B67"/>
    <w:rsid w:val="5C0E21F3"/>
    <w:rsid w:val="5F361FC2"/>
    <w:rsid w:val="614F2C84"/>
    <w:rsid w:val="615044DC"/>
    <w:rsid w:val="620C3034"/>
    <w:rsid w:val="627D5CDF"/>
    <w:rsid w:val="62A476BF"/>
    <w:rsid w:val="62B4328D"/>
    <w:rsid w:val="63FF7311"/>
    <w:rsid w:val="644F079A"/>
    <w:rsid w:val="667016B7"/>
    <w:rsid w:val="6705113C"/>
    <w:rsid w:val="67337169"/>
    <w:rsid w:val="681E46F3"/>
    <w:rsid w:val="6A1B0891"/>
    <w:rsid w:val="6B333C8B"/>
    <w:rsid w:val="6BE06325"/>
    <w:rsid w:val="6D4573FA"/>
    <w:rsid w:val="6DD06906"/>
    <w:rsid w:val="6EFE5648"/>
    <w:rsid w:val="6FB25734"/>
    <w:rsid w:val="702C506E"/>
    <w:rsid w:val="70E138DD"/>
    <w:rsid w:val="71012063"/>
    <w:rsid w:val="71797598"/>
    <w:rsid w:val="71CE566F"/>
    <w:rsid w:val="724C57BD"/>
    <w:rsid w:val="72754FDB"/>
    <w:rsid w:val="72A6043D"/>
    <w:rsid w:val="74363F40"/>
    <w:rsid w:val="74EA3BFD"/>
    <w:rsid w:val="75660AC6"/>
    <w:rsid w:val="756E5C26"/>
    <w:rsid w:val="757E36B9"/>
    <w:rsid w:val="76DA4AFF"/>
    <w:rsid w:val="785E5813"/>
    <w:rsid w:val="787D0DC8"/>
    <w:rsid w:val="7AD1163D"/>
    <w:rsid w:val="7C427CB5"/>
    <w:rsid w:val="7C9A0671"/>
    <w:rsid w:val="7D4678B7"/>
    <w:rsid w:val="7E970BA9"/>
    <w:rsid w:val="7F701507"/>
    <w:rsid w:val="7F7D1E3F"/>
    <w:rsid w:val="7FE4029C"/>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1"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pacing w:line="360" w:lineRule="auto"/>
      <w:ind w:firstLine="200" w:firstLineChars="200"/>
      <w:jc w:val="both"/>
    </w:pPr>
    <w:rPr>
      <w:rFonts w:ascii="Times New Roman" w:hAnsi="Times New Roman" w:eastAsia="宋体" w:cstheme="minorBidi"/>
      <w:sz w:val="24"/>
      <w:szCs w:val="22"/>
      <w:lang w:val="en-US" w:eastAsia="zh-CN" w:bidi="ar-SA"/>
    </w:rPr>
  </w:style>
  <w:style w:type="paragraph" w:styleId="3">
    <w:name w:val="heading 1"/>
    <w:basedOn w:val="1"/>
    <w:next w:val="1"/>
    <w:link w:val="39"/>
    <w:autoRedefine/>
    <w:qFormat/>
    <w:uiPriority w:val="9"/>
    <w:pPr>
      <w:keepNext/>
      <w:keepLines/>
      <w:ind w:firstLine="0" w:firstLineChars="0"/>
      <w:outlineLvl w:val="0"/>
    </w:pPr>
    <w:rPr>
      <w:rFonts w:cstheme="majorBidi"/>
      <w:b/>
      <w:sz w:val="32"/>
      <w:szCs w:val="32"/>
    </w:rPr>
  </w:style>
  <w:style w:type="paragraph" w:styleId="4">
    <w:name w:val="heading 2"/>
    <w:basedOn w:val="1"/>
    <w:next w:val="1"/>
    <w:link w:val="40"/>
    <w:autoRedefine/>
    <w:unhideWhenUsed/>
    <w:qFormat/>
    <w:uiPriority w:val="1"/>
    <w:pPr>
      <w:keepNext/>
      <w:keepLines/>
      <w:spacing w:line="240" w:lineRule="auto"/>
      <w:ind w:firstLine="0" w:firstLineChars="0"/>
      <w:outlineLvl w:val="1"/>
    </w:pPr>
    <w:rPr>
      <w:rFonts w:cstheme="majorBidi"/>
      <w:b/>
      <w:szCs w:val="28"/>
    </w:rPr>
  </w:style>
  <w:style w:type="paragraph" w:styleId="5">
    <w:name w:val="heading 3"/>
    <w:basedOn w:val="1"/>
    <w:next w:val="1"/>
    <w:link w:val="45"/>
    <w:unhideWhenUsed/>
    <w:qFormat/>
    <w:uiPriority w:val="9"/>
    <w:pPr>
      <w:keepNext/>
      <w:keepLines/>
      <w:spacing w:line="240" w:lineRule="auto"/>
      <w:ind w:firstLine="0" w:firstLineChars="0"/>
      <w:jc w:val="center"/>
      <w:outlineLvl w:val="2"/>
    </w:pPr>
    <w:rPr>
      <w:rFonts w:cstheme="majorBidi"/>
      <w:color w:val="203864" w:themeColor="accent1" w:themeShade="80"/>
      <w:sz w:val="21"/>
      <w:szCs w:val="24"/>
    </w:rPr>
  </w:style>
  <w:style w:type="paragraph" w:styleId="6">
    <w:name w:val="heading 4"/>
    <w:basedOn w:val="1"/>
    <w:next w:val="1"/>
    <w:link w:val="46"/>
    <w:unhideWhenUsed/>
    <w:qFormat/>
    <w:uiPriority w:val="9"/>
    <w:pPr>
      <w:keepNext/>
      <w:keepLines/>
      <w:spacing w:before="40"/>
      <w:outlineLvl w:val="3"/>
    </w:pPr>
    <w:rPr>
      <w:i/>
      <w:iCs/>
    </w:rPr>
  </w:style>
  <w:style w:type="paragraph" w:styleId="7">
    <w:name w:val="heading 5"/>
    <w:basedOn w:val="1"/>
    <w:next w:val="1"/>
    <w:link w:val="47"/>
    <w:unhideWhenUsed/>
    <w:qFormat/>
    <w:uiPriority w:val="9"/>
    <w:pPr>
      <w:keepNext/>
      <w:keepLines/>
      <w:spacing w:before="40"/>
      <w:outlineLvl w:val="4"/>
    </w:pPr>
    <w:rPr>
      <w:color w:val="2F5597" w:themeColor="accent1" w:themeShade="BF"/>
    </w:rPr>
  </w:style>
  <w:style w:type="paragraph" w:styleId="8">
    <w:name w:val="heading 6"/>
    <w:basedOn w:val="1"/>
    <w:next w:val="1"/>
    <w:link w:val="48"/>
    <w:unhideWhenUsed/>
    <w:qFormat/>
    <w:uiPriority w:val="9"/>
    <w:pPr>
      <w:keepNext/>
      <w:keepLines/>
      <w:spacing w:before="40"/>
      <w:outlineLvl w:val="5"/>
    </w:pPr>
    <w:rPr>
      <w:color w:val="203864" w:themeColor="accent1" w:themeShade="80"/>
    </w:rPr>
  </w:style>
  <w:style w:type="paragraph" w:styleId="9">
    <w:name w:val="heading 7"/>
    <w:basedOn w:val="1"/>
    <w:next w:val="1"/>
    <w:link w:val="49"/>
    <w:autoRedefine/>
    <w:semiHidden/>
    <w:unhideWhenUsed/>
    <w:qFormat/>
    <w:uiPriority w:val="9"/>
    <w:pPr>
      <w:keepNext/>
      <w:keepLines/>
      <w:spacing w:before="40"/>
      <w:outlineLvl w:val="6"/>
    </w:pPr>
    <w:rPr>
      <w:rFonts w:asciiTheme="majorHAnsi" w:hAnsiTheme="majorHAnsi" w:eastAsiaTheme="majorEastAsia" w:cstheme="majorBidi"/>
      <w:i/>
      <w:iCs/>
      <w:color w:val="203864" w:themeColor="accent1" w:themeShade="80"/>
    </w:rPr>
  </w:style>
  <w:style w:type="paragraph" w:styleId="10">
    <w:name w:val="heading 8"/>
    <w:basedOn w:val="1"/>
    <w:next w:val="1"/>
    <w:link w:val="50"/>
    <w:autoRedefine/>
    <w:semiHidden/>
    <w:unhideWhenUsed/>
    <w:qFormat/>
    <w:uiPriority w:val="9"/>
    <w:pPr>
      <w:keepNext/>
      <w:keepLines/>
      <w:spacing w:before="40"/>
      <w:outlineLvl w:val="7"/>
    </w:pPr>
    <w:rPr>
      <w:color w:val="262626" w:themeColor="text1" w:themeTint="D9"/>
      <w:sz w:val="21"/>
      <w:szCs w:val="21"/>
      <w14:textFill>
        <w14:solidFill>
          <w14:schemeClr w14:val="tx1">
            <w14:lumMod w14:val="85000"/>
            <w14:lumOff w14:val="15000"/>
          </w14:schemeClr>
        </w14:solidFill>
      </w14:textFill>
    </w:rPr>
  </w:style>
  <w:style w:type="paragraph" w:styleId="11">
    <w:name w:val="heading 9"/>
    <w:basedOn w:val="1"/>
    <w:next w:val="1"/>
    <w:link w:val="51"/>
    <w:autoRedefine/>
    <w:semiHidden/>
    <w:unhideWhenUsed/>
    <w:qFormat/>
    <w:uiPriority w:val="9"/>
    <w:pPr>
      <w:keepNext/>
      <w:keepLines/>
      <w:spacing w:before="40"/>
      <w:outlineLvl w:val="8"/>
    </w:pPr>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default="1" w:styleId="31">
    <w:name w:val="Default Paragraph Font"/>
    <w:autoRedefine/>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2">
    <w:name w:val="Normal Indent"/>
    <w:basedOn w:val="1"/>
    <w:qFormat/>
    <w:uiPriority w:val="0"/>
    <w:pPr>
      <w:ind w:firstLine="420" w:firstLineChars="200"/>
    </w:pPr>
  </w:style>
  <w:style w:type="paragraph" w:styleId="12">
    <w:name w:val="caption"/>
    <w:basedOn w:val="1"/>
    <w:next w:val="1"/>
    <w:autoRedefine/>
    <w:semiHidden/>
    <w:unhideWhenUsed/>
    <w:qFormat/>
    <w:uiPriority w:val="35"/>
    <w:pPr>
      <w:spacing w:after="200" w:line="240" w:lineRule="auto"/>
    </w:pPr>
    <w:rPr>
      <w:i/>
      <w:iCs/>
      <w:color w:val="44546A" w:themeColor="text2"/>
      <w:sz w:val="18"/>
      <w:szCs w:val="18"/>
      <w14:textFill>
        <w14:solidFill>
          <w14:schemeClr w14:val="tx2"/>
        </w14:solidFill>
      </w14:textFill>
    </w:rPr>
  </w:style>
  <w:style w:type="paragraph" w:styleId="13">
    <w:name w:val="Document Map"/>
    <w:basedOn w:val="1"/>
    <w:link w:val="65"/>
    <w:semiHidden/>
    <w:unhideWhenUsed/>
    <w:qFormat/>
    <w:uiPriority w:val="99"/>
    <w:rPr>
      <w:rFonts w:ascii="Heiti SC Light" w:eastAsia="Heiti SC Light"/>
      <w:szCs w:val="24"/>
    </w:rPr>
  </w:style>
  <w:style w:type="paragraph" w:styleId="14">
    <w:name w:val="annotation text"/>
    <w:basedOn w:val="1"/>
    <w:link w:val="41"/>
    <w:unhideWhenUsed/>
    <w:qFormat/>
    <w:uiPriority w:val="0"/>
  </w:style>
  <w:style w:type="paragraph" w:styleId="15">
    <w:name w:val="Body Text"/>
    <w:basedOn w:val="1"/>
    <w:next w:val="16"/>
    <w:qFormat/>
    <w:uiPriority w:val="0"/>
    <w:pPr>
      <w:jc w:val="left"/>
    </w:pPr>
    <w:rPr>
      <w:sz w:val="24"/>
    </w:rPr>
  </w:style>
  <w:style w:type="paragraph" w:styleId="16">
    <w:name w:val="List Bullet 5"/>
    <w:basedOn w:val="1"/>
    <w:semiHidden/>
    <w:unhideWhenUsed/>
    <w:qFormat/>
    <w:uiPriority w:val="99"/>
    <w:pPr>
      <w:numPr>
        <w:ilvl w:val="0"/>
        <w:numId w:val="1"/>
      </w:numPr>
    </w:pPr>
  </w:style>
  <w:style w:type="paragraph" w:styleId="17">
    <w:name w:val="Body Text Indent"/>
    <w:basedOn w:val="1"/>
    <w:next w:val="1"/>
    <w:autoRedefine/>
    <w:qFormat/>
    <w:uiPriority w:val="0"/>
    <w:pPr>
      <w:widowControl/>
      <w:spacing w:after="312" w:afterLines="100"/>
      <w:ind w:left="200" w:leftChars="200"/>
      <w:jc w:val="left"/>
    </w:pPr>
    <w:rPr>
      <w:rFonts w:ascii="Calibri" w:hAnsi="Calibri"/>
      <w:kern w:val="0"/>
      <w:sz w:val="24"/>
      <w:szCs w:val="22"/>
      <w:lang w:eastAsia="en-US" w:bidi="en-US"/>
    </w:rPr>
  </w:style>
  <w:style w:type="paragraph" w:styleId="18">
    <w:name w:val="Plain Text"/>
    <w:basedOn w:val="1"/>
    <w:autoRedefine/>
    <w:qFormat/>
    <w:uiPriority w:val="0"/>
    <w:rPr>
      <w:rFonts w:ascii="宋体" w:hAnsi="Courier New"/>
    </w:rPr>
  </w:style>
  <w:style w:type="paragraph" w:styleId="19">
    <w:name w:val="Balloon Text"/>
    <w:basedOn w:val="1"/>
    <w:link w:val="43"/>
    <w:semiHidden/>
    <w:unhideWhenUsed/>
    <w:qFormat/>
    <w:uiPriority w:val="99"/>
    <w:pPr>
      <w:spacing w:line="240" w:lineRule="auto"/>
    </w:pPr>
    <w:rPr>
      <w:sz w:val="18"/>
      <w:szCs w:val="18"/>
    </w:rPr>
  </w:style>
  <w:style w:type="paragraph" w:styleId="20">
    <w:name w:val="footer"/>
    <w:basedOn w:val="1"/>
    <w:link w:val="38"/>
    <w:autoRedefine/>
    <w:unhideWhenUsed/>
    <w:qFormat/>
    <w:uiPriority w:val="99"/>
    <w:pPr>
      <w:tabs>
        <w:tab w:val="center" w:pos="4153"/>
        <w:tab w:val="right" w:pos="8306"/>
      </w:tabs>
    </w:pPr>
    <w:rPr>
      <w:sz w:val="18"/>
      <w:szCs w:val="18"/>
    </w:rPr>
  </w:style>
  <w:style w:type="paragraph" w:styleId="21">
    <w:name w:val="header"/>
    <w:basedOn w:val="1"/>
    <w:link w:val="37"/>
    <w:unhideWhenUsed/>
    <w:qFormat/>
    <w:uiPriority w:val="99"/>
    <w:pPr>
      <w:pBdr>
        <w:bottom w:val="single" w:color="auto" w:sz="6" w:space="1"/>
      </w:pBdr>
      <w:tabs>
        <w:tab w:val="center" w:pos="4153"/>
        <w:tab w:val="right" w:pos="8306"/>
      </w:tabs>
      <w:jc w:val="center"/>
    </w:pPr>
    <w:rPr>
      <w:sz w:val="18"/>
      <w:szCs w:val="18"/>
    </w:rPr>
  </w:style>
  <w:style w:type="paragraph" w:styleId="22">
    <w:name w:val="toc 1"/>
    <w:basedOn w:val="1"/>
    <w:next w:val="1"/>
    <w:unhideWhenUsed/>
    <w:qFormat/>
    <w:uiPriority w:val="39"/>
  </w:style>
  <w:style w:type="paragraph" w:styleId="23">
    <w:name w:val="Subtitle"/>
    <w:basedOn w:val="1"/>
    <w:next w:val="1"/>
    <w:link w:val="53"/>
    <w:autoRedefine/>
    <w:qFormat/>
    <w:uiPriority w:val="11"/>
    <w:rPr>
      <w:color w:val="595959" w:themeColor="text1" w:themeTint="A6"/>
      <w:spacing w:val="15"/>
      <w14:textFill>
        <w14:solidFill>
          <w14:schemeClr w14:val="tx1">
            <w14:lumMod w14:val="65000"/>
            <w14:lumOff w14:val="35000"/>
          </w14:schemeClr>
        </w14:solidFill>
      </w14:textFill>
    </w:rPr>
  </w:style>
  <w:style w:type="paragraph" w:styleId="24">
    <w:name w:val="toc 2"/>
    <w:basedOn w:val="1"/>
    <w:next w:val="1"/>
    <w:unhideWhenUsed/>
    <w:qFormat/>
    <w:uiPriority w:val="39"/>
    <w:pPr>
      <w:ind w:left="420" w:leftChars="200"/>
    </w:pPr>
  </w:style>
  <w:style w:type="paragraph" w:styleId="25">
    <w:name w:val="Title"/>
    <w:basedOn w:val="1"/>
    <w:next w:val="1"/>
    <w:link w:val="52"/>
    <w:qFormat/>
    <w:uiPriority w:val="10"/>
    <w:pPr>
      <w:spacing w:line="240" w:lineRule="auto"/>
      <w:contextualSpacing/>
    </w:pPr>
    <w:rPr>
      <w:rFonts w:asciiTheme="majorHAnsi" w:hAnsiTheme="majorHAnsi" w:eastAsiaTheme="majorEastAsia" w:cstheme="majorBidi"/>
      <w:spacing w:val="-10"/>
      <w:sz w:val="56"/>
      <w:szCs w:val="56"/>
    </w:rPr>
  </w:style>
  <w:style w:type="paragraph" w:styleId="26">
    <w:name w:val="annotation subject"/>
    <w:basedOn w:val="14"/>
    <w:next w:val="14"/>
    <w:link w:val="42"/>
    <w:autoRedefine/>
    <w:semiHidden/>
    <w:unhideWhenUsed/>
    <w:qFormat/>
    <w:uiPriority w:val="99"/>
    <w:rPr>
      <w:b/>
      <w:bCs/>
    </w:rPr>
  </w:style>
  <w:style w:type="paragraph" w:styleId="27">
    <w:name w:val="Body Text First Indent"/>
    <w:basedOn w:val="15"/>
    <w:next w:val="1"/>
    <w:qFormat/>
    <w:uiPriority w:val="0"/>
    <w:pPr>
      <w:ind w:firstLine="420" w:firstLineChars="100"/>
    </w:pPr>
  </w:style>
  <w:style w:type="paragraph" w:styleId="28">
    <w:name w:val="Body Text First Indent 2"/>
    <w:basedOn w:val="17"/>
    <w:next w:val="1"/>
    <w:qFormat/>
    <w:uiPriority w:val="0"/>
    <w:pPr>
      <w:widowControl w:val="0"/>
      <w:spacing w:after="120" w:afterLines="0"/>
      <w:ind w:left="420" w:firstLine="420" w:firstLineChars="200"/>
      <w:jc w:val="both"/>
    </w:pPr>
    <w:rPr>
      <w:rFonts w:ascii="Times New Roman" w:hAnsi="Times New Roman"/>
      <w:kern w:val="2"/>
      <w:sz w:val="21"/>
      <w:szCs w:val="20"/>
      <w:lang w:eastAsia="zh-CN" w:bidi="ar-SA"/>
    </w:rPr>
  </w:style>
  <w:style w:type="table" w:styleId="30">
    <w:name w:val="Table Grid"/>
    <w:basedOn w:val="29"/>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autoRedefine/>
    <w:qFormat/>
    <w:uiPriority w:val="22"/>
    <w:rPr>
      <w:b/>
      <w:bCs/>
      <w:color w:val="auto"/>
    </w:rPr>
  </w:style>
  <w:style w:type="character" w:styleId="33">
    <w:name w:val="Emphasis"/>
    <w:basedOn w:val="31"/>
    <w:autoRedefine/>
    <w:qFormat/>
    <w:uiPriority w:val="20"/>
    <w:rPr>
      <w:i/>
      <w:iCs/>
      <w:color w:val="auto"/>
    </w:rPr>
  </w:style>
  <w:style w:type="character" w:styleId="34">
    <w:name w:val="Hyperlink"/>
    <w:basedOn w:val="31"/>
    <w:autoRedefine/>
    <w:unhideWhenUsed/>
    <w:qFormat/>
    <w:uiPriority w:val="99"/>
    <w:rPr>
      <w:color w:val="0563C1" w:themeColor="hyperlink"/>
      <w:u w:val="single"/>
      <w14:textFill>
        <w14:solidFill>
          <w14:schemeClr w14:val="hlink"/>
        </w14:solidFill>
      </w14:textFill>
    </w:rPr>
  </w:style>
  <w:style w:type="character" w:styleId="35">
    <w:name w:val="annotation reference"/>
    <w:basedOn w:val="31"/>
    <w:autoRedefine/>
    <w:semiHidden/>
    <w:unhideWhenUsed/>
    <w:qFormat/>
    <w:uiPriority w:val="99"/>
    <w:rPr>
      <w:sz w:val="21"/>
      <w:szCs w:val="21"/>
    </w:rPr>
  </w:style>
  <w:style w:type="paragraph" w:customStyle="1" w:styleId="36">
    <w:name w:val="样式 正文缩进正文缩进2正文缩进 Char Char正文缩进 Char Char Char Char正文缩进 Char ..."/>
    <w:basedOn w:val="2"/>
    <w:autoRedefine/>
    <w:qFormat/>
    <w:uiPriority w:val="0"/>
    <w:pPr>
      <w:spacing w:line="360" w:lineRule="auto"/>
      <w:ind w:firstLine="200"/>
    </w:pPr>
    <w:rPr>
      <w:rFonts w:cs="宋体"/>
      <w:sz w:val="24"/>
    </w:rPr>
  </w:style>
  <w:style w:type="character" w:customStyle="1" w:styleId="37">
    <w:name w:val="页眉 字符"/>
    <w:basedOn w:val="31"/>
    <w:link w:val="21"/>
    <w:autoRedefine/>
    <w:qFormat/>
    <w:uiPriority w:val="99"/>
    <w:rPr>
      <w:sz w:val="18"/>
      <w:szCs w:val="18"/>
    </w:rPr>
  </w:style>
  <w:style w:type="character" w:customStyle="1" w:styleId="38">
    <w:name w:val="页脚 字符"/>
    <w:basedOn w:val="31"/>
    <w:link w:val="20"/>
    <w:qFormat/>
    <w:uiPriority w:val="99"/>
    <w:rPr>
      <w:sz w:val="18"/>
      <w:szCs w:val="18"/>
    </w:rPr>
  </w:style>
  <w:style w:type="character" w:customStyle="1" w:styleId="39">
    <w:name w:val="标题 1 字符"/>
    <w:basedOn w:val="31"/>
    <w:link w:val="3"/>
    <w:qFormat/>
    <w:uiPriority w:val="9"/>
    <w:rPr>
      <w:rFonts w:ascii="Times New Roman" w:hAnsi="Times New Roman" w:eastAsia="宋体" w:cstheme="majorBidi"/>
      <w:b/>
      <w:sz w:val="32"/>
      <w:szCs w:val="32"/>
    </w:rPr>
  </w:style>
  <w:style w:type="character" w:customStyle="1" w:styleId="40">
    <w:name w:val="标题 2 字符"/>
    <w:basedOn w:val="31"/>
    <w:link w:val="4"/>
    <w:autoRedefine/>
    <w:qFormat/>
    <w:uiPriority w:val="9"/>
    <w:rPr>
      <w:rFonts w:ascii="Times New Roman" w:hAnsi="Times New Roman" w:eastAsia="宋体" w:cstheme="majorBidi"/>
      <w:b/>
      <w:sz w:val="24"/>
      <w:szCs w:val="28"/>
    </w:rPr>
  </w:style>
  <w:style w:type="character" w:customStyle="1" w:styleId="41">
    <w:name w:val="批注文字 字符"/>
    <w:basedOn w:val="31"/>
    <w:link w:val="14"/>
    <w:qFormat/>
    <w:uiPriority w:val="99"/>
    <w:rPr>
      <w:rFonts w:ascii="Times New Roman" w:hAnsi="Times New Roman" w:eastAsia="宋体" w:cs="Times New Roman"/>
      <w:sz w:val="24"/>
      <w:szCs w:val="24"/>
    </w:rPr>
  </w:style>
  <w:style w:type="character" w:customStyle="1" w:styleId="42">
    <w:name w:val="批注主题 字符"/>
    <w:basedOn w:val="41"/>
    <w:link w:val="26"/>
    <w:semiHidden/>
    <w:qFormat/>
    <w:uiPriority w:val="99"/>
    <w:rPr>
      <w:rFonts w:ascii="Times New Roman" w:hAnsi="Times New Roman" w:eastAsia="宋体" w:cs="Times New Roman"/>
      <w:b/>
      <w:bCs/>
      <w:sz w:val="24"/>
      <w:szCs w:val="24"/>
    </w:rPr>
  </w:style>
  <w:style w:type="character" w:customStyle="1" w:styleId="43">
    <w:name w:val="批注框文本 字符"/>
    <w:basedOn w:val="31"/>
    <w:link w:val="19"/>
    <w:autoRedefine/>
    <w:semiHidden/>
    <w:qFormat/>
    <w:uiPriority w:val="99"/>
    <w:rPr>
      <w:rFonts w:ascii="Times New Roman" w:hAnsi="Times New Roman" w:eastAsia="宋体" w:cs="Times New Roman"/>
      <w:sz w:val="18"/>
      <w:szCs w:val="18"/>
    </w:rPr>
  </w:style>
  <w:style w:type="paragraph" w:styleId="44">
    <w:name w:val="No Spacing"/>
    <w:qFormat/>
    <w:uiPriority w:val="1"/>
    <w:rPr>
      <w:rFonts w:asciiTheme="minorHAnsi" w:hAnsiTheme="minorHAnsi" w:eastAsiaTheme="minorEastAsia" w:cstheme="minorBidi"/>
      <w:sz w:val="22"/>
      <w:szCs w:val="22"/>
      <w:lang w:val="en-US" w:eastAsia="zh-CN" w:bidi="ar-SA"/>
    </w:rPr>
  </w:style>
  <w:style w:type="character" w:customStyle="1" w:styleId="45">
    <w:name w:val="标题 3 字符"/>
    <w:basedOn w:val="31"/>
    <w:link w:val="5"/>
    <w:qFormat/>
    <w:uiPriority w:val="9"/>
    <w:rPr>
      <w:rFonts w:ascii="Times New Roman" w:hAnsi="Times New Roman" w:eastAsia="宋体" w:cstheme="majorBidi"/>
      <w:color w:val="203864" w:themeColor="accent1" w:themeShade="80"/>
      <w:sz w:val="21"/>
      <w:szCs w:val="24"/>
    </w:rPr>
  </w:style>
  <w:style w:type="character" w:customStyle="1" w:styleId="46">
    <w:name w:val="标题 4 字符"/>
    <w:basedOn w:val="31"/>
    <w:link w:val="6"/>
    <w:autoRedefine/>
    <w:semiHidden/>
    <w:qFormat/>
    <w:uiPriority w:val="9"/>
    <w:rPr>
      <w:i/>
      <w:iCs/>
    </w:rPr>
  </w:style>
  <w:style w:type="character" w:customStyle="1" w:styleId="47">
    <w:name w:val="标题 5 字符"/>
    <w:basedOn w:val="31"/>
    <w:link w:val="7"/>
    <w:semiHidden/>
    <w:qFormat/>
    <w:uiPriority w:val="9"/>
    <w:rPr>
      <w:color w:val="2F5597" w:themeColor="accent1" w:themeShade="BF"/>
    </w:rPr>
  </w:style>
  <w:style w:type="character" w:customStyle="1" w:styleId="48">
    <w:name w:val="标题 6 字符"/>
    <w:basedOn w:val="31"/>
    <w:link w:val="8"/>
    <w:semiHidden/>
    <w:qFormat/>
    <w:uiPriority w:val="9"/>
    <w:rPr>
      <w:color w:val="203864" w:themeColor="accent1" w:themeShade="80"/>
    </w:rPr>
  </w:style>
  <w:style w:type="character" w:customStyle="1" w:styleId="49">
    <w:name w:val="标题 7 字符"/>
    <w:basedOn w:val="31"/>
    <w:link w:val="9"/>
    <w:autoRedefine/>
    <w:semiHidden/>
    <w:qFormat/>
    <w:uiPriority w:val="9"/>
    <w:rPr>
      <w:rFonts w:asciiTheme="majorHAnsi" w:hAnsiTheme="majorHAnsi" w:eastAsiaTheme="majorEastAsia" w:cstheme="majorBidi"/>
      <w:i/>
      <w:iCs/>
      <w:color w:val="203864" w:themeColor="accent1" w:themeShade="80"/>
    </w:rPr>
  </w:style>
  <w:style w:type="character" w:customStyle="1" w:styleId="50">
    <w:name w:val="标题 8 字符"/>
    <w:basedOn w:val="31"/>
    <w:link w:val="10"/>
    <w:semiHidden/>
    <w:qFormat/>
    <w:uiPriority w:val="9"/>
    <w:rPr>
      <w:color w:val="262626" w:themeColor="text1" w:themeTint="D9"/>
      <w:sz w:val="21"/>
      <w:szCs w:val="21"/>
      <w14:textFill>
        <w14:solidFill>
          <w14:schemeClr w14:val="tx1">
            <w14:lumMod w14:val="85000"/>
            <w14:lumOff w14:val="15000"/>
          </w14:schemeClr>
        </w14:solidFill>
      </w14:textFill>
    </w:rPr>
  </w:style>
  <w:style w:type="character" w:customStyle="1" w:styleId="51">
    <w:name w:val="标题 9 字符"/>
    <w:basedOn w:val="31"/>
    <w:link w:val="11"/>
    <w:semiHidden/>
    <w:qFormat/>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52">
    <w:name w:val="标题 字符"/>
    <w:basedOn w:val="31"/>
    <w:link w:val="25"/>
    <w:autoRedefine/>
    <w:qFormat/>
    <w:uiPriority w:val="10"/>
    <w:rPr>
      <w:rFonts w:asciiTheme="majorHAnsi" w:hAnsiTheme="majorHAnsi" w:eastAsiaTheme="majorEastAsia" w:cstheme="majorBidi"/>
      <w:spacing w:val="-10"/>
      <w:sz w:val="56"/>
      <w:szCs w:val="56"/>
    </w:rPr>
  </w:style>
  <w:style w:type="character" w:customStyle="1" w:styleId="53">
    <w:name w:val="副标题 字符"/>
    <w:basedOn w:val="31"/>
    <w:link w:val="23"/>
    <w:qFormat/>
    <w:uiPriority w:val="11"/>
    <w:rPr>
      <w:color w:val="595959" w:themeColor="text1" w:themeTint="A6"/>
      <w:spacing w:val="15"/>
      <w14:textFill>
        <w14:solidFill>
          <w14:schemeClr w14:val="tx1">
            <w14:lumMod w14:val="65000"/>
            <w14:lumOff w14:val="35000"/>
          </w14:schemeClr>
        </w14:solidFill>
      </w14:textFill>
    </w:rPr>
  </w:style>
  <w:style w:type="paragraph" w:styleId="54">
    <w:name w:val="Quote"/>
    <w:basedOn w:val="1"/>
    <w:next w:val="1"/>
    <w:link w:val="55"/>
    <w:qFormat/>
    <w:uiPriority w:val="29"/>
    <w:pPr>
      <w:spacing w:before="200"/>
      <w:ind w:left="864" w:right="864"/>
    </w:pPr>
    <w:rPr>
      <w:i/>
      <w:iCs/>
      <w:color w:val="404040" w:themeColor="text1" w:themeTint="BF"/>
      <w14:textFill>
        <w14:solidFill>
          <w14:schemeClr w14:val="tx1">
            <w14:lumMod w14:val="75000"/>
            <w14:lumOff w14:val="25000"/>
          </w14:schemeClr>
        </w14:solidFill>
      </w14:textFill>
    </w:rPr>
  </w:style>
  <w:style w:type="character" w:customStyle="1" w:styleId="55">
    <w:name w:val="引用 字符"/>
    <w:basedOn w:val="31"/>
    <w:link w:val="54"/>
    <w:autoRedefine/>
    <w:qFormat/>
    <w:uiPriority w:val="29"/>
    <w:rPr>
      <w:i/>
      <w:iCs/>
      <w:color w:val="404040" w:themeColor="text1" w:themeTint="BF"/>
      <w14:textFill>
        <w14:solidFill>
          <w14:schemeClr w14:val="tx1">
            <w14:lumMod w14:val="75000"/>
            <w14:lumOff w14:val="25000"/>
          </w14:schemeClr>
        </w14:solidFill>
      </w14:textFill>
    </w:rPr>
  </w:style>
  <w:style w:type="paragraph" w:styleId="56">
    <w:name w:val="Intense Quote"/>
    <w:basedOn w:val="1"/>
    <w:next w:val="1"/>
    <w:link w:val="57"/>
    <w:qFormat/>
    <w:uiPriority w:val="30"/>
    <w:pPr>
      <w:pBdr>
        <w:top w:val="single" w:color="4472C4" w:themeColor="accent1" w:sz="4" w:space="10"/>
        <w:bottom w:val="single" w:color="4472C4" w:themeColor="accent1" w:sz="4" w:space="10"/>
      </w:pBdr>
      <w:spacing w:before="360" w:after="360"/>
      <w:ind w:left="864" w:right="864"/>
      <w:jc w:val="center"/>
    </w:pPr>
    <w:rPr>
      <w:i/>
      <w:iCs/>
      <w:color w:val="4472C4" w:themeColor="accent1"/>
      <w14:textFill>
        <w14:solidFill>
          <w14:schemeClr w14:val="accent1"/>
        </w14:solidFill>
      </w14:textFill>
    </w:rPr>
  </w:style>
  <w:style w:type="character" w:customStyle="1" w:styleId="57">
    <w:name w:val="明显引用 字符"/>
    <w:basedOn w:val="31"/>
    <w:link w:val="56"/>
    <w:qFormat/>
    <w:uiPriority w:val="30"/>
    <w:rPr>
      <w:i/>
      <w:iCs/>
      <w:color w:val="4472C4" w:themeColor="accent1"/>
      <w14:textFill>
        <w14:solidFill>
          <w14:schemeClr w14:val="accent1"/>
        </w14:solidFill>
      </w14:textFill>
    </w:rPr>
  </w:style>
  <w:style w:type="character" w:customStyle="1" w:styleId="58">
    <w:name w:val="不明显强调1"/>
    <w:basedOn w:val="31"/>
    <w:qFormat/>
    <w:uiPriority w:val="19"/>
    <w:rPr>
      <w:i/>
      <w:iCs/>
      <w:color w:val="404040" w:themeColor="text1" w:themeTint="BF"/>
      <w14:textFill>
        <w14:solidFill>
          <w14:schemeClr w14:val="tx1">
            <w14:lumMod w14:val="75000"/>
            <w14:lumOff w14:val="25000"/>
          </w14:schemeClr>
        </w14:solidFill>
      </w14:textFill>
    </w:rPr>
  </w:style>
  <w:style w:type="character" w:customStyle="1" w:styleId="59">
    <w:name w:val="明显强调1"/>
    <w:basedOn w:val="31"/>
    <w:qFormat/>
    <w:uiPriority w:val="21"/>
    <w:rPr>
      <w:i/>
      <w:iCs/>
      <w:color w:val="4472C4" w:themeColor="accent1"/>
      <w14:textFill>
        <w14:solidFill>
          <w14:schemeClr w14:val="accent1"/>
        </w14:solidFill>
      </w14:textFill>
    </w:rPr>
  </w:style>
  <w:style w:type="character" w:customStyle="1" w:styleId="60">
    <w:name w:val="不明显参考1"/>
    <w:basedOn w:val="31"/>
    <w:qFormat/>
    <w:uiPriority w:val="31"/>
    <w:rPr>
      <w:smallCaps/>
      <w:color w:val="404040" w:themeColor="text1" w:themeTint="BF"/>
      <w14:textFill>
        <w14:solidFill>
          <w14:schemeClr w14:val="tx1">
            <w14:lumMod w14:val="75000"/>
            <w14:lumOff w14:val="25000"/>
          </w14:schemeClr>
        </w14:solidFill>
      </w14:textFill>
    </w:rPr>
  </w:style>
  <w:style w:type="character" w:customStyle="1" w:styleId="61">
    <w:name w:val="明显参考1"/>
    <w:basedOn w:val="31"/>
    <w:qFormat/>
    <w:uiPriority w:val="32"/>
    <w:rPr>
      <w:b/>
      <w:bCs/>
      <w:smallCaps/>
      <w:color w:val="4472C4" w:themeColor="accent1"/>
      <w:spacing w:val="5"/>
      <w14:textFill>
        <w14:solidFill>
          <w14:schemeClr w14:val="accent1"/>
        </w14:solidFill>
      </w14:textFill>
    </w:rPr>
  </w:style>
  <w:style w:type="character" w:customStyle="1" w:styleId="62">
    <w:name w:val="书籍标题1"/>
    <w:basedOn w:val="31"/>
    <w:qFormat/>
    <w:uiPriority w:val="33"/>
    <w:rPr>
      <w:b/>
      <w:bCs/>
      <w:i/>
      <w:iCs/>
      <w:spacing w:val="5"/>
    </w:rPr>
  </w:style>
  <w:style w:type="paragraph" w:customStyle="1" w:styleId="63">
    <w:name w:val="TOC 标题1"/>
    <w:basedOn w:val="3"/>
    <w:next w:val="1"/>
    <w:semiHidden/>
    <w:unhideWhenUsed/>
    <w:qFormat/>
    <w:uiPriority w:val="39"/>
    <w:pPr>
      <w:outlineLvl w:val="9"/>
    </w:pPr>
  </w:style>
  <w:style w:type="table" w:customStyle="1" w:styleId="64">
    <w:name w:val="Table Normal"/>
    <w:semiHidden/>
    <w:unhideWhenUsed/>
    <w:qFormat/>
    <w:uiPriority w:val="2"/>
    <w:pPr>
      <w:widowControl w:val="0"/>
    </w:pPr>
    <w:rPr>
      <w:lang w:eastAsia="en-US"/>
    </w:rPr>
    <w:tblPr>
      <w:tblCellMar>
        <w:top w:w="0" w:type="dxa"/>
        <w:left w:w="0" w:type="dxa"/>
        <w:bottom w:w="0" w:type="dxa"/>
        <w:right w:w="0" w:type="dxa"/>
      </w:tblCellMar>
    </w:tblPr>
  </w:style>
  <w:style w:type="character" w:customStyle="1" w:styleId="65">
    <w:name w:val="文档结构图 字符"/>
    <w:basedOn w:val="31"/>
    <w:link w:val="13"/>
    <w:semiHidden/>
    <w:qFormat/>
    <w:uiPriority w:val="99"/>
    <w:rPr>
      <w:rFonts w:ascii="Heiti SC Light" w:hAnsi="Times New Roman" w:eastAsia="Heiti SC Light"/>
      <w:sz w:val="24"/>
      <w:szCs w:val="24"/>
    </w:rPr>
  </w:style>
  <w:style w:type="paragraph" w:customStyle="1" w:styleId="66">
    <w:name w:val="修订1"/>
    <w:hidden/>
    <w:semiHidden/>
    <w:qFormat/>
    <w:uiPriority w:val="99"/>
    <w:rPr>
      <w:rFonts w:ascii="Times New Roman" w:hAnsi="Times New Roman" w:eastAsia="宋体" w:cstheme="minorBidi"/>
      <w:sz w:val="24"/>
      <w:szCs w:val="22"/>
      <w:lang w:val="en-US" w:eastAsia="zh-CN" w:bidi="ar-SA"/>
    </w:rPr>
  </w:style>
  <w:style w:type="paragraph" w:styleId="67">
    <w:name w:val="List Paragraph"/>
    <w:basedOn w:val="1"/>
    <w:qFormat/>
    <w:uiPriority w:val="34"/>
    <w:pPr>
      <w:ind w:firstLine="420"/>
    </w:pPr>
  </w:style>
  <w:style w:type="character" w:customStyle="1" w:styleId="68">
    <w:name w:val="未处理的提及1"/>
    <w:basedOn w:val="31"/>
    <w:semiHidden/>
    <w:unhideWhenUsed/>
    <w:qFormat/>
    <w:uiPriority w:val="99"/>
    <w:rPr>
      <w:color w:val="605E5C"/>
      <w:shd w:val="clear" w:color="auto" w:fill="E1DFDD"/>
    </w:rPr>
  </w:style>
  <w:style w:type="paragraph" w:customStyle="1" w:styleId="69">
    <w:name w:val="表格内容1"/>
    <w:basedOn w:val="1"/>
    <w:next w:val="1"/>
    <w:qFormat/>
    <w:uiPriority w:val="99"/>
    <w:pPr>
      <w:widowControl w:val="0"/>
      <w:spacing w:line="240" w:lineRule="auto"/>
      <w:ind w:firstLine="0" w:firstLineChars="0"/>
      <w:jc w:val="center"/>
    </w:pPr>
    <w:rPr>
      <w:kern w:val="2"/>
      <w:sz w:val="21"/>
      <w:lang w:eastAsia="en-US"/>
    </w:rPr>
  </w:style>
  <w:style w:type="paragraph" w:customStyle="1" w:styleId="70">
    <w:name w:val="TOC 标题2"/>
    <w:basedOn w:val="3"/>
    <w:next w:val="1"/>
    <w:unhideWhenUsed/>
    <w:qFormat/>
    <w:uiPriority w:val="39"/>
    <w:pPr>
      <w:spacing w:before="240" w:line="259" w:lineRule="auto"/>
      <w:jc w:val="left"/>
      <w:outlineLvl w:val="9"/>
    </w:pPr>
    <w:rPr>
      <w:rFonts w:asciiTheme="majorHAnsi" w:hAnsiTheme="majorHAnsi" w:eastAsiaTheme="majorEastAsia"/>
      <w:b w:val="0"/>
      <w:color w:val="2F5597" w:themeColor="accent1" w:themeShade="BF"/>
    </w:rPr>
  </w:style>
  <w:style w:type="paragraph" w:customStyle="1" w:styleId="71">
    <w:name w:val="xl27"/>
    <w:basedOn w:val="1"/>
    <w:autoRedefine/>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72">
    <w:name w:val="[1]正文"/>
    <w:basedOn w:val="1"/>
    <w:qFormat/>
    <w:uiPriority w:val="0"/>
    <w:pPr>
      <w:autoSpaceDE w:val="0"/>
      <w:autoSpaceDN w:val="0"/>
      <w:ind w:firstLine="200" w:firstLineChars="200"/>
    </w:pPr>
    <w:rPr>
      <w:color w:val="000000"/>
      <w:kern w:val="0"/>
      <w:lang w:val="zh-CN"/>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6" Type="http://schemas.openxmlformats.org/officeDocument/2006/relationships/fontTable" Target="fontTable.xml"/><Relationship Id="rId45" Type="http://schemas.openxmlformats.org/officeDocument/2006/relationships/customXml" Target="../customXml/item2.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24.png"/><Relationship Id="rId41" Type="http://schemas.openxmlformats.org/officeDocument/2006/relationships/image" Target="media/image23.jpeg"/><Relationship Id="rId40" Type="http://schemas.openxmlformats.org/officeDocument/2006/relationships/image" Target="media/image22.png"/><Relationship Id="rId4" Type="http://schemas.openxmlformats.org/officeDocument/2006/relationships/endnotes" Target="endnotes.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jpeg"/><Relationship Id="rId36" Type="http://schemas.openxmlformats.org/officeDocument/2006/relationships/image" Target="media/image18.jpe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emf"/><Relationship Id="rId3" Type="http://schemas.openxmlformats.org/officeDocument/2006/relationships/footnotes" Target="footnotes.xml"/><Relationship Id="rId29" Type="http://schemas.openxmlformats.org/officeDocument/2006/relationships/image" Target="media/image11.wmf"/><Relationship Id="rId28" Type="http://schemas.openxmlformats.org/officeDocument/2006/relationships/oleObject" Target="embeddings/oleObject4.bin"/><Relationship Id="rId27" Type="http://schemas.openxmlformats.org/officeDocument/2006/relationships/image" Target="media/image10.wmf"/><Relationship Id="rId26" Type="http://schemas.openxmlformats.org/officeDocument/2006/relationships/oleObject" Target="embeddings/oleObject3.bin"/><Relationship Id="rId25" Type="http://schemas.openxmlformats.org/officeDocument/2006/relationships/image" Target="media/image9.emf"/><Relationship Id="rId24" Type="http://schemas.openxmlformats.org/officeDocument/2006/relationships/oleObject" Target="embeddings/oleObject2.bin"/><Relationship Id="rId23" Type="http://schemas.openxmlformats.org/officeDocument/2006/relationships/image" Target="media/image8.emf"/><Relationship Id="rId22" Type="http://schemas.openxmlformats.org/officeDocument/2006/relationships/oleObject" Target="embeddings/oleObject1.bin"/><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jpe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ECC591A-4107-4F21-B987-2A92621A3E27}">
  <ds:schemaRefs/>
</ds:datastoreItem>
</file>

<file path=docProps/app.xml><?xml version="1.0" encoding="utf-8"?>
<Properties xmlns="http://schemas.openxmlformats.org/officeDocument/2006/extended-properties" xmlns:vt="http://schemas.openxmlformats.org/officeDocument/2006/docPropsVTypes">
  <Template>Normal.dotm</Template>
  <Pages>69</Pages>
  <Words>30443</Words>
  <Characters>34992</Characters>
  <Lines>268</Lines>
  <Paragraphs>75</Paragraphs>
  <TotalTime>32</TotalTime>
  <ScaleCrop>false</ScaleCrop>
  <LinksUpToDate>false</LinksUpToDate>
  <CharactersWithSpaces>34992</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2024-04-25T10:33:00Z</dcterms:created>
  <dc:creator>Micorosoft</dc:creator>
  <cp:lastModifiedBy>11</cp:lastModifiedBy>
  <dcterms:modified xsi:type="dcterms:W3CDTF">2024-07-04T09:34:29Z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9A615A14196345E8A99D88D5823A17C7</vt:lpwstr>
  </property>
</Properties>
</file>