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5A6E657">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sz w:val="28"/>
          <w:szCs w:val="28"/>
          <w:highlight w:val="none"/>
        </w:rPr>
      </w:pPr>
    </w:p>
    <w:p w14:paraId="0ABE7B79">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sz w:val="28"/>
          <w:szCs w:val="28"/>
          <w:highlight w:val="none"/>
        </w:rPr>
      </w:pPr>
    </w:p>
    <w:p w14:paraId="0C90636B">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sz w:val="28"/>
          <w:szCs w:val="28"/>
          <w:highlight w:val="none"/>
        </w:rPr>
      </w:pPr>
    </w:p>
    <w:p w14:paraId="2FC06051">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bCs/>
          <w:color w:val="auto"/>
          <w:sz w:val="28"/>
          <w:szCs w:val="28"/>
          <w:highlight w:val="none"/>
        </w:rPr>
      </w:pPr>
    </w:p>
    <w:p w14:paraId="557A95BC">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b/>
          <w:bCs/>
          <w:color w:val="auto"/>
          <w:spacing w:val="-4"/>
          <w:sz w:val="44"/>
          <w:szCs w:val="44"/>
          <w:highlight w:val="none"/>
        </w:rPr>
      </w:pPr>
      <w:r>
        <w:rPr>
          <w:rFonts w:hint="default" w:ascii="Times New Roman" w:hAnsi="Times New Roman" w:eastAsia="宋体" w:cs="Times New Roman"/>
          <w:b/>
          <w:bCs/>
          <w:color w:val="auto"/>
          <w:spacing w:val="-4"/>
          <w:sz w:val="44"/>
          <w:szCs w:val="44"/>
          <w:highlight w:val="none"/>
          <w:lang w:eastAsia="zh-CN"/>
        </w:rPr>
        <w:t>乌拉特前旗大佘太中海禾牧养殖专业合作社新建肉牛养殖项目</w:t>
      </w:r>
    </w:p>
    <w:p w14:paraId="45DC3B2F">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b/>
          <w:bCs/>
          <w:color w:val="auto"/>
          <w:sz w:val="56"/>
          <w:szCs w:val="56"/>
          <w:highlight w:val="none"/>
        </w:rPr>
      </w:pPr>
      <w:r>
        <w:rPr>
          <w:rFonts w:hint="default" w:ascii="Times New Roman" w:hAnsi="Times New Roman" w:eastAsia="宋体" w:cs="Times New Roman"/>
          <w:b/>
          <w:bCs/>
          <w:color w:val="auto"/>
          <w:spacing w:val="46"/>
          <w:sz w:val="72"/>
          <w:szCs w:val="72"/>
          <w:highlight w:val="none"/>
        </w:rPr>
        <w:t>环境影响报告书</w:t>
      </w:r>
    </w:p>
    <w:p w14:paraId="5BB6830E">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0" w:firstLineChars="0"/>
        <w:jc w:val="center"/>
        <w:textAlignment w:val="auto"/>
        <w:outlineLvl w:val="0"/>
        <w:rPr>
          <w:rFonts w:hint="default" w:ascii="Times New Roman" w:hAnsi="Times New Roman" w:eastAsia="宋体" w:cs="Times New Roman"/>
          <w:b/>
          <w:color w:val="auto"/>
          <w:sz w:val="32"/>
          <w:szCs w:val="32"/>
          <w:highlight w:val="none"/>
        </w:rPr>
      </w:pPr>
    </w:p>
    <w:p w14:paraId="5BC3AB95">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sz w:val="30"/>
          <w:highlight w:val="none"/>
        </w:rPr>
      </w:pPr>
    </w:p>
    <w:p w14:paraId="3B049FFD">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p>
    <w:p w14:paraId="44E432F8">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p>
    <w:p w14:paraId="666F9518">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p>
    <w:p w14:paraId="7D7EFC02">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p>
    <w:p w14:paraId="2C4A7D9E">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p>
    <w:p w14:paraId="10880300">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auto"/>
          <w:highlight w:val="none"/>
          <w:lang w:eastAsia="zh-CN"/>
        </w:rPr>
      </w:pPr>
    </w:p>
    <w:p w14:paraId="160D406C">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auto"/>
          <w:highlight w:val="none"/>
          <w:lang w:eastAsia="zh-CN"/>
        </w:rPr>
      </w:pPr>
    </w:p>
    <w:p w14:paraId="72D6A02C">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auto"/>
          <w:highlight w:val="none"/>
          <w:lang w:eastAsia="zh-CN"/>
        </w:rPr>
      </w:pPr>
    </w:p>
    <w:p w14:paraId="3E5A9047">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auto"/>
          <w:highlight w:val="none"/>
          <w:lang w:eastAsia="zh-CN"/>
        </w:rPr>
      </w:pPr>
    </w:p>
    <w:p w14:paraId="51293CC5">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sz w:val="30"/>
          <w:highlight w:val="none"/>
        </w:rPr>
      </w:pPr>
    </w:p>
    <w:tbl>
      <w:tblPr>
        <w:tblStyle w:val="40"/>
        <w:tblW w:w="8277" w:type="dxa"/>
        <w:jc w:val="center"/>
        <w:tblLayout w:type="fixed"/>
        <w:tblCellMar>
          <w:top w:w="0" w:type="dxa"/>
          <w:left w:w="0" w:type="dxa"/>
          <w:bottom w:w="0" w:type="dxa"/>
          <w:right w:w="0" w:type="dxa"/>
        </w:tblCellMar>
      </w:tblPr>
      <w:tblGrid>
        <w:gridCol w:w="2052"/>
        <w:gridCol w:w="6225"/>
      </w:tblGrid>
      <w:tr w14:paraId="4FC5F4EF">
        <w:tblPrEx>
          <w:tblCellMar>
            <w:top w:w="0" w:type="dxa"/>
            <w:left w:w="0" w:type="dxa"/>
            <w:bottom w:w="0" w:type="dxa"/>
            <w:right w:w="0" w:type="dxa"/>
          </w:tblCellMar>
        </w:tblPrEx>
        <w:trPr>
          <w:trHeight w:val="510" w:hRule="atLeast"/>
          <w:jc w:val="center"/>
        </w:trPr>
        <w:tc>
          <w:tcPr>
            <w:tcW w:w="1670" w:type="dxa"/>
            <w:vAlign w:val="top"/>
          </w:tcPr>
          <w:p w14:paraId="0B9DCD79">
            <w:pPr>
              <w:pageBreakBefore w:val="0"/>
              <w:kinsoku/>
              <w:wordWrap/>
              <w:bidi w:val="0"/>
              <w:snapToGrid w:val="0"/>
              <w:spacing w:line="240" w:lineRule="auto"/>
              <w:ind w:left="0" w:leftChars="0" w:right="0" w:rightChars="0" w:firstLine="0" w:firstLineChars="0"/>
              <w:jc w:val="center"/>
              <w:rPr>
                <w:rFonts w:hint="default" w:ascii="Times New Roman" w:hAnsi="Times New Roman" w:eastAsia="宋体" w:cs="Times New Roman"/>
                <w:b/>
                <w:bCs/>
                <w:color w:val="auto"/>
                <w:sz w:val="32"/>
                <w:szCs w:val="32"/>
                <w:highlight w:val="none"/>
              </w:rPr>
            </w:pPr>
            <w:bookmarkStart w:id="0" w:name="_Hlk39311167"/>
            <w:r>
              <w:rPr>
                <w:rFonts w:hint="default" w:ascii="Times New Roman" w:hAnsi="Times New Roman" w:eastAsia="宋体" w:cs="Times New Roman"/>
                <w:b/>
                <w:bCs/>
                <w:color w:val="auto"/>
                <w:sz w:val="32"/>
                <w:szCs w:val="32"/>
                <w:highlight w:val="none"/>
              </w:rPr>
              <w:t>建设单位：</w:t>
            </w:r>
          </w:p>
        </w:tc>
        <w:tc>
          <w:tcPr>
            <w:tcW w:w="5065" w:type="dxa"/>
            <w:vAlign w:val="top"/>
          </w:tcPr>
          <w:p w14:paraId="5FE43C3A">
            <w:pPr>
              <w:pageBreakBefore w:val="0"/>
              <w:kinsoku/>
              <w:wordWrap/>
              <w:bidi w:val="0"/>
              <w:snapToGrid w:val="0"/>
              <w:spacing w:line="240" w:lineRule="auto"/>
              <w:ind w:left="0" w:leftChars="0" w:right="0" w:rightChars="0" w:firstLine="0" w:firstLineChars="0"/>
              <w:jc w:val="center"/>
              <w:rPr>
                <w:rFonts w:hint="default" w:ascii="Times New Roman" w:hAnsi="Times New Roman" w:eastAsia="宋体" w:cs="Times New Roman"/>
                <w:b/>
                <w:bCs/>
                <w:color w:val="auto"/>
                <w:sz w:val="32"/>
                <w:szCs w:val="32"/>
                <w:highlight w:val="none"/>
                <w:lang w:eastAsia="zh-CN"/>
              </w:rPr>
            </w:pPr>
            <w:r>
              <w:rPr>
                <w:rFonts w:hint="default" w:ascii="Times New Roman" w:hAnsi="Times New Roman" w:eastAsia="宋体" w:cs="Times New Roman"/>
                <w:b/>
                <w:bCs/>
                <w:color w:val="auto"/>
                <w:sz w:val="32"/>
                <w:szCs w:val="32"/>
                <w:highlight w:val="none"/>
                <w:lang w:eastAsia="zh-CN"/>
              </w:rPr>
              <w:t>乌拉特前旗大佘太中海禾牧养殖专业合作社</w:t>
            </w:r>
          </w:p>
        </w:tc>
      </w:tr>
      <w:bookmarkEnd w:id="0"/>
      <w:tr w14:paraId="5FD6556C">
        <w:tblPrEx>
          <w:tblCellMar>
            <w:top w:w="0" w:type="dxa"/>
            <w:left w:w="0" w:type="dxa"/>
            <w:bottom w:w="0" w:type="dxa"/>
            <w:right w:w="0" w:type="dxa"/>
          </w:tblCellMar>
        </w:tblPrEx>
        <w:trPr>
          <w:trHeight w:val="510" w:hRule="atLeast"/>
          <w:jc w:val="center"/>
        </w:trPr>
        <w:tc>
          <w:tcPr>
            <w:tcW w:w="1670" w:type="dxa"/>
            <w:vAlign w:val="top"/>
          </w:tcPr>
          <w:p w14:paraId="60CCB440">
            <w:pPr>
              <w:pageBreakBefore w:val="0"/>
              <w:kinsoku/>
              <w:wordWrap/>
              <w:bidi w:val="0"/>
              <w:snapToGrid w:val="0"/>
              <w:spacing w:line="240" w:lineRule="auto"/>
              <w:ind w:left="0" w:leftChars="0" w:right="0" w:rightChars="0" w:firstLine="0" w:firstLineChars="0"/>
              <w:jc w:val="center"/>
              <w:rPr>
                <w:rFonts w:hint="default" w:ascii="Times New Roman" w:hAnsi="Times New Roman" w:eastAsia="宋体" w:cs="Times New Roman"/>
                <w:b/>
                <w:bCs/>
                <w:color w:val="auto"/>
                <w:sz w:val="32"/>
                <w:szCs w:val="32"/>
                <w:highlight w:val="none"/>
              </w:rPr>
            </w:pPr>
            <w:r>
              <w:rPr>
                <w:rFonts w:hint="default" w:ascii="Times New Roman" w:hAnsi="Times New Roman" w:eastAsia="宋体" w:cs="Times New Roman"/>
                <w:b/>
                <w:bCs/>
                <w:color w:val="auto"/>
                <w:sz w:val="32"/>
                <w:szCs w:val="32"/>
                <w:highlight w:val="none"/>
              </w:rPr>
              <w:t>环评单位：</w:t>
            </w:r>
          </w:p>
        </w:tc>
        <w:tc>
          <w:tcPr>
            <w:tcW w:w="5065" w:type="dxa"/>
            <w:vAlign w:val="top"/>
          </w:tcPr>
          <w:p w14:paraId="6F1FA1C1">
            <w:pPr>
              <w:pageBreakBefore w:val="0"/>
              <w:kinsoku/>
              <w:wordWrap/>
              <w:bidi w:val="0"/>
              <w:snapToGrid w:val="0"/>
              <w:spacing w:line="240" w:lineRule="auto"/>
              <w:ind w:left="0" w:leftChars="0" w:right="0" w:rightChars="0" w:firstLine="0" w:firstLineChars="0"/>
              <w:jc w:val="center"/>
              <w:rPr>
                <w:rFonts w:hint="default" w:ascii="Times New Roman" w:hAnsi="Times New Roman" w:eastAsia="宋体" w:cs="Times New Roman"/>
                <w:b/>
                <w:bCs/>
                <w:color w:val="auto"/>
                <w:sz w:val="32"/>
                <w:szCs w:val="32"/>
                <w:highlight w:val="none"/>
                <w:lang w:eastAsia="zh-CN"/>
              </w:rPr>
            </w:pPr>
            <w:r>
              <w:rPr>
                <w:rFonts w:hint="default" w:ascii="Times New Roman" w:hAnsi="Times New Roman" w:eastAsia="宋体" w:cs="Times New Roman"/>
                <w:b/>
                <w:bCs/>
                <w:color w:val="auto"/>
                <w:sz w:val="32"/>
                <w:szCs w:val="32"/>
                <w:highlight w:val="none"/>
                <w:lang w:eastAsia="zh-CN"/>
              </w:rPr>
              <w:t>内蒙古同人工程技术咨询有限公司</w:t>
            </w:r>
          </w:p>
        </w:tc>
      </w:tr>
      <w:tr w14:paraId="1BD40187">
        <w:tblPrEx>
          <w:tblCellMar>
            <w:top w:w="0" w:type="dxa"/>
            <w:left w:w="0" w:type="dxa"/>
            <w:bottom w:w="0" w:type="dxa"/>
            <w:right w:w="0" w:type="dxa"/>
          </w:tblCellMar>
        </w:tblPrEx>
        <w:trPr>
          <w:trHeight w:val="510" w:hRule="atLeast"/>
          <w:jc w:val="center"/>
        </w:trPr>
        <w:tc>
          <w:tcPr>
            <w:tcW w:w="1670" w:type="dxa"/>
            <w:vAlign w:val="top"/>
          </w:tcPr>
          <w:p w14:paraId="47F43422">
            <w:pPr>
              <w:pageBreakBefore w:val="0"/>
              <w:kinsoku/>
              <w:wordWrap/>
              <w:bidi w:val="0"/>
              <w:snapToGrid w:val="0"/>
              <w:spacing w:line="240" w:lineRule="auto"/>
              <w:ind w:left="0" w:leftChars="0" w:right="0" w:rightChars="0" w:firstLine="0" w:firstLineChars="0"/>
              <w:jc w:val="center"/>
              <w:rPr>
                <w:rFonts w:hint="default" w:ascii="Times New Roman" w:hAnsi="Times New Roman" w:eastAsia="宋体" w:cs="Times New Roman"/>
                <w:b/>
                <w:bCs/>
                <w:color w:val="auto"/>
                <w:sz w:val="32"/>
                <w:szCs w:val="32"/>
                <w:highlight w:val="none"/>
              </w:rPr>
            </w:pPr>
            <w:r>
              <w:rPr>
                <w:rFonts w:hint="default" w:ascii="Times New Roman" w:hAnsi="Times New Roman" w:eastAsia="宋体" w:cs="Times New Roman"/>
                <w:b/>
                <w:bCs/>
                <w:color w:val="auto"/>
                <w:sz w:val="32"/>
                <w:szCs w:val="32"/>
                <w:highlight w:val="none"/>
              </w:rPr>
              <w:t>编制时间：</w:t>
            </w:r>
          </w:p>
        </w:tc>
        <w:tc>
          <w:tcPr>
            <w:tcW w:w="5065" w:type="dxa"/>
            <w:vAlign w:val="top"/>
          </w:tcPr>
          <w:p w14:paraId="5065DA81">
            <w:pPr>
              <w:pageBreakBefore w:val="0"/>
              <w:kinsoku/>
              <w:wordWrap/>
              <w:bidi w:val="0"/>
              <w:snapToGrid w:val="0"/>
              <w:spacing w:line="240" w:lineRule="auto"/>
              <w:ind w:left="0" w:leftChars="0" w:right="0" w:rightChars="0" w:firstLine="0" w:firstLineChars="0"/>
              <w:jc w:val="center"/>
              <w:rPr>
                <w:rFonts w:hint="default" w:ascii="Times New Roman" w:hAnsi="Times New Roman" w:eastAsia="宋体" w:cs="Times New Roman"/>
                <w:b/>
                <w:bCs/>
                <w:color w:val="auto"/>
                <w:sz w:val="32"/>
                <w:szCs w:val="32"/>
                <w:highlight w:val="none"/>
              </w:rPr>
            </w:pPr>
            <w:r>
              <w:rPr>
                <w:rFonts w:hint="default" w:ascii="Times New Roman" w:hAnsi="Times New Roman" w:eastAsia="宋体" w:cs="Times New Roman"/>
                <w:b/>
                <w:bCs/>
                <w:color w:val="FF0000"/>
                <w:sz w:val="32"/>
                <w:szCs w:val="32"/>
                <w:highlight w:val="none"/>
                <w:lang w:eastAsia="zh-CN"/>
              </w:rPr>
              <w:t>二〇二</w:t>
            </w:r>
            <w:r>
              <w:rPr>
                <w:rFonts w:hint="default" w:ascii="Times New Roman" w:hAnsi="Times New Roman" w:eastAsia="宋体" w:cs="Times New Roman"/>
                <w:b/>
                <w:bCs/>
                <w:color w:val="FF0000"/>
                <w:sz w:val="32"/>
                <w:szCs w:val="32"/>
                <w:highlight w:val="none"/>
                <w:lang w:val="en-US" w:eastAsia="zh-CN"/>
              </w:rPr>
              <w:t>四</w:t>
            </w:r>
            <w:r>
              <w:rPr>
                <w:rFonts w:hint="default" w:ascii="Times New Roman" w:hAnsi="Times New Roman" w:eastAsia="宋体" w:cs="Times New Roman"/>
                <w:b/>
                <w:bCs/>
                <w:color w:val="FF0000"/>
                <w:sz w:val="32"/>
                <w:szCs w:val="32"/>
                <w:highlight w:val="none"/>
                <w:lang w:eastAsia="zh-CN"/>
              </w:rPr>
              <w:t>年</w:t>
            </w:r>
            <w:r>
              <w:rPr>
                <w:rFonts w:hint="default" w:ascii="Times New Roman" w:hAnsi="Times New Roman" w:eastAsia="宋体" w:cs="Times New Roman"/>
                <w:b/>
                <w:bCs/>
                <w:color w:val="FF0000"/>
                <w:sz w:val="32"/>
                <w:szCs w:val="32"/>
                <w:highlight w:val="none"/>
                <w:lang w:val="en-US" w:eastAsia="zh-CN"/>
              </w:rPr>
              <w:t>七</w:t>
            </w:r>
            <w:r>
              <w:rPr>
                <w:rFonts w:hint="default" w:ascii="Times New Roman" w:hAnsi="Times New Roman" w:eastAsia="宋体" w:cs="Times New Roman"/>
                <w:b/>
                <w:bCs/>
                <w:color w:val="FF0000"/>
                <w:sz w:val="32"/>
                <w:szCs w:val="32"/>
                <w:highlight w:val="none"/>
              </w:rPr>
              <w:t>月</w:t>
            </w:r>
          </w:p>
        </w:tc>
      </w:tr>
    </w:tbl>
    <w:p w14:paraId="208FFC82">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highlight w:val="none"/>
          <w:lang w:eastAsia="zh-CN"/>
        </w:rPr>
      </w:pPr>
    </w:p>
    <w:p w14:paraId="270106FC">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0" w:firstLineChars="0"/>
        <w:textAlignment w:val="auto"/>
        <w:rPr>
          <w:rFonts w:hint="default" w:ascii="Times New Roman" w:hAnsi="Times New Roman" w:eastAsia="宋体" w:cs="Times New Roman"/>
          <w:color w:val="auto"/>
          <w:highlight w:val="none"/>
        </w:rPr>
      </w:pPr>
    </w:p>
    <w:p w14:paraId="74CC99F2">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0" w:firstLineChars="0"/>
        <w:textAlignment w:val="auto"/>
        <w:rPr>
          <w:rFonts w:hint="default" w:ascii="Times New Roman" w:hAnsi="Times New Roman" w:eastAsia="宋体" w:cs="Times New Roman"/>
          <w:color w:val="auto"/>
          <w:highlight w:val="none"/>
        </w:rPr>
        <w:sectPr>
          <w:headerReference r:id="rId6" w:type="first"/>
          <w:footerReference r:id="rId8" w:type="first"/>
          <w:headerReference r:id="rId5" w:type="default"/>
          <w:footerReference r:id="rId7" w:type="default"/>
          <w:pgSz w:w="11906" w:h="16838"/>
          <w:pgMar w:top="1440" w:right="1800" w:bottom="1440" w:left="1800" w:header="851" w:footer="992" w:gutter="0"/>
          <w:pgBorders>
            <w:top w:val="none" w:sz="0" w:space="0"/>
            <w:left w:val="none" w:sz="0" w:space="0"/>
            <w:bottom w:val="none" w:sz="0" w:space="0"/>
            <w:right w:val="none" w:sz="0" w:space="0"/>
          </w:pgBorders>
          <w:pgNumType w:fmt="numberInDash" w:start="1"/>
          <w:cols w:space="425" w:num="1"/>
          <w:titlePg/>
          <w:docGrid w:linePitch="326" w:charSpace="0"/>
        </w:sectPr>
      </w:pPr>
    </w:p>
    <w:p w14:paraId="7E582D49">
      <w:pPr>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p>
    <w:p w14:paraId="7CEEAE01">
      <w:pPr>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p>
    <w:p w14:paraId="6BA67419">
      <w:pPr>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p>
    <w:p w14:paraId="4C6EBE62">
      <w:pPr>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p>
    <w:p w14:paraId="3035A549">
      <w:pPr>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p>
    <w:p w14:paraId="3FFCF985">
      <w:pPr>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start="1"/>
          <w:cols w:space="425" w:num="1"/>
          <w:titlePg/>
          <w:docGrid w:linePitch="326" w:charSpace="0"/>
        </w:sectPr>
      </w:pPr>
    </w:p>
    <w:sdt>
      <w:sdtPr>
        <w:rPr>
          <w:rFonts w:hint="default" w:ascii="Times New Roman" w:hAnsi="Times New Roman" w:eastAsia="宋体" w:cs="Times New Roman"/>
          <w:b/>
          <w:bCs/>
          <w:color w:val="auto"/>
          <w:highlight w:val="none"/>
          <w:lang w:val="zh-CN"/>
        </w:rPr>
        <w:id w:val="-1446458349"/>
        <w:docPartObj>
          <w:docPartGallery w:val="Table of Contents"/>
          <w:docPartUnique/>
        </w:docPartObj>
      </w:sdtPr>
      <w:sdtEndPr>
        <w:rPr>
          <w:rFonts w:hint="default" w:ascii="Times New Roman" w:hAnsi="Times New Roman" w:eastAsia="宋体" w:cs="Times New Roman"/>
          <w:b w:val="0"/>
          <w:bCs w:val="0"/>
          <w:color w:val="auto"/>
          <w:highlight w:val="none"/>
          <w:lang w:val="zh-CN"/>
        </w:rPr>
      </w:sdtEndPr>
      <w:sdtContent>
        <w:p w14:paraId="05DB6368">
          <w:pPr>
            <w:pageBreakBefore w:val="0"/>
            <w:tabs>
              <w:tab w:val="right" w:leader="dot" w:pos="8777"/>
            </w:tabs>
            <w:kinsoku/>
            <w:wordWrap/>
            <w:bidi w:val="0"/>
            <w:snapToGrid w:val="0"/>
            <w:spacing w:line="360" w:lineRule="auto"/>
            <w:ind w:left="0" w:leftChars="0" w:right="0" w:rightChars="0" w:firstLine="482"/>
            <w:jc w:val="center"/>
            <w:outlineLvl w:val="0"/>
            <w:rPr>
              <w:rFonts w:hint="default" w:ascii="Times New Roman" w:hAnsi="Times New Roman" w:eastAsia="宋体" w:cs="Times New Roman"/>
              <w:bCs/>
              <w:color w:val="auto"/>
              <w:kern w:val="2"/>
              <w:sz w:val="24"/>
              <w:szCs w:val="24"/>
              <w:highlight w:val="none"/>
              <w:lang w:val="zh-CN" w:eastAsia="zh-CN" w:bidi="ar-SA"/>
            </w:rPr>
          </w:pPr>
          <w:bookmarkStart w:id="1" w:name="_Toc12333"/>
          <w:bookmarkStart w:id="2" w:name="_Toc48828684"/>
          <w:bookmarkStart w:id="3" w:name="_Toc1742"/>
          <w:bookmarkStart w:id="4" w:name="_Toc36734621"/>
          <w:bookmarkStart w:id="5" w:name="_Toc29833"/>
          <w:bookmarkStart w:id="6" w:name="_Toc22809926"/>
          <w:bookmarkStart w:id="7" w:name="_Toc26604"/>
          <w:bookmarkStart w:id="8" w:name="_Toc48918340"/>
          <w:bookmarkStart w:id="9" w:name="_Toc20307"/>
          <w:bookmarkStart w:id="10" w:name="_Toc47974367"/>
          <w:bookmarkStart w:id="11" w:name="_Toc22415"/>
          <w:bookmarkStart w:id="12" w:name="_Toc10218"/>
          <w:bookmarkStart w:id="13" w:name="_Toc37776788"/>
          <w:bookmarkStart w:id="14" w:name="_Toc19786707"/>
          <w:bookmarkStart w:id="15" w:name="_Toc48807253"/>
          <w:bookmarkStart w:id="16" w:name="_Toc32436"/>
          <w:bookmarkStart w:id="17" w:name="_Toc15464"/>
          <w:bookmarkStart w:id="18" w:name="_Toc47034171"/>
          <w:bookmarkStart w:id="19" w:name="_Toc16994"/>
          <w:bookmarkStart w:id="20" w:name="_Toc19788685"/>
          <w:bookmarkStart w:id="21" w:name="_Toc19199537"/>
          <w:bookmarkStart w:id="22" w:name="_Toc43220347"/>
          <w:bookmarkStart w:id="23" w:name="_Toc47034409"/>
          <w:bookmarkStart w:id="24" w:name="_Toc47981267"/>
          <w:bookmarkStart w:id="25" w:name="_Toc37774012"/>
          <w:r>
            <w:rPr>
              <w:rFonts w:hint="default" w:ascii="Times New Roman" w:hAnsi="Times New Roman" w:eastAsia="宋体" w:cs="Times New Roman"/>
              <w:color w:val="auto"/>
              <w:sz w:val="36"/>
              <w:szCs w:val="36"/>
              <w:highlight w:val="none"/>
              <w:lang w:val="zh-CN"/>
            </w:rPr>
            <w:t>目录</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TOC \o "1-3" \h \z \u </w:instrText>
          </w:r>
          <w:r>
            <w:rPr>
              <w:rFonts w:hint="default" w:ascii="Times New Roman" w:hAnsi="Times New Roman" w:eastAsia="宋体" w:cs="Times New Roman"/>
              <w:color w:val="auto"/>
              <w:szCs w:val="24"/>
              <w:highlight w:val="none"/>
            </w:rPr>
            <w:fldChar w:fldCharType="separate"/>
          </w:r>
        </w:p>
        <w:p w14:paraId="2EA6C672">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firstLine="0" w:firstLine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_Toc8687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bCs w:val="0"/>
              <w:szCs w:val="22"/>
              <w:highlight w:val="none"/>
            </w:rPr>
            <w:t>1概述</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_Toc8687 \h </w:instrText>
          </w:r>
          <w:r>
            <w:rPr>
              <w:rFonts w:hint="default" w:ascii="Times New Roman" w:hAnsi="Times New Roman" w:eastAsia="宋体" w:cs="Times New Roman"/>
            </w:rPr>
            <w:fldChar w:fldCharType="separate"/>
          </w:r>
          <w:r>
            <w:rPr>
              <w:rFonts w:hint="default" w:ascii="Times New Roman" w:hAnsi="Times New Roman" w:eastAsia="宋体" w:cs="Times New Roman"/>
            </w:rPr>
            <w:t>1</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9104D1E">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_Toc21921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bCs w:val="0"/>
              <w:szCs w:val="22"/>
              <w:highlight w:val="none"/>
            </w:rPr>
            <w:t>1.1项目建设背景</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_Toc21921 \h </w:instrText>
          </w:r>
          <w:r>
            <w:rPr>
              <w:rFonts w:hint="default" w:ascii="Times New Roman" w:hAnsi="Times New Roman" w:eastAsia="宋体" w:cs="Times New Roman"/>
            </w:rPr>
            <w:fldChar w:fldCharType="separate"/>
          </w:r>
          <w:r>
            <w:rPr>
              <w:rFonts w:hint="default" w:ascii="Times New Roman" w:hAnsi="Times New Roman" w:eastAsia="宋体" w:cs="Times New Roman"/>
            </w:rPr>
            <w:t>1</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1C2C9A1">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_Toc19141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1.2建设项目特点</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_Toc19141 \h </w:instrText>
          </w:r>
          <w:r>
            <w:rPr>
              <w:rFonts w:hint="default" w:ascii="Times New Roman" w:hAnsi="Times New Roman" w:eastAsia="宋体" w:cs="Times New Roman"/>
            </w:rPr>
            <w:fldChar w:fldCharType="separate"/>
          </w:r>
          <w:r>
            <w:rPr>
              <w:rFonts w:hint="default" w:ascii="Times New Roman" w:hAnsi="Times New Roman" w:eastAsia="宋体" w:cs="Times New Roman"/>
            </w:rPr>
            <w:t>1</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22ADE88">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_Toc26911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bCs w:val="0"/>
              <w:szCs w:val="22"/>
              <w:highlight w:val="none"/>
            </w:rPr>
            <w:t>1.3环境影响评价的工作过程</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_Toc26911 \h </w:instrText>
          </w:r>
          <w:r>
            <w:rPr>
              <w:rFonts w:hint="default" w:ascii="Times New Roman" w:hAnsi="Times New Roman" w:eastAsia="宋体" w:cs="Times New Roman"/>
            </w:rPr>
            <w:fldChar w:fldCharType="separate"/>
          </w:r>
          <w:r>
            <w:rPr>
              <w:rFonts w:hint="default" w:ascii="Times New Roman" w:hAnsi="Times New Roman" w:eastAsia="宋体" w:cs="Times New Roman"/>
            </w:rPr>
            <w:t>2</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6C9F309">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_Toc18802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bCs w:val="0"/>
              <w:szCs w:val="22"/>
              <w:highlight w:val="none"/>
            </w:rPr>
            <w:t>1.4项目可行性判定</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_Toc18802 \h </w:instrText>
          </w:r>
          <w:r>
            <w:rPr>
              <w:rFonts w:hint="default" w:ascii="Times New Roman" w:hAnsi="Times New Roman" w:eastAsia="宋体" w:cs="Times New Roman"/>
            </w:rPr>
            <w:fldChar w:fldCharType="separate"/>
          </w:r>
          <w:r>
            <w:rPr>
              <w:rFonts w:hint="default" w:ascii="Times New Roman" w:hAnsi="Times New Roman" w:eastAsia="宋体" w:cs="Times New Roman"/>
            </w:rPr>
            <w:t>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6E80FDC">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_Toc6217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1.4.1产业政策符合性分析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_Toc6217 \h </w:instrText>
          </w:r>
          <w:r>
            <w:rPr>
              <w:rFonts w:hint="default" w:ascii="Times New Roman" w:hAnsi="Times New Roman" w:eastAsia="宋体" w:cs="Times New Roman"/>
            </w:rPr>
            <w:fldChar w:fldCharType="separate"/>
          </w:r>
          <w:r>
            <w:rPr>
              <w:rFonts w:hint="default" w:ascii="Times New Roman" w:hAnsi="Times New Roman" w:eastAsia="宋体" w:cs="Times New Roman"/>
            </w:rPr>
            <w:t>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8295338">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_Toc13954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1.4.2项目选址合理性分析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_Toc13954 \h </w:instrText>
          </w:r>
          <w:r>
            <w:rPr>
              <w:rFonts w:hint="default" w:ascii="Times New Roman" w:hAnsi="Times New Roman" w:eastAsia="宋体" w:cs="Times New Roman"/>
            </w:rPr>
            <w:fldChar w:fldCharType="separate"/>
          </w:r>
          <w:r>
            <w:rPr>
              <w:rFonts w:hint="default" w:ascii="Times New Roman" w:hAnsi="Times New Roman" w:eastAsia="宋体" w:cs="Times New Roman"/>
            </w:rPr>
            <w:t>4</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E28EC09">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_Toc27919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1.4.3“三线一单”符合性分析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_Toc27919 \h </w:instrText>
          </w:r>
          <w:r>
            <w:rPr>
              <w:rFonts w:hint="default" w:ascii="Times New Roman" w:hAnsi="Times New Roman" w:eastAsia="宋体" w:cs="Times New Roman"/>
            </w:rPr>
            <w:fldChar w:fldCharType="separate"/>
          </w:r>
          <w:r>
            <w:rPr>
              <w:rFonts w:hint="default" w:ascii="Times New Roman" w:hAnsi="Times New Roman" w:eastAsia="宋体" w:cs="Times New Roman"/>
            </w:rPr>
            <w:t>4</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50B3DD0">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_Toc28983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1.5重点关注环境问题及环境影响</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_Toc28983 \h </w:instrText>
          </w:r>
          <w:r>
            <w:rPr>
              <w:rFonts w:hint="default" w:ascii="Times New Roman" w:hAnsi="Times New Roman" w:eastAsia="宋体" w:cs="Times New Roman"/>
            </w:rPr>
            <w:fldChar w:fldCharType="separate"/>
          </w:r>
          <w:r>
            <w:rPr>
              <w:rFonts w:hint="default" w:ascii="Times New Roman" w:hAnsi="Times New Roman" w:eastAsia="宋体" w:cs="Times New Roman"/>
            </w:rPr>
            <w:t>11</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DAD6A19">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_Toc21641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1.6环境影响评价主要结论</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_Toc21641 \h </w:instrText>
          </w:r>
          <w:r>
            <w:rPr>
              <w:rFonts w:hint="default" w:ascii="Times New Roman" w:hAnsi="Times New Roman" w:eastAsia="宋体" w:cs="Times New Roman"/>
            </w:rPr>
            <w:fldChar w:fldCharType="separate"/>
          </w:r>
          <w:r>
            <w:rPr>
              <w:rFonts w:hint="default" w:ascii="Times New Roman" w:hAnsi="Times New Roman" w:eastAsia="宋体" w:cs="Times New Roman"/>
            </w:rPr>
            <w:t>12</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01283805">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firstLine="0" w:firstLine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_Toc12687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2总则</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_Toc12687 \h </w:instrText>
          </w:r>
          <w:r>
            <w:rPr>
              <w:rFonts w:hint="default" w:ascii="Times New Roman" w:hAnsi="Times New Roman" w:eastAsia="宋体" w:cs="Times New Roman"/>
            </w:rPr>
            <w:fldChar w:fldCharType="separate"/>
          </w:r>
          <w:r>
            <w:rPr>
              <w:rFonts w:hint="default" w:ascii="Times New Roman" w:hAnsi="Times New Roman" w:eastAsia="宋体" w:cs="Times New Roman"/>
            </w:rPr>
            <w:t>13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1B94EBF">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_Toc3325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2.1编制依据</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_Toc3325 \h </w:instrText>
          </w:r>
          <w:r>
            <w:rPr>
              <w:rFonts w:hint="default" w:ascii="Times New Roman" w:hAnsi="Times New Roman" w:eastAsia="宋体" w:cs="Times New Roman"/>
            </w:rPr>
            <w:fldChar w:fldCharType="separate"/>
          </w:r>
          <w:r>
            <w:rPr>
              <w:rFonts w:hint="default" w:ascii="Times New Roman" w:hAnsi="Times New Roman" w:eastAsia="宋体" w:cs="Times New Roman"/>
            </w:rPr>
            <w:t>13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02F3842">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_Toc19685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2.1.1环境保护法律法规</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_Toc19685 \h </w:instrText>
          </w:r>
          <w:r>
            <w:rPr>
              <w:rFonts w:hint="default" w:ascii="Times New Roman" w:hAnsi="Times New Roman" w:eastAsia="宋体" w:cs="Times New Roman"/>
            </w:rPr>
            <w:fldChar w:fldCharType="separate"/>
          </w:r>
          <w:r>
            <w:rPr>
              <w:rFonts w:hint="default" w:ascii="Times New Roman" w:hAnsi="Times New Roman" w:eastAsia="宋体" w:cs="Times New Roman"/>
            </w:rPr>
            <w:t>13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3EAD3722">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_Toc22913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2.1.2相关产业政策</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_Toc22913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328EE5C7">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_Toc17889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2.1.3地方性法规及规范性文件</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_Toc17889 \h </w:instrText>
          </w:r>
          <w:r>
            <w:rPr>
              <w:rFonts w:hint="default" w:ascii="Times New Roman" w:hAnsi="Times New Roman" w:eastAsia="宋体" w:cs="Times New Roman"/>
            </w:rPr>
            <w:fldChar w:fldCharType="separate"/>
          </w:r>
          <w:r>
            <w:rPr>
              <w:rFonts w:hint="default" w:ascii="Times New Roman" w:hAnsi="Times New Roman" w:eastAsia="宋体" w:cs="Times New Roman"/>
            </w:rPr>
            <w:t>15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1F0B930">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_Toc9365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2.1.4技术导则和规范</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_Toc9365 \h </w:instrText>
          </w:r>
          <w:r>
            <w:rPr>
              <w:rFonts w:hint="default" w:ascii="Times New Roman" w:hAnsi="Times New Roman" w:eastAsia="宋体" w:cs="Times New Roman"/>
            </w:rPr>
            <w:fldChar w:fldCharType="separate"/>
          </w:r>
          <w:r>
            <w:rPr>
              <w:rFonts w:hint="default" w:ascii="Times New Roman" w:hAnsi="Times New Roman" w:eastAsia="宋体" w:cs="Times New Roman"/>
            </w:rPr>
            <w:t>15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03E929E0">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_Toc19884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2.1.5其他相关文件</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_Toc19884 \h </w:instrText>
          </w:r>
          <w:r>
            <w:rPr>
              <w:rFonts w:hint="default" w:ascii="Times New Roman" w:hAnsi="Times New Roman" w:eastAsia="宋体" w:cs="Times New Roman"/>
            </w:rPr>
            <w:fldChar w:fldCharType="separate"/>
          </w:r>
          <w:r>
            <w:rPr>
              <w:rFonts w:hint="default" w:ascii="Times New Roman" w:hAnsi="Times New Roman" w:eastAsia="宋体" w:cs="Times New Roman"/>
            </w:rPr>
            <w:t>16</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0C00794">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_Toc12478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2.2评价目的及评价重点</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_Toc12478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16</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013A4C78">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_Toc8881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2.2.1评价目的</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_Toc8881 \h </w:instrText>
          </w:r>
          <w:r>
            <w:rPr>
              <w:rFonts w:hint="default" w:ascii="Times New Roman" w:hAnsi="Times New Roman" w:eastAsia="宋体" w:cs="Times New Roman"/>
            </w:rPr>
            <w:fldChar w:fldCharType="separate"/>
          </w:r>
          <w:r>
            <w:rPr>
              <w:rFonts w:hint="default" w:ascii="Times New Roman" w:hAnsi="Times New Roman" w:eastAsia="宋体" w:cs="Times New Roman"/>
            </w:rPr>
            <w:t>16</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76987E32">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_Toc6352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2.2.2评价重点</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_Toc6352 \h </w:instrText>
          </w:r>
          <w:r>
            <w:rPr>
              <w:rFonts w:hint="default" w:ascii="Times New Roman" w:hAnsi="Times New Roman" w:eastAsia="宋体" w:cs="Times New Roman"/>
            </w:rPr>
            <w:fldChar w:fldCharType="separate"/>
          </w:r>
          <w:r>
            <w:rPr>
              <w:rFonts w:hint="default" w:ascii="Times New Roman" w:hAnsi="Times New Roman" w:eastAsia="宋体" w:cs="Times New Roman"/>
            </w:rPr>
            <w:t>17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544EB6E">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_Toc14912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2.3环境影响识别</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_Toc14912 \h </w:instrText>
          </w:r>
          <w:r>
            <w:rPr>
              <w:rFonts w:hint="default" w:ascii="Times New Roman" w:hAnsi="Times New Roman" w:eastAsia="宋体" w:cs="Times New Roman"/>
            </w:rPr>
            <w:fldChar w:fldCharType="separate"/>
          </w:r>
          <w:r>
            <w:rPr>
              <w:rFonts w:hint="default" w:ascii="Times New Roman" w:hAnsi="Times New Roman" w:eastAsia="宋体" w:cs="Times New Roman"/>
            </w:rPr>
            <w:t>17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253DADD">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_Toc21368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2.3.1环境影响因素识别</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_Toc21368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83C886C">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_Toc21385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bCs/>
              <w:highlight w:val="none"/>
            </w:rPr>
            <w:t>2.3.2环境影响评价因子识别</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_Toc21385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086E3980">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_Toc30018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2.3.3评价因子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_Toc30018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C3D0002">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_Toc15709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2.4环境功能区划及评价标准</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_Toc15709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1C27CF1">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_Toc20649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2.4.1环境功能区划</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_Toc20649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9D53CC8">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_Toc14747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2.4.2环境质量标准</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_Toc14747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CC0FD76">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_Toc9521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2.4.3污染物排放标准</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_Toc9521 \h </w:instrText>
          </w:r>
          <w:r>
            <w:rPr>
              <w:rFonts w:hint="default" w:ascii="Times New Roman" w:hAnsi="Times New Roman" w:eastAsia="宋体" w:cs="Times New Roman"/>
            </w:rPr>
            <w:fldChar w:fldCharType="separate"/>
          </w:r>
          <w:r>
            <w:rPr>
              <w:rFonts w:hint="default" w:ascii="Times New Roman" w:hAnsi="Times New Roman" w:eastAsia="宋体" w:cs="Times New Roman"/>
            </w:rPr>
            <w:t>21</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7FB82BEA">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_Toc606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2.5评价等级及评价范围</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_Toc606 \h </w:instrText>
          </w:r>
          <w:r>
            <w:rPr>
              <w:rFonts w:hint="default" w:ascii="Times New Roman" w:hAnsi="Times New Roman" w:eastAsia="宋体" w:cs="Times New Roman"/>
            </w:rPr>
            <w:fldChar w:fldCharType="separate"/>
          </w:r>
          <w:r>
            <w:rPr>
              <w:rFonts w:hint="default" w:ascii="Times New Roman" w:hAnsi="Times New Roman" w:eastAsia="宋体" w:cs="Times New Roman"/>
            </w:rPr>
            <w:t>23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10942E1">
          <w:pPr>
            <w:pStyle w:val="33"/>
            <w:keepNext w:val="0"/>
            <w:keepLines w:val="0"/>
            <w:pageBreakBefore w:val="0"/>
            <w:widowControl w:val="0"/>
            <w:tabs>
              <w:tab w:val="right" w:leader="dot" w:pos="8306"/>
            </w:tabs>
            <w:kinsoku/>
            <w:wordWrap/>
            <w:overflowPunct/>
            <w:topLinePunct/>
            <w:autoSpaceDE w:val="0"/>
            <w:autoSpaceDN/>
            <w:bidi w:val="0"/>
            <w:adjustRightInd/>
            <w:snapToGrid/>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_Toc4475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2.5.1大气环境</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_Toc4475 \h </w:instrText>
          </w:r>
          <w:r>
            <w:rPr>
              <w:rFonts w:hint="default" w:ascii="Times New Roman" w:hAnsi="Times New Roman" w:eastAsia="宋体" w:cs="Times New Roman"/>
            </w:rPr>
            <w:fldChar w:fldCharType="separate"/>
          </w:r>
          <w:r>
            <w:rPr>
              <w:rFonts w:hint="default" w:ascii="Times New Roman" w:hAnsi="Times New Roman" w:eastAsia="宋体" w:cs="Times New Roman"/>
            </w:rPr>
            <w:t>23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0C12EE7">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_Toc7400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2.5.2地表水环境</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_Toc7400 \h </w:instrText>
          </w:r>
          <w:r>
            <w:rPr>
              <w:rFonts w:hint="default" w:ascii="Times New Roman" w:hAnsi="Times New Roman" w:eastAsia="宋体" w:cs="Times New Roman"/>
            </w:rPr>
            <w:fldChar w:fldCharType="separate"/>
          </w:r>
          <w:r>
            <w:rPr>
              <w:rFonts w:hint="default" w:ascii="Times New Roman" w:hAnsi="Times New Roman" w:eastAsia="宋体" w:cs="Times New Roman"/>
            </w:rPr>
            <w:t>25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0CA46BDB">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_Toc2624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2.5.3地下水环境</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_Toc2624 \h </w:instrText>
          </w:r>
          <w:r>
            <w:rPr>
              <w:rFonts w:hint="default" w:ascii="Times New Roman" w:hAnsi="Times New Roman" w:eastAsia="宋体" w:cs="Times New Roman"/>
            </w:rPr>
            <w:fldChar w:fldCharType="separate"/>
          </w:r>
          <w:r>
            <w:rPr>
              <w:rFonts w:hint="default" w:ascii="Times New Roman" w:hAnsi="Times New Roman" w:eastAsia="宋体" w:cs="Times New Roman"/>
            </w:rPr>
            <w:t>26</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0612E10">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_Toc9611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lang w:val="en-GB"/>
            </w:rPr>
            <w:t>2.5.4土壤环境</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_Toc9611 \h </w:instrText>
          </w:r>
          <w:r>
            <w:rPr>
              <w:rFonts w:hint="default" w:ascii="Times New Roman" w:hAnsi="Times New Roman" w:eastAsia="宋体" w:cs="Times New Roman"/>
            </w:rPr>
            <w:fldChar w:fldCharType="separate"/>
          </w:r>
          <w:r>
            <w:rPr>
              <w:rFonts w:hint="default" w:ascii="Times New Roman" w:hAnsi="Times New Roman" w:eastAsia="宋体" w:cs="Times New Roman"/>
            </w:rPr>
            <w:t>27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100F436">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_Toc13087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lang w:val="en-GB"/>
            </w:rPr>
            <w:t>2.5.5声环境</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_Toc13087 \h </w:instrText>
          </w:r>
          <w:r>
            <w:rPr>
              <w:rFonts w:hint="default" w:ascii="Times New Roman" w:hAnsi="Times New Roman" w:eastAsia="宋体" w:cs="Times New Roman"/>
            </w:rPr>
            <w:fldChar w:fldCharType="separate"/>
          </w:r>
          <w:r>
            <w:rPr>
              <w:rFonts w:hint="default" w:ascii="Times New Roman" w:hAnsi="Times New Roman" w:eastAsia="宋体" w:cs="Times New Roman"/>
            </w:rPr>
            <w:t>28</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ADA2B98">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_Toc9067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2.5.6环境风险</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_Toc9067 \h </w:instrText>
          </w:r>
          <w:r>
            <w:rPr>
              <w:rFonts w:hint="default" w:ascii="Times New Roman" w:hAnsi="Times New Roman" w:eastAsia="宋体" w:cs="Times New Roman"/>
            </w:rPr>
            <w:fldChar w:fldCharType="separate"/>
          </w:r>
          <w:r>
            <w:rPr>
              <w:rFonts w:hint="default" w:ascii="Times New Roman" w:hAnsi="Times New Roman" w:eastAsia="宋体" w:cs="Times New Roman"/>
            </w:rPr>
            <w:t>29</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0D216406">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_Toc7127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2.5.7生态环境</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_Toc7127 \h </w:instrText>
          </w:r>
          <w:r>
            <w:rPr>
              <w:rFonts w:hint="default" w:ascii="Times New Roman" w:hAnsi="Times New Roman" w:eastAsia="宋体" w:cs="Times New Roman"/>
            </w:rPr>
            <w:fldChar w:fldCharType="separate"/>
          </w:r>
          <w:r>
            <w:rPr>
              <w:rFonts w:hint="default" w:ascii="Times New Roman" w:hAnsi="Times New Roman" w:eastAsia="宋体" w:cs="Times New Roman"/>
            </w:rPr>
            <w:t>29</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794142AE">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_Toc9785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2.6环境保护目标</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_Toc9785 \h </w:instrText>
          </w:r>
          <w:r>
            <w:rPr>
              <w:rFonts w:hint="default" w:ascii="Times New Roman" w:hAnsi="Times New Roman" w:eastAsia="宋体" w:cs="Times New Roman"/>
            </w:rPr>
            <w:fldChar w:fldCharType="separate"/>
          </w:r>
          <w:r>
            <w:rPr>
              <w:rFonts w:hint="default" w:ascii="Times New Roman" w:hAnsi="Times New Roman" w:eastAsia="宋体" w:cs="Times New Roman"/>
            </w:rPr>
            <w:t>30</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304EFA2F">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_Toc22972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szCs w:val="32"/>
              <w:highlight w:val="none"/>
            </w:rPr>
            <w:t>2.7项目符合性分析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_Toc22972 \h </w:instrText>
          </w:r>
          <w:r>
            <w:rPr>
              <w:rFonts w:hint="default" w:ascii="Times New Roman" w:hAnsi="Times New Roman" w:eastAsia="宋体" w:cs="Times New Roman"/>
            </w:rPr>
            <w:fldChar w:fldCharType="separate"/>
          </w:r>
          <w:r>
            <w:rPr>
              <w:rFonts w:hint="default" w:ascii="Times New Roman" w:hAnsi="Times New Roman" w:eastAsia="宋体" w:cs="Times New Roman"/>
            </w:rPr>
            <w:t>37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D7A337B">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_Toc110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szCs w:val="32"/>
              <w:highlight w:val="none"/>
            </w:rPr>
            <w:t>2.7.1《产业结构调整指导目录（20</w:t>
          </w:r>
          <w:r>
            <w:rPr>
              <w:rFonts w:hint="default" w:ascii="Times New Roman" w:hAnsi="Times New Roman" w:eastAsia="宋体" w:cs="Times New Roman"/>
              <w:szCs w:val="32"/>
              <w:highlight w:val="none"/>
              <w:lang w:val="en-US" w:eastAsia="zh-CN"/>
            </w:rPr>
            <w:t>24</w:t>
          </w:r>
          <w:r>
            <w:rPr>
              <w:rFonts w:hint="default" w:ascii="Times New Roman" w:hAnsi="Times New Roman" w:eastAsia="宋体" w:cs="Times New Roman"/>
              <w:szCs w:val="32"/>
              <w:highlight w:val="none"/>
            </w:rPr>
            <w:t>年本）》符合性</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_Toc110 \h </w:instrText>
          </w:r>
          <w:r>
            <w:rPr>
              <w:rFonts w:hint="default" w:ascii="Times New Roman" w:hAnsi="Times New Roman" w:eastAsia="宋体" w:cs="Times New Roman"/>
            </w:rPr>
            <w:fldChar w:fldCharType="separate"/>
          </w:r>
          <w:r>
            <w:rPr>
              <w:rFonts w:hint="default" w:ascii="Times New Roman" w:hAnsi="Times New Roman" w:eastAsia="宋体" w:cs="Times New Roman"/>
            </w:rPr>
            <w:t>37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553B8F5">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_Toc9114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szCs w:val="32"/>
              <w:highlight w:val="none"/>
            </w:rPr>
            <w:t>2.7.2相关法律、法规的符合性</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_Toc9114 \h </w:instrText>
          </w:r>
          <w:r>
            <w:rPr>
              <w:rFonts w:hint="default" w:ascii="Times New Roman" w:hAnsi="Times New Roman" w:eastAsia="宋体" w:cs="Times New Roman"/>
            </w:rPr>
            <w:fldChar w:fldCharType="separate"/>
          </w:r>
          <w:r>
            <w:rPr>
              <w:rFonts w:hint="default" w:ascii="Times New Roman" w:hAnsi="Times New Roman" w:eastAsia="宋体" w:cs="Times New Roman"/>
            </w:rPr>
            <w:t>37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7A1FC484">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_Toc9087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szCs w:val="32"/>
              <w:highlight w:val="none"/>
            </w:rPr>
            <w:t>2.7.3相关规范符合性分析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_Toc9087 \h </w:instrText>
          </w:r>
          <w:r>
            <w:rPr>
              <w:rFonts w:hint="default" w:ascii="Times New Roman" w:hAnsi="Times New Roman" w:eastAsia="宋体" w:cs="Times New Roman"/>
            </w:rPr>
            <w:fldChar w:fldCharType="separate"/>
          </w:r>
          <w:r>
            <w:rPr>
              <w:rFonts w:hint="default" w:ascii="Times New Roman" w:hAnsi="Times New Roman" w:eastAsia="宋体" w:cs="Times New Roman"/>
            </w:rPr>
            <w:t>37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9BB6743">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_Toc6658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szCs w:val="32"/>
              <w:highlight w:val="none"/>
            </w:rPr>
            <w:t>2.7.4相关政策符合性分析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_Toc6658 \h </w:instrText>
          </w:r>
          <w:r>
            <w:rPr>
              <w:rFonts w:hint="default" w:ascii="Times New Roman" w:hAnsi="Times New Roman" w:eastAsia="宋体" w:cs="Times New Roman"/>
            </w:rPr>
            <w:fldChar w:fldCharType="separate"/>
          </w:r>
          <w:r>
            <w:rPr>
              <w:rFonts w:hint="default" w:ascii="Times New Roman" w:hAnsi="Times New Roman" w:eastAsia="宋体" w:cs="Times New Roman"/>
            </w:rPr>
            <w:t>37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72351AA">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_Toc9597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2.7.</w:t>
          </w:r>
          <w:r>
            <w:rPr>
              <w:rFonts w:hint="default" w:ascii="Times New Roman" w:hAnsi="Times New Roman" w:eastAsia="宋体" w:cs="Times New Roman"/>
              <w:highlight w:val="none"/>
              <w:lang w:val="en-US" w:eastAsia="zh-CN"/>
            </w:rPr>
            <w:t>5</w:t>
          </w:r>
          <w:r>
            <w:rPr>
              <w:rFonts w:hint="default" w:ascii="Times New Roman" w:hAnsi="Times New Roman" w:eastAsia="宋体" w:cs="Times New Roman"/>
              <w:highlight w:val="none"/>
            </w:rPr>
            <w:t>选址合理性分析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_Toc9597 \h </w:instrText>
          </w:r>
          <w:r>
            <w:rPr>
              <w:rFonts w:hint="default" w:ascii="Times New Roman" w:hAnsi="Times New Roman" w:eastAsia="宋体" w:cs="Times New Roman"/>
            </w:rPr>
            <w:fldChar w:fldCharType="separate"/>
          </w:r>
          <w:r>
            <w:rPr>
              <w:rFonts w:hint="default" w:ascii="Times New Roman" w:hAnsi="Times New Roman" w:eastAsia="宋体" w:cs="Times New Roman"/>
            </w:rPr>
            <w:t>45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3245B9A">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_Toc18765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2.8环境功能区符合性分析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_Toc18765 \h </w:instrText>
          </w:r>
          <w:r>
            <w:rPr>
              <w:rFonts w:hint="default" w:ascii="Times New Roman" w:hAnsi="Times New Roman" w:eastAsia="宋体" w:cs="Times New Roman"/>
            </w:rPr>
            <w:fldChar w:fldCharType="separate"/>
          </w:r>
          <w:r>
            <w:rPr>
              <w:rFonts w:hint="default" w:ascii="Times New Roman" w:hAnsi="Times New Roman" w:eastAsia="宋体" w:cs="Times New Roman"/>
            </w:rPr>
            <w:t>49</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AF2C31E">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firstLine="0" w:firstLine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_Toc30996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3工程分析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_Toc30996 \h </w:instrText>
          </w:r>
          <w:r>
            <w:rPr>
              <w:rFonts w:hint="default" w:ascii="Times New Roman" w:hAnsi="Times New Roman" w:eastAsia="宋体" w:cs="Times New Roman"/>
            </w:rPr>
            <w:fldChar w:fldCharType="separate"/>
          </w:r>
          <w:r>
            <w:rPr>
              <w:rFonts w:hint="default" w:ascii="Times New Roman" w:hAnsi="Times New Roman" w:eastAsia="宋体" w:cs="Times New Roman"/>
            </w:rPr>
            <w:t>50</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1A7F75F">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_Toc30029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3.1项目基本情况</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_Toc30029 \h </w:instrText>
          </w:r>
          <w:r>
            <w:rPr>
              <w:rFonts w:hint="default" w:ascii="Times New Roman" w:hAnsi="Times New Roman" w:eastAsia="宋体" w:cs="Times New Roman"/>
            </w:rPr>
            <w:fldChar w:fldCharType="separate"/>
          </w:r>
          <w:r>
            <w:rPr>
              <w:rFonts w:hint="default" w:ascii="Times New Roman" w:hAnsi="Times New Roman" w:eastAsia="宋体" w:cs="Times New Roman"/>
            </w:rPr>
            <w:t>50</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3B20946A">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_Toc1636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3.1.1项目基本概况</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_Toc1636 \h </w:instrText>
          </w:r>
          <w:r>
            <w:rPr>
              <w:rFonts w:hint="default" w:ascii="Times New Roman" w:hAnsi="Times New Roman" w:eastAsia="宋体" w:cs="Times New Roman"/>
            </w:rPr>
            <w:fldChar w:fldCharType="separate"/>
          </w:r>
          <w:r>
            <w:rPr>
              <w:rFonts w:hint="default" w:ascii="Times New Roman" w:hAnsi="Times New Roman" w:eastAsia="宋体" w:cs="Times New Roman"/>
            </w:rPr>
            <w:t>50</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6828F8F">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_Toc2184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3.1.2项目组成及建设内容</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_Toc2184 \h </w:instrText>
          </w:r>
          <w:r>
            <w:rPr>
              <w:rFonts w:hint="default" w:ascii="Times New Roman" w:hAnsi="Times New Roman" w:eastAsia="宋体" w:cs="Times New Roman"/>
            </w:rPr>
            <w:fldChar w:fldCharType="separate"/>
          </w:r>
          <w:r>
            <w:rPr>
              <w:rFonts w:hint="default" w:ascii="Times New Roman" w:hAnsi="Times New Roman" w:eastAsia="宋体" w:cs="Times New Roman"/>
            </w:rPr>
            <w:t>53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39C9489">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_Toc19918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3.1.3产品方案及技术指标</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_Toc19918 \h </w:instrText>
          </w:r>
          <w:r>
            <w:rPr>
              <w:rFonts w:hint="default" w:ascii="Times New Roman" w:hAnsi="Times New Roman" w:eastAsia="宋体" w:cs="Times New Roman"/>
            </w:rPr>
            <w:fldChar w:fldCharType="separate"/>
          </w:r>
          <w:r>
            <w:rPr>
              <w:rFonts w:hint="default" w:ascii="Times New Roman" w:hAnsi="Times New Roman" w:eastAsia="宋体" w:cs="Times New Roman"/>
            </w:rPr>
            <w:t>55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E6C0627">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_Toc5912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3.1.4主要原辅料消耗能源消耗</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_Toc5912 \h </w:instrText>
          </w:r>
          <w:r>
            <w:rPr>
              <w:rFonts w:hint="default" w:ascii="Times New Roman" w:hAnsi="Times New Roman" w:eastAsia="宋体" w:cs="Times New Roman"/>
            </w:rPr>
            <w:fldChar w:fldCharType="separate"/>
          </w:r>
          <w:r>
            <w:rPr>
              <w:rFonts w:hint="default" w:ascii="Times New Roman" w:hAnsi="Times New Roman" w:eastAsia="宋体" w:cs="Times New Roman"/>
            </w:rPr>
            <w:t>55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77C7286F">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_Toc15190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3.1.5主要设备</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_Toc15190 \h </w:instrText>
          </w:r>
          <w:r>
            <w:rPr>
              <w:rFonts w:hint="default" w:ascii="Times New Roman" w:hAnsi="Times New Roman" w:eastAsia="宋体" w:cs="Times New Roman"/>
            </w:rPr>
            <w:fldChar w:fldCharType="separate"/>
          </w:r>
          <w:r>
            <w:rPr>
              <w:rFonts w:hint="default" w:ascii="Times New Roman" w:hAnsi="Times New Roman" w:eastAsia="宋体" w:cs="Times New Roman"/>
            </w:rPr>
            <w:t>56</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364EEAF">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_Toc11259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3.1.6公用工程</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_Toc11259 \h </w:instrText>
          </w:r>
          <w:r>
            <w:rPr>
              <w:rFonts w:hint="default" w:ascii="Times New Roman" w:hAnsi="Times New Roman" w:eastAsia="宋体" w:cs="Times New Roman"/>
            </w:rPr>
            <w:fldChar w:fldCharType="separate"/>
          </w:r>
          <w:r>
            <w:rPr>
              <w:rFonts w:hint="default" w:ascii="Times New Roman" w:hAnsi="Times New Roman" w:eastAsia="宋体" w:cs="Times New Roman"/>
            </w:rPr>
            <w:t>56</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D4D7D53">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_Toc26853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3.1.</w:t>
          </w:r>
          <w:r>
            <w:rPr>
              <w:rFonts w:hint="default" w:ascii="Times New Roman" w:hAnsi="Times New Roman" w:eastAsia="宋体" w:cs="Times New Roman"/>
              <w:highlight w:val="none"/>
              <w:lang w:val="en-US" w:eastAsia="zh-CN"/>
            </w:rPr>
            <w:t>7</w:t>
          </w:r>
          <w:r>
            <w:rPr>
              <w:rFonts w:hint="default" w:ascii="Times New Roman" w:hAnsi="Times New Roman" w:eastAsia="宋体" w:cs="Times New Roman"/>
              <w:highlight w:val="none"/>
            </w:rPr>
            <w:t>储运工程</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_Toc26853 \h </w:instrText>
          </w:r>
          <w:r>
            <w:rPr>
              <w:rFonts w:hint="default" w:ascii="Times New Roman" w:hAnsi="Times New Roman" w:eastAsia="宋体" w:cs="Times New Roman"/>
            </w:rPr>
            <w:fldChar w:fldCharType="separate"/>
          </w:r>
          <w:r>
            <w:rPr>
              <w:rFonts w:hint="default" w:ascii="Times New Roman" w:hAnsi="Times New Roman" w:eastAsia="宋体" w:cs="Times New Roman"/>
            </w:rPr>
            <w:t>61</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7FF77F31">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_Toc22616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3.1.</w:t>
          </w:r>
          <w:r>
            <w:rPr>
              <w:rFonts w:hint="default" w:ascii="Times New Roman" w:hAnsi="Times New Roman" w:eastAsia="宋体" w:cs="Times New Roman"/>
              <w:highlight w:val="none"/>
              <w:lang w:val="en-US" w:eastAsia="zh-CN"/>
            </w:rPr>
            <w:t>8</w:t>
          </w:r>
          <w:r>
            <w:rPr>
              <w:rFonts w:hint="default" w:ascii="Times New Roman" w:hAnsi="Times New Roman" w:eastAsia="宋体" w:cs="Times New Roman"/>
              <w:highlight w:val="none"/>
            </w:rPr>
            <w:t>总平面布置</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_Toc22616 \h </w:instrText>
          </w:r>
          <w:r>
            <w:rPr>
              <w:rFonts w:hint="default" w:ascii="Times New Roman" w:hAnsi="Times New Roman" w:eastAsia="宋体" w:cs="Times New Roman"/>
            </w:rPr>
            <w:fldChar w:fldCharType="separate"/>
          </w:r>
          <w:r>
            <w:rPr>
              <w:rFonts w:hint="default" w:ascii="Times New Roman" w:hAnsi="Times New Roman" w:eastAsia="宋体" w:cs="Times New Roman"/>
            </w:rPr>
            <w:t>61</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82BD736">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_Toc7309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3.2项目污染影响因素分析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_Toc7309 \h </w:instrText>
          </w:r>
          <w:r>
            <w:rPr>
              <w:rFonts w:hint="default" w:ascii="Times New Roman" w:hAnsi="Times New Roman" w:eastAsia="宋体" w:cs="Times New Roman"/>
            </w:rPr>
            <w:fldChar w:fldCharType="separate"/>
          </w:r>
          <w:r>
            <w:rPr>
              <w:rFonts w:hint="default" w:ascii="Times New Roman" w:hAnsi="Times New Roman" w:eastAsia="宋体" w:cs="Times New Roman"/>
            </w:rPr>
            <w:t>65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24841FF">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_Toc10967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3.2.1青贮饲料制作、饲料拌合工艺流程简述</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_Toc10967 \h </w:instrText>
          </w:r>
          <w:r>
            <w:rPr>
              <w:rFonts w:hint="default" w:ascii="Times New Roman" w:hAnsi="Times New Roman" w:eastAsia="宋体" w:cs="Times New Roman"/>
            </w:rPr>
            <w:fldChar w:fldCharType="separate"/>
          </w:r>
          <w:r>
            <w:rPr>
              <w:rFonts w:hint="default" w:ascii="Times New Roman" w:hAnsi="Times New Roman" w:eastAsia="宋体" w:cs="Times New Roman"/>
            </w:rPr>
            <w:t>65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2718707">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_Toc1680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3.2.2牛群饲养流程简述</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_Toc1680 \h </w:instrText>
          </w:r>
          <w:r>
            <w:rPr>
              <w:rFonts w:hint="default" w:ascii="Times New Roman" w:hAnsi="Times New Roman" w:eastAsia="宋体" w:cs="Times New Roman"/>
            </w:rPr>
            <w:fldChar w:fldCharType="separate"/>
          </w:r>
          <w:r>
            <w:rPr>
              <w:rFonts w:hint="default" w:ascii="Times New Roman" w:hAnsi="Times New Roman" w:eastAsia="宋体" w:cs="Times New Roman"/>
            </w:rPr>
            <w:t>66</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7AC25D13">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_Toc18392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3.2.</w:t>
          </w:r>
          <w:r>
            <w:rPr>
              <w:rFonts w:hint="default" w:ascii="Times New Roman" w:hAnsi="Times New Roman" w:eastAsia="宋体" w:cs="Times New Roman"/>
              <w:highlight w:val="none"/>
              <w:lang w:val="en-US" w:eastAsia="zh-CN"/>
            </w:rPr>
            <w:t>3</w:t>
          </w:r>
          <w:r>
            <w:rPr>
              <w:rFonts w:hint="default" w:ascii="Times New Roman" w:hAnsi="Times New Roman" w:eastAsia="宋体" w:cs="Times New Roman"/>
              <w:highlight w:val="none"/>
            </w:rPr>
            <w:t>粪污清理工艺</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_Toc18392 \h </w:instrText>
          </w:r>
          <w:r>
            <w:rPr>
              <w:rFonts w:hint="default" w:ascii="Times New Roman" w:hAnsi="Times New Roman" w:eastAsia="宋体" w:cs="Times New Roman"/>
            </w:rPr>
            <w:fldChar w:fldCharType="separate"/>
          </w:r>
          <w:r>
            <w:rPr>
              <w:rFonts w:hint="default" w:ascii="Times New Roman" w:hAnsi="Times New Roman" w:eastAsia="宋体" w:cs="Times New Roman"/>
            </w:rPr>
            <w:t>68</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11A283F">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_Toc2334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3.2.</w:t>
          </w:r>
          <w:r>
            <w:rPr>
              <w:rFonts w:hint="default" w:ascii="Times New Roman" w:hAnsi="Times New Roman" w:eastAsia="宋体" w:cs="Times New Roman"/>
              <w:highlight w:val="none"/>
              <w:lang w:val="en-US" w:eastAsia="zh-CN"/>
            </w:rPr>
            <w:t>4</w:t>
          </w:r>
          <w:r>
            <w:rPr>
              <w:rFonts w:hint="default" w:ascii="Times New Roman" w:hAnsi="Times New Roman" w:eastAsia="宋体" w:cs="Times New Roman"/>
              <w:highlight w:val="none"/>
              <w:lang w:eastAsia="zh-CN"/>
            </w:rPr>
            <w:t>堆肥</w:t>
          </w:r>
          <w:r>
            <w:rPr>
              <w:rFonts w:hint="default" w:ascii="Times New Roman" w:hAnsi="Times New Roman" w:eastAsia="宋体" w:cs="Times New Roman"/>
              <w:highlight w:val="none"/>
            </w:rPr>
            <w:t>工艺</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_Toc2334 \h </w:instrText>
          </w:r>
          <w:r>
            <w:rPr>
              <w:rFonts w:hint="default" w:ascii="Times New Roman" w:hAnsi="Times New Roman" w:eastAsia="宋体" w:cs="Times New Roman"/>
            </w:rPr>
            <w:fldChar w:fldCharType="separate"/>
          </w:r>
          <w:r>
            <w:rPr>
              <w:rFonts w:hint="default" w:ascii="Times New Roman" w:hAnsi="Times New Roman" w:eastAsia="宋体" w:cs="Times New Roman"/>
            </w:rPr>
            <w:t>68</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FF098FC">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_Toc17019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szCs w:val="24"/>
              <w:highlight w:val="none"/>
              <w:lang w:val="en-US" w:eastAsia="zh-CN"/>
            </w:rPr>
            <w:t>3</w:t>
          </w:r>
          <w:r>
            <w:rPr>
              <w:rFonts w:hint="default" w:ascii="Times New Roman" w:hAnsi="Times New Roman" w:eastAsia="宋体" w:cs="Times New Roman"/>
              <w:szCs w:val="24"/>
              <w:highlight w:val="none"/>
            </w:rPr>
            <w:t>.2.</w:t>
          </w:r>
          <w:r>
            <w:rPr>
              <w:rFonts w:hint="default" w:ascii="Times New Roman" w:hAnsi="Times New Roman" w:eastAsia="宋体" w:cs="Times New Roman"/>
              <w:szCs w:val="24"/>
              <w:highlight w:val="none"/>
              <w:lang w:val="en-US" w:eastAsia="zh-CN"/>
            </w:rPr>
            <w:t>5</w:t>
          </w:r>
          <w:r>
            <w:rPr>
              <w:rFonts w:hint="default" w:ascii="Times New Roman" w:hAnsi="Times New Roman" w:eastAsia="宋体" w:cs="Times New Roman"/>
              <w:szCs w:val="24"/>
              <w:highlight w:val="none"/>
              <w:lang w:eastAsia="zh-CN"/>
            </w:rPr>
            <w:t>牛舍、粪污处理池除臭工艺</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_Toc17019 \h </w:instrText>
          </w:r>
          <w:r>
            <w:rPr>
              <w:rFonts w:hint="default" w:ascii="Times New Roman" w:hAnsi="Times New Roman" w:eastAsia="宋体" w:cs="Times New Roman"/>
            </w:rPr>
            <w:fldChar w:fldCharType="separate"/>
          </w:r>
          <w:r>
            <w:rPr>
              <w:rFonts w:hint="default" w:ascii="Times New Roman" w:hAnsi="Times New Roman" w:eastAsia="宋体" w:cs="Times New Roman"/>
            </w:rPr>
            <w:t>71</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A620863">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_Toc1542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szCs w:val="24"/>
              <w:highlight w:val="none"/>
              <w:lang w:val="en-US" w:eastAsia="zh-CN"/>
            </w:rPr>
            <w:t>3</w:t>
          </w:r>
          <w:r>
            <w:rPr>
              <w:rFonts w:hint="default" w:ascii="Times New Roman" w:hAnsi="Times New Roman" w:eastAsia="宋体" w:cs="Times New Roman"/>
              <w:szCs w:val="24"/>
              <w:highlight w:val="none"/>
            </w:rPr>
            <w:t>.2.</w:t>
          </w:r>
          <w:r>
            <w:rPr>
              <w:rFonts w:hint="default" w:ascii="Times New Roman" w:hAnsi="Times New Roman" w:eastAsia="宋体" w:cs="Times New Roman"/>
              <w:szCs w:val="24"/>
              <w:highlight w:val="none"/>
              <w:lang w:val="en-US" w:eastAsia="zh-CN"/>
            </w:rPr>
            <w:t>6</w:t>
          </w:r>
          <w:r>
            <w:rPr>
              <w:rFonts w:hint="default" w:ascii="Times New Roman" w:hAnsi="Times New Roman" w:eastAsia="宋体" w:cs="Times New Roman"/>
              <w:szCs w:val="24"/>
              <w:highlight w:val="none"/>
              <w:lang w:eastAsia="zh-CN"/>
            </w:rPr>
            <w:t>卫生防疫系统</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_Toc1542 \h </w:instrText>
          </w:r>
          <w:r>
            <w:rPr>
              <w:rFonts w:hint="default" w:ascii="Times New Roman" w:hAnsi="Times New Roman" w:eastAsia="宋体" w:cs="Times New Roman"/>
            </w:rPr>
            <w:fldChar w:fldCharType="separate"/>
          </w:r>
          <w:r>
            <w:rPr>
              <w:rFonts w:hint="default" w:ascii="Times New Roman" w:hAnsi="Times New Roman" w:eastAsia="宋体" w:cs="Times New Roman"/>
            </w:rPr>
            <w:t>71</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7D1D4FF">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_Toc30453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3.3项目污染源源强核算</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_Toc30453 \h </w:instrText>
          </w:r>
          <w:r>
            <w:rPr>
              <w:rFonts w:hint="default" w:ascii="Times New Roman" w:hAnsi="Times New Roman" w:eastAsia="宋体" w:cs="Times New Roman"/>
            </w:rPr>
            <w:fldChar w:fldCharType="separate"/>
          </w:r>
          <w:r>
            <w:rPr>
              <w:rFonts w:hint="default" w:ascii="Times New Roman" w:hAnsi="Times New Roman" w:eastAsia="宋体" w:cs="Times New Roman"/>
            </w:rPr>
            <w:t>72</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ED295D4">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_Toc4645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3.3.1大气污染物</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_Toc4645 \h </w:instrText>
          </w:r>
          <w:r>
            <w:rPr>
              <w:rFonts w:hint="default" w:ascii="Times New Roman" w:hAnsi="Times New Roman" w:eastAsia="宋体" w:cs="Times New Roman"/>
            </w:rPr>
            <w:fldChar w:fldCharType="separate"/>
          </w:r>
          <w:r>
            <w:rPr>
              <w:rFonts w:hint="default" w:ascii="Times New Roman" w:hAnsi="Times New Roman" w:eastAsia="宋体" w:cs="Times New Roman"/>
            </w:rPr>
            <w:t>72</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31623D4B">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_Toc30642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3.3.2水污染物</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_Toc30642 \h </w:instrText>
          </w:r>
          <w:r>
            <w:rPr>
              <w:rFonts w:hint="default" w:ascii="Times New Roman" w:hAnsi="Times New Roman" w:eastAsia="宋体" w:cs="Times New Roman"/>
            </w:rPr>
            <w:fldChar w:fldCharType="separate"/>
          </w:r>
          <w:r>
            <w:rPr>
              <w:rFonts w:hint="default" w:ascii="Times New Roman" w:hAnsi="Times New Roman" w:eastAsia="宋体" w:cs="Times New Roman"/>
            </w:rPr>
            <w:t>76</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B9A5555">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_Toc23684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3.3.3噪声</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_Toc23684 \h </w:instrText>
          </w:r>
          <w:r>
            <w:rPr>
              <w:rFonts w:hint="default" w:ascii="Times New Roman" w:hAnsi="Times New Roman" w:eastAsia="宋体" w:cs="Times New Roman"/>
            </w:rPr>
            <w:fldChar w:fldCharType="separate"/>
          </w:r>
          <w:r>
            <w:rPr>
              <w:rFonts w:hint="default" w:ascii="Times New Roman" w:hAnsi="Times New Roman" w:eastAsia="宋体" w:cs="Times New Roman"/>
            </w:rPr>
            <w:t>77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997DCA0">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_Toc23510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3.3.4固体废弃物</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_Toc23510 \h </w:instrText>
          </w:r>
          <w:r>
            <w:rPr>
              <w:rFonts w:hint="default" w:ascii="Times New Roman" w:hAnsi="Times New Roman" w:eastAsia="宋体" w:cs="Times New Roman"/>
            </w:rPr>
            <w:fldChar w:fldCharType="separate"/>
          </w:r>
          <w:r>
            <w:rPr>
              <w:rFonts w:hint="default" w:ascii="Times New Roman" w:hAnsi="Times New Roman" w:eastAsia="宋体" w:cs="Times New Roman"/>
            </w:rPr>
            <w:t>77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E89C43F">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_Toc24815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3.4粪污资源化利用综述</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_Toc24815 \h </w:instrText>
          </w:r>
          <w:r>
            <w:rPr>
              <w:rFonts w:hint="default" w:ascii="Times New Roman" w:hAnsi="Times New Roman" w:eastAsia="宋体" w:cs="Times New Roman"/>
            </w:rPr>
            <w:fldChar w:fldCharType="separate"/>
          </w:r>
          <w:r>
            <w:rPr>
              <w:rFonts w:hint="default" w:ascii="Times New Roman" w:hAnsi="Times New Roman" w:eastAsia="宋体" w:cs="Times New Roman"/>
            </w:rPr>
            <w:t>79</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FBB349D">
          <w:pPr>
            <w:pStyle w:val="19"/>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_Toc19557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3.4.1有机肥产生量</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_Toc19557 \h </w:instrText>
          </w:r>
          <w:r>
            <w:rPr>
              <w:rFonts w:hint="default" w:ascii="Times New Roman" w:hAnsi="Times New Roman" w:eastAsia="宋体" w:cs="Times New Roman"/>
            </w:rPr>
            <w:fldChar w:fldCharType="separate"/>
          </w:r>
          <w:r>
            <w:rPr>
              <w:rFonts w:hint="default" w:ascii="Times New Roman" w:hAnsi="Times New Roman" w:eastAsia="宋体" w:cs="Times New Roman"/>
            </w:rPr>
            <w:t>79</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71785726">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_Toc19955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3.5污染物排放清单</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_Toc19955 \h </w:instrText>
          </w:r>
          <w:r>
            <w:rPr>
              <w:rFonts w:hint="default" w:ascii="Times New Roman" w:hAnsi="Times New Roman" w:eastAsia="宋体" w:cs="Times New Roman"/>
            </w:rPr>
            <w:fldChar w:fldCharType="separate"/>
          </w:r>
          <w:r>
            <w:rPr>
              <w:rFonts w:hint="default" w:ascii="Times New Roman" w:hAnsi="Times New Roman" w:eastAsia="宋体" w:cs="Times New Roman"/>
            </w:rPr>
            <w:t>80</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3CB048F8">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firstLine="0" w:firstLine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_Toc8419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4环境现状调查及评价</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_Toc8419 \h </w:instrText>
          </w:r>
          <w:r>
            <w:rPr>
              <w:rFonts w:hint="default" w:ascii="Times New Roman" w:hAnsi="Times New Roman" w:eastAsia="宋体" w:cs="Times New Roman"/>
            </w:rPr>
            <w:fldChar w:fldCharType="separate"/>
          </w:r>
          <w:r>
            <w:rPr>
              <w:rFonts w:hint="default" w:ascii="Times New Roman" w:hAnsi="Times New Roman" w:eastAsia="宋体" w:cs="Times New Roman"/>
            </w:rPr>
            <w:t>83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32043CF">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_Toc30454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4.1自然环境现状调查与评价</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_Toc30454 \h </w:instrText>
          </w:r>
          <w:r>
            <w:rPr>
              <w:rFonts w:hint="default" w:ascii="Times New Roman" w:hAnsi="Times New Roman" w:eastAsia="宋体" w:cs="Times New Roman"/>
            </w:rPr>
            <w:fldChar w:fldCharType="separate"/>
          </w:r>
          <w:r>
            <w:rPr>
              <w:rFonts w:hint="default" w:ascii="Times New Roman" w:hAnsi="Times New Roman" w:eastAsia="宋体" w:cs="Times New Roman"/>
            </w:rPr>
            <w:t>83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4B1B1D0">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_Toc18180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4.1.1地理位置</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_Toc18180 \h </w:instrText>
          </w:r>
          <w:r>
            <w:rPr>
              <w:rFonts w:hint="default" w:ascii="Times New Roman" w:hAnsi="Times New Roman" w:eastAsia="宋体" w:cs="Times New Roman"/>
            </w:rPr>
            <w:fldChar w:fldCharType="separate"/>
          </w:r>
          <w:r>
            <w:rPr>
              <w:rFonts w:hint="default" w:ascii="Times New Roman" w:hAnsi="Times New Roman" w:eastAsia="宋体" w:cs="Times New Roman"/>
            </w:rPr>
            <w:t>83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36BBDAE4">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_Toc25397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4.1.2</w:t>
          </w:r>
          <w:r>
            <w:rPr>
              <w:rFonts w:hint="default" w:ascii="Times New Roman" w:hAnsi="Times New Roman" w:eastAsia="宋体" w:cs="Times New Roman"/>
              <w:szCs w:val="22"/>
              <w:highlight w:val="none"/>
            </w:rPr>
            <w:t>地形地貌</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_Toc25397 \h </w:instrText>
          </w:r>
          <w:r>
            <w:rPr>
              <w:rFonts w:hint="default" w:ascii="Times New Roman" w:hAnsi="Times New Roman" w:eastAsia="宋体" w:cs="Times New Roman"/>
            </w:rPr>
            <w:fldChar w:fldCharType="separate"/>
          </w:r>
          <w:r>
            <w:rPr>
              <w:rFonts w:hint="default" w:ascii="Times New Roman" w:hAnsi="Times New Roman" w:eastAsia="宋体" w:cs="Times New Roman"/>
            </w:rPr>
            <w:t>83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30AF7DD">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_Toc8196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4.1.3</w:t>
          </w:r>
          <w:r>
            <w:rPr>
              <w:rFonts w:hint="default" w:ascii="Times New Roman" w:hAnsi="Times New Roman" w:eastAsia="宋体" w:cs="Times New Roman"/>
              <w:szCs w:val="22"/>
              <w:highlight w:val="none"/>
            </w:rPr>
            <w:t>气候特征</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_Toc8196 \h </w:instrText>
          </w:r>
          <w:r>
            <w:rPr>
              <w:rFonts w:hint="default" w:ascii="Times New Roman" w:hAnsi="Times New Roman" w:eastAsia="宋体" w:cs="Times New Roman"/>
            </w:rPr>
            <w:fldChar w:fldCharType="separate"/>
          </w:r>
          <w:r>
            <w:rPr>
              <w:rFonts w:hint="default" w:ascii="Times New Roman" w:hAnsi="Times New Roman" w:eastAsia="宋体" w:cs="Times New Roman"/>
            </w:rPr>
            <w:t>83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9A691B8">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_Toc21032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4.1.</w:t>
          </w:r>
          <w:r>
            <w:rPr>
              <w:rFonts w:hint="default" w:ascii="Times New Roman" w:hAnsi="Times New Roman" w:eastAsia="宋体" w:cs="Times New Roman"/>
              <w:highlight w:val="none"/>
              <w:lang w:val="en-US" w:eastAsia="zh-CN"/>
            </w:rPr>
            <w:t>4</w:t>
          </w:r>
          <w:r>
            <w:rPr>
              <w:rFonts w:hint="default" w:ascii="Times New Roman" w:hAnsi="Times New Roman" w:eastAsia="宋体" w:cs="Times New Roman"/>
              <w:highlight w:val="none"/>
            </w:rPr>
            <w:t>水文</w:t>
          </w:r>
          <w:r>
            <w:rPr>
              <w:rFonts w:hint="default" w:ascii="Times New Roman" w:hAnsi="Times New Roman" w:eastAsia="宋体" w:cs="Times New Roman"/>
              <w:highlight w:val="none"/>
              <w:lang w:eastAsia="zh-CN"/>
            </w:rPr>
            <w:t>地质</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_Toc21032 \h </w:instrText>
          </w:r>
          <w:r>
            <w:rPr>
              <w:rFonts w:hint="default" w:ascii="Times New Roman" w:hAnsi="Times New Roman" w:eastAsia="宋体" w:cs="Times New Roman"/>
            </w:rPr>
            <w:fldChar w:fldCharType="separate"/>
          </w:r>
          <w:r>
            <w:rPr>
              <w:rFonts w:hint="default" w:ascii="Times New Roman" w:hAnsi="Times New Roman" w:eastAsia="宋体" w:cs="Times New Roman"/>
            </w:rPr>
            <w:t>84</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C3F7F71">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_Toc27638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4.1.</w:t>
          </w:r>
          <w:r>
            <w:rPr>
              <w:rFonts w:hint="default" w:ascii="Times New Roman" w:hAnsi="Times New Roman" w:eastAsia="宋体" w:cs="Times New Roman"/>
              <w:highlight w:val="none"/>
              <w:lang w:val="en-US" w:eastAsia="zh-CN"/>
            </w:rPr>
            <w:t>5</w:t>
          </w:r>
          <w:r>
            <w:rPr>
              <w:rFonts w:hint="default" w:ascii="Times New Roman" w:hAnsi="Times New Roman" w:eastAsia="宋体" w:cs="Times New Roman"/>
              <w:highlight w:val="none"/>
            </w:rPr>
            <w:t>土壤</w:t>
          </w:r>
          <w:r>
            <w:rPr>
              <w:rFonts w:hint="default" w:ascii="Times New Roman" w:hAnsi="Times New Roman" w:eastAsia="宋体" w:cs="Times New Roman"/>
              <w:highlight w:val="none"/>
              <w:lang w:eastAsia="zh-CN"/>
            </w:rPr>
            <w:t>资源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_Toc27638 \h </w:instrText>
          </w:r>
          <w:r>
            <w:rPr>
              <w:rFonts w:hint="default" w:ascii="Times New Roman" w:hAnsi="Times New Roman" w:eastAsia="宋体" w:cs="Times New Roman"/>
            </w:rPr>
            <w:fldChar w:fldCharType="separate"/>
          </w:r>
          <w:r>
            <w:rPr>
              <w:rFonts w:hint="default" w:ascii="Times New Roman" w:hAnsi="Times New Roman" w:eastAsia="宋体" w:cs="Times New Roman"/>
            </w:rPr>
            <w:t>85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53FFC8F">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_Toc4108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4.1.</w:t>
          </w:r>
          <w:r>
            <w:rPr>
              <w:rFonts w:hint="default" w:ascii="Times New Roman" w:hAnsi="Times New Roman" w:eastAsia="宋体" w:cs="Times New Roman"/>
              <w:highlight w:val="none"/>
              <w:lang w:val="en-US" w:eastAsia="zh-CN"/>
            </w:rPr>
            <w:t>6植物资源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_Toc4108 \h </w:instrText>
          </w:r>
          <w:r>
            <w:rPr>
              <w:rFonts w:hint="default" w:ascii="Times New Roman" w:hAnsi="Times New Roman" w:eastAsia="宋体" w:cs="Times New Roman"/>
            </w:rPr>
            <w:fldChar w:fldCharType="separate"/>
          </w:r>
          <w:r>
            <w:rPr>
              <w:rFonts w:hint="default" w:ascii="Times New Roman" w:hAnsi="Times New Roman" w:eastAsia="宋体" w:cs="Times New Roman"/>
            </w:rPr>
            <w:t>85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7408D54B">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_Toc2234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4.1.</w:t>
          </w:r>
          <w:r>
            <w:rPr>
              <w:rFonts w:hint="default" w:ascii="Times New Roman" w:hAnsi="Times New Roman" w:eastAsia="宋体" w:cs="Times New Roman"/>
              <w:highlight w:val="none"/>
              <w:lang w:val="en-US" w:eastAsia="zh-CN"/>
            </w:rPr>
            <w:t>7动物资源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_Toc2234 \h </w:instrText>
          </w:r>
          <w:r>
            <w:rPr>
              <w:rFonts w:hint="default" w:ascii="Times New Roman" w:hAnsi="Times New Roman" w:eastAsia="宋体" w:cs="Times New Roman"/>
            </w:rPr>
            <w:fldChar w:fldCharType="separate"/>
          </w:r>
          <w:r>
            <w:rPr>
              <w:rFonts w:hint="default" w:ascii="Times New Roman" w:hAnsi="Times New Roman" w:eastAsia="宋体" w:cs="Times New Roman"/>
            </w:rPr>
            <w:t>85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7C33289E">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_Toc908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4.2环境质量现状调查与评价</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_Toc908 \h </w:instrText>
          </w:r>
          <w:r>
            <w:rPr>
              <w:rFonts w:hint="default" w:ascii="Times New Roman" w:hAnsi="Times New Roman" w:eastAsia="宋体" w:cs="Times New Roman"/>
            </w:rPr>
            <w:fldChar w:fldCharType="separate"/>
          </w:r>
          <w:r>
            <w:rPr>
              <w:rFonts w:hint="default" w:ascii="Times New Roman" w:hAnsi="Times New Roman" w:eastAsia="宋体" w:cs="Times New Roman"/>
            </w:rPr>
            <w:t>86</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AF7CF66">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_Toc26993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4.2.1环境空气质量现状</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_Toc26993 \h </w:instrText>
          </w:r>
          <w:r>
            <w:rPr>
              <w:rFonts w:hint="default" w:ascii="Times New Roman" w:hAnsi="Times New Roman" w:eastAsia="宋体" w:cs="Times New Roman"/>
            </w:rPr>
            <w:fldChar w:fldCharType="separate"/>
          </w:r>
          <w:r>
            <w:rPr>
              <w:rFonts w:hint="default" w:ascii="Times New Roman" w:hAnsi="Times New Roman" w:eastAsia="宋体" w:cs="Times New Roman"/>
            </w:rPr>
            <w:t>86</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24ABD26">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_Toc26083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4.2.2地下水质量现状调查与评价</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_Toc26083 \h </w:instrText>
          </w:r>
          <w:r>
            <w:rPr>
              <w:rFonts w:hint="default" w:ascii="Times New Roman" w:hAnsi="Times New Roman" w:eastAsia="宋体" w:cs="Times New Roman"/>
            </w:rPr>
            <w:fldChar w:fldCharType="separate"/>
          </w:r>
          <w:r>
            <w:rPr>
              <w:rFonts w:hint="default" w:ascii="Times New Roman" w:hAnsi="Times New Roman" w:eastAsia="宋体" w:cs="Times New Roman"/>
            </w:rPr>
            <w:t>89</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64B8FD3">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_Toc4765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4.2.3土壤环境质量现状调查与评价</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_Toc4765 \h </w:instrText>
          </w:r>
          <w:r>
            <w:rPr>
              <w:rFonts w:hint="default" w:ascii="Times New Roman" w:hAnsi="Times New Roman" w:eastAsia="宋体" w:cs="Times New Roman"/>
            </w:rPr>
            <w:fldChar w:fldCharType="separate"/>
          </w:r>
          <w:r>
            <w:rPr>
              <w:rFonts w:hint="default" w:ascii="Times New Roman" w:hAnsi="Times New Roman" w:eastAsia="宋体" w:cs="Times New Roman"/>
            </w:rPr>
            <w:t>97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042247AC">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_Toc24817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4.2.4声环境质量现状调查与评价</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_Toc24817 \h </w:instrText>
          </w:r>
          <w:r>
            <w:rPr>
              <w:rFonts w:hint="default" w:ascii="Times New Roman" w:hAnsi="Times New Roman" w:eastAsia="宋体" w:cs="Times New Roman"/>
            </w:rPr>
            <w:fldChar w:fldCharType="separate"/>
          </w:r>
          <w:r>
            <w:rPr>
              <w:rFonts w:hint="default" w:ascii="Times New Roman" w:hAnsi="Times New Roman" w:eastAsia="宋体" w:cs="Times New Roman"/>
            </w:rPr>
            <w:t>99</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52C095E">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_Toc2140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4.2.5生态环境现状调查与评价</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_Toc2140 \h </w:instrText>
          </w:r>
          <w:r>
            <w:rPr>
              <w:rFonts w:hint="default" w:ascii="Times New Roman" w:hAnsi="Times New Roman" w:eastAsia="宋体" w:cs="Times New Roman"/>
            </w:rPr>
            <w:fldChar w:fldCharType="separate"/>
          </w:r>
          <w:r>
            <w:rPr>
              <w:rFonts w:hint="default" w:ascii="Times New Roman" w:hAnsi="Times New Roman" w:eastAsia="宋体" w:cs="Times New Roman"/>
            </w:rPr>
            <w:t>103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3E5BEBEB">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firstLine="0" w:firstLine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_Toc31901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5环境影响预测与评价</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_Toc31901 \h </w:instrText>
          </w:r>
          <w:r>
            <w:rPr>
              <w:rFonts w:hint="default" w:ascii="Times New Roman" w:hAnsi="Times New Roman" w:eastAsia="宋体" w:cs="Times New Roman"/>
            </w:rPr>
            <w:fldChar w:fldCharType="separate"/>
          </w:r>
          <w:r>
            <w:rPr>
              <w:rFonts w:hint="default" w:ascii="Times New Roman" w:hAnsi="Times New Roman" w:eastAsia="宋体" w:cs="Times New Roman"/>
            </w:rPr>
            <w:t>109</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3F3C2AAC">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_Toc11767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5.1施工期环境影响分析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_Toc11767 \h </w:instrText>
          </w:r>
          <w:r>
            <w:rPr>
              <w:rFonts w:hint="default" w:ascii="Times New Roman" w:hAnsi="Times New Roman" w:eastAsia="宋体" w:cs="Times New Roman"/>
            </w:rPr>
            <w:fldChar w:fldCharType="separate"/>
          </w:r>
          <w:r>
            <w:rPr>
              <w:rFonts w:hint="default" w:ascii="Times New Roman" w:hAnsi="Times New Roman" w:eastAsia="宋体" w:cs="Times New Roman"/>
            </w:rPr>
            <w:t>109</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E112C24">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_Toc22221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5.1.1大气环境影响分析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_Toc22221 \h </w:instrText>
          </w:r>
          <w:r>
            <w:rPr>
              <w:rFonts w:hint="default" w:ascii="Times New Roman" w:hAnsi="Times New Roman" w:eastAsia="宋体" w:cs="Times New Roman"/>
            </w:rPr>
            <w:fldChar w:fldCharType="separate"/>
          </w:r>
          <w:r>
            <w:rPr>
              <w:rFonts w:hint="default" w:ascii="Times New Roman" w:hAnsi="Times New Roman" w:eastAsia="宋体" w:cs="Times New Roman"/>
            </w:rPr>
            <w:t>109</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0821E799">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_Toc7052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5.1.2水环境影响分析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_Toc7052 \h </w:instrText>
          </w:r>
          <w:r>
            <w:rPr>
              <w:rFonts w:hint="default" w:ascii="Times New Roman" w:hAnsi="Times New Roman" w:eastAsia="宋体" w:cs="Times New Roman"/>
            </w:rPr>
            <w:fldChar w:fldCharType="separate"/>
          </w:r>
          <w:r>
            <w:rPr>
              <w:rFonts w:hint="default" w:ascii="Times New Roman" w:hAnsi="Times New Roman" w:eastAsia="宋体" w:cs="Times New Roman"/>
            </w:rPr>
            <w:t>112</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8EF2C48">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_Toc28091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5.1.3施工期声环境影响分析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_Toc28091 \h </w:instrText>
          </w:r>
          <w:r>
            <w:rPr>
              <w:rFonts w:hint="default" w:ascii="Times New Roman" w:hAnsi="Times New Roman" w:eastAsia="宋体" w:cs="Times New Roman"/>
            </w:rPr>
            <w:fldChar w:fldCharType="separate"/>
          </w:r>
          <w:r>
            <w:rPr>
              <w:rFonts w:hint="default" w:ascii="Times New Roman" w:hAnsi="Times New Roman" w:eastAsia="宋体" w:cs="Times New Roman"/>
            </w:rPr>
            <w:t>112</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0BDD818">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_Toc15198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5.1.4固废环境影响分析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_Toc15198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113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036BDD3A">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_Toc21908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5.1.5施工期生态影响分析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_Toc21908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114</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0D65FB0D">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_Toc24214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5.2运营期大气环境影响分析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_Toc24214 \h </w:instrText>
          </w:r>
          <w:r>
            <w:rPr>
              <w:rFonts w:hint="default" w:ascii="Times New Roman" w:hAnsi="Times New Roman" w:eastAsia="宋体" w:cs="Times New Roman"/>
            </w:rPr>
            <w:fldChar w:fldCharType="separate"/>
          </w:r>
          <w:r>
            <w:rPr>
              <w:rFonts w:hint="default" w:ascii="Times New Roman" w:hAnsi="Times New Roman" w:eastAsia="宋体" w:cs="Times New Roman"/>
            </w:rPr>
            <w:t>116</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3E2F144E">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_Toc11098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5.2.1区域气象资料</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_Toc11098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116</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F897806">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_Toc27455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5.2.2大气环境影响预测</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_Toc27455 \h </w:instrText>
          </w:r>
          <w:r>
            <w:rPr>
              <w:rFonts w:hint="default" w:ascii="Times New Roman" w:hAnsi="Times New Roman" w:eastAsia="宋体" w:cs="Times New Roman"/>
            </w:rPr>
            <w:fldChar w:fldCharType="separate"/>
          </w:r>
          <w:r>
            <w:rPr>
              <w:rFonts w:hint="default" w:ascii="Times New Roman" w:hAnsi="Times New Roman" w:eastAsia="宋体" w:cs="Times New Roman"/>
            </w:rPr>
            <w:t>120</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20EA92B">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_Toc17602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5.2.3大气环境影响评价结论与建议</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_Toc17602 \h </w:instrText>
          </w:r>
          <w:r>
            <w:rPr>
              <w:rFonts w:hint="default" w:ascii="Times New Roman" w:hAnsi="Times New Roman" w:eastAsia="宋体" w:cs="Times New Roman"/>
            </w:rPr>
            <w:fldChar w:fldCharType="separate"/>
          </w:r>
          <w:r>
            <w:rPr>
              <w:rFonts w:hint="default" w:ascii="Times New Roman" w:hAnsi="Times New Roman" w:eastAsia="宋体" w:cs="Times New Roman"/>
            </w:rPr>
            <w:t>125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7E64A20">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_Toc26948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5.3运营期地表水环境影响分析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_Toc26948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128</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33EF634">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_Toc8915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5.4运营期地下水环境影响</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_Toc8915 \h </w:instrText>
          </w:r>
          <w:r>
            <w:rPr>
              <w:rFonts w:hint="default" w:ascii="Times New Roman" w:hAnsi="Times New Roman" w:eastAsia="宋体" w:cs="Times New Roman"/>
            </w:rPr>
            <w:fldChar w:fldCharType="separate"/>
          </w:r>
          <w:r>
            <w:rPr>
              <w:rFonts w:hint="default" w:ascii="Times New Roman" w:hAnsi="Times New Roman" w:eastAsia="宋体" w:cs="Times New Roman"/>
            </w:rPr>
            <w:t>128</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3FE432C5">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_Toc4693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5.4.1环境水文地质条件</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_Toc4693 \h </w:instrText>
          </w:r>
          <w:r>
            <w:rPr>
              <w:rFonts w:hint="default" w:ascii="Times New Roman" w:hAnsi="Times New Roman" w:eastAsia="宋体" w:cs="Times New Roman"/>
            </w:rPr>
            <w:fldChar w:fldCharType="separate"/>
          </w:r>
          <w:r>
            <w:rPr>
              <w:rFonts w:hint="default" w:ascii="Times New Roman" w:hAnsi="Times New Roman" w:eastAsia="宋体" w:cs="Times New Roman"/>
            </w:rPr>
            <w:t>128</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2103E4B">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_Toc31473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5.4.2地下水环境影响分析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_Toc31473 \h </w:instrText>
          </w:r>
          <w:r>
            <w:rPr>
              <w:rFonts w:hint="default" w:ascii="Times New Roman" w:hAnsi="Times New Roman" w:eastAsia="宋体" w:cs="Times New Roman"/>
            </w:rPr>
            <w:fldChar w:fldCharType="separate"/>
          </w:r>
          <w:r>
            <w:rPr>
              <w:rFonts w:hint="default" w:ascii="Times New Roman" w:hAnsi="Times New Roman" w:eastAsia="宋体" w:cs="Times New Roman"/>
            </w:rPr>
            <w:t>130</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0E5848F">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_Toc32341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5.4.3预测结果分析评价</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_Toc32341 \h </w:instrText>
          </w:r>
          <w:r>
            <w:rPr>
              <w:rFonts w:hint="default" w:ascii="Times New Roman" w:hAnsi="Times New Roman" w:eastAsia="宋体" w:cs="Times New Roman"/>
            </w:rPr>
            <w:fldChar w:fldCharType="separate"/>
          </w:r>
          <w:r>
            <w:rPr>
              <w:rFonts w:hint="default" w:ascii="Times New Roman" w:hAnsi="Times New Roman" w:eastAsia="宋体" w:cs="Times New Roman"/>
            </w:rPr>
            <w:t>132</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7A37685A">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_Toc23148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5.5运营期土壤环境影响分析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_Toc23148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133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6FD55B1">
          <w:pPr>
            <w:pStyle w:val="19"/>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_Toc25999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5.5.</w:t>
          </w:r>
          <w:r>
            <w:rPr>
              <w:rFonts w:hint="default" w:ascii="Times New Roman" w:hAnsi="Times New Roman" w:eastAsia="宋体" w:cs="Times New Roman"/>
              <w:highlight w:val="none"/>
              <w:lang w:val="en-US" w:eastAsia="zh-CN"/>
            </w:rPr>
            <w:t>1</w:t>
          </w:r>
          <w:r>
            <w:rPr>
              <w:rFonts w:hint="default" w:ascii="Times New Roman" w:hAnsi="Times New Roman" w:eastAsia="宋体" w:cs="Times New Roman"/>
              <w:highlight w:val="none"/>
            </w:rPr>
            <w:t>环境影响识别</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_Toc25999 \h </w:instrText>
          </w:r>
          <w:r>
            <w:rPr>
              <w:rFonts w:hint="default" w:ascii="Times New Roman" w:hAnsi="Times New Roman" w:eastAsia="宋体" w:cs="Times New Roman"/>
            </w:rPr>
            <w:fldChar w:fldCharType="separate"/>
          </w:r>
          <w:r>
            <w:rPr>
              <w:rFonts w:hint="default" w:ascii="Times New Roman" w:hAnsi="Times New Roman" w:eastAsia="宋体" w:cs="Times New Roman"/>
            </w:rPr>
            <w:t>133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2D03425">
          <w:pPr>
            <w:pStyle w:val="19"/>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_Toc30450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5.5.</w:t>
          </w:r>
          <w:r>
            <w:rPr>
              <w:rFonts w:hint="default" w:ascii="Times New Roman" w:hAnsi="Times New Roman" w:eastAsia="宋体" w:cs="Times New Roman"/>
              <w:highlight w:val="none"/>
              <w:lang w:val="en-US" w:eastAsia="zh-CN"/>
            </w:rPr>
            <w:t>2</w:t>
          </w:r>
          <w:r>
            <w:rPr>
              <w:rFonts w:hint="default" w:ascii="Times New Roman" w:hAnsi="Times New Roman" w:eastAsia="宋体" w:cs="Times New Roman"/>
              <w:highlight w:val="none"/>
            </w:rPr>
            <w:t>理化调查与评价</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_Toc30450 \h </w:instrText>
          </w:r>
          <w:r>
            <w:rPr>
              <w:rFonts w:hint="default" w:ascii="Times New Roman" w:hAnsi="Times New Roman" w:eastAsia="宋体" w:cs="Times New Roman"/>
            </w:rPr>
            <w:fldChar w:fldCharType="separate"/>
          </w:r>
          <w:r>
            <w:rPr>
              <w:rFonts w:hint="default" w:ascii="Times New Roman" w:hAnsi="Times New Roman" w:eastAsia="宋体" w:cs="Times New Roman"/>
            </w:rPr>
            <w:t>133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D945B55">
          <w:pPr>
            <w:pStyle w:val="19"/>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_Toc14423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5.5.</w:t>
          </w:r>
          <w:r>
            <w:rPr>
              <w:rFonts w:hint="default" w:ascii="Times New Roman" w:hAnsi="Times New Roman" w:eastAsia="宋体" w:cs="Times New Roman"/>
              <w:highlight w:val="none"/>
              <w:lang w:val="en-US" w:eastAsia="zh-CN"/>
            </w:rPr>
            <w:t>3</w:t>
          </w:r>
          <w:r>
            <w:rPr>
              <w:rFonts w:hint="default" w:ascii="Times New Roman" w:hAnsi="Times New Roman" w:eastAsia="宋体" w:cs="Times New Roman"/>
              <w:highlight w:val="none"/>
            </w:rPr>
            <w:t>土壤环境影响预测与评价</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_Toc14423 \h </w:instrText>
          </w:r>
          <w:r>
            <w:rPr>
              <w:rFonts w:hint="default" w:ascii="Times New Roman" w:hAnsi="Times New Roman" w:eastAsia="宋体" w:cs="Times New Roman"/>
            </w:rPr>
            <w:fldChar w:fldCharType="separate"/>
          </w:r>
          <w:r>
            <w:rPr>
              <w:rFonts w:hint="default" w:ascii="Times New Roman" w:hAnsi="Times New Roman" w:eastAsia="宋体" w:cs="Times New Roman"/>
            </w:rPr>
            <w:t>134</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F69A838">
          <w:pPr>
            <w:pStyle w:val="19"/>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_Toc10665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5.5.</w:t>
          </w:r>
          <w:r>
            <w:rPr>
              <w:rFonts w:hint="default" w:ascii="Times New Roman" w:hAnsi="Times New Roman" w:eastAsia="宋体" w:cs="Times New Roman"/>
              <w:highlight w:val="none"/>
              <w:lang w:val="en-US" w:eastAsia="zh-CN"/>
            </w:rPr>
            <w:t>4</w:t>
          </w:r>
          <w:r>
            <w:rPr>
              <w:rFonts w:hint="default" w:ascii="Times New Roman" w:hAnsi="Times New Roman" w:eastAsia="宋体" w:cs="Times New Roman"/>
              <w:highlight w:val="none"/>
            </w:rPr>
            <w:t>土壤影响评价结论</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_Toc10665 \h </w:instrText>
          </w:r>
          <w:r>
            <w:rPr>
              <w:rFonts w:hint="default" w:ascii="Times New Roman" w:hAnsi="Times New Roman" w:eastAsia="宋体" w:cs="Times New Roman"/>
            </w:rPr>
            <w:fldChar w:fldCharType="separate"/>
          </w:r>
          <w:r>
            <w:rPr>
              <w:rFonts w:hint="default" w:ascii="Times New Roman" w:hAnsi="Times New Roman" w:eastAsia="宋体" w:cs="Times New Roman"/>
            </w:rPr>
            <w:t>135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7614EECA">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_Toc12961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5.6运营期声环境影响分析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_Toc12961 \h </w:instrText>
          </w:r>
          <w:r>
            <w:rPr>
              <w:rFonts w:hint="default" w:ascii="Times New Roman" w:hAnsi="Times New Roman" w:eastAsia="宋体" w:cs="Times New Roman"/>
            </w:rPr>
            <w:fldChar w:fldCharType="separate"/>
          </w:r>
          <w:r>
            <w:rPr>
              <w:rFonts w:hint="default" w:ascii="Times New Roman" w:hAnsi="Times New Roman" w:eastAsia="宋体" w:cs="Times New Roman"/>
            </w:rPr>
            <w:t>137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053ECEF9">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_Toc18591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5.6.1主要声源源强</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_Toc18591 \h </w:instrText>
          </w:r>
          <w:r>
            <w:rPr>
              <w:rFonts w:hint="default" w:ascii="Times New Roman" w:hAnsi="Times New Roman" w:eastAsia="宋体" w:cs="Times New Roman"/>
            </w:rPr>
            <w:fldChar w:fldCharType="separate"/>
          </w:r>
          <w:r>
            <w:rPr>
              <w:rFonts w:hint="default" w:ascii="Times New Roman" w:hAnsi="Times New Roman" w:eastAsia="宋体" w:cs="Times New Roman"/>
            </w:rPr>
            <w:t>137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8996F43">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_Toc23779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5.6.2声环境预测方法</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_Toc23779 \h </w:instrText>
          </w:r>
          <w:r>
            <w:rPr>
              <w:rFonts w:hint="default" w:ascii="Times New Roman" w:hAnsi="Times New Roman" w:eastAsia="宋体" w:cs="Times New Roman"/>
            </w:rPr>
            <w:fldChar w:fldCharType="separate"/>
          </w:r>
          <w:r>
            <w:rPr>
              <w:rFonts w:hint="default" w:ascii="Times New Roman" w:hAnsi="Times New Roman" w:eastAsia="宋体" w:cs="Times New Roman"/>
            </w:rPr>
            <w:t>137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9D3871D">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_Toc18856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5.6.3声环境预测结果及结论</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_Toc18856 \h </w:instrText>
          </w:r>
          <w:r>
            <w:rPr>
              <w:rFonts w:hint="default" w:ascii="Times New Roman" w:hAnsi="Times New Roman" w:eastAsia="宋体" w:cs="Times New Roman"/>
            </w:rPr>
            <w:fldChar w:fldCharType="separate"/>
          </w:r>
          <w:r>
            <w:rPr>
              <w:rFonts w:hint="default" w:ascii="Times New Roman" w:hAnsi="Times New Roman" w:eastAsia="宋体" w:cs="Times New Roman"/>
            </w:rPr>
            <w:t>139</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4FCDEC3">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_Toc30914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5.7运营期固体废物环境影响分析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_Toc30914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140</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41D91BC">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_Toc20391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5.7.1固体废物环境影响特点</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_Toc20391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140</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3FF19CC">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_Toc23710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5.7.2固体废物污染途径</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_Toc23710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140</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E0D6418">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_Toc22847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5.7.3固废影响分析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_Toc22847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141</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0754A55">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_Toc13523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5.8运营期生态环境影响分析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_Toc13523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141</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9048190">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_Toc6275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5.8.1土地利用影响评价</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_Toc6275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141</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CB26417">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_Toc3548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5.8.2对动植物的影响分析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_Toc3548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141</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CB4874E">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_Toc390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5.8.3对土壤的污染影响分析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_Toc390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141</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409BCD1">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firstLine="0" w:firstLine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_Toc19605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6环境风险评价</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_Toc19605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6771916">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_Toc21940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6.1风险评价目的</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_Toc21940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A69D524">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_Toc9764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6.2风险调查</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_Toc9764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C739E78">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_Toc12631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6.2.1建设项目风险源调查</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_Toc12631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3848C3A8">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_Toc6759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6.2.2环境敏感目标调查</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_Toc6759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01468DC8">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_Toc32428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6.3评价等级划分及评价范围</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_Toc32428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144</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7C72AB61">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_Toc30001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6.3.1危险物质及工艺系统危险性（P）的分级确定</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_Toc30001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144</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872D5B5">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_Toc25244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6.3.2环境影响评价等级及评价范围</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_Toc25244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144</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727E41B0">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_Toc13980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6.4环境风险分析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_Toc13980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57304CC">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_Toc30789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6.4.1物质危险性识别</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_Toc30789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067BD996">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_Toc764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6.4.2生产系统危险性识别</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_Toc764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1D5E781">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_Toc6579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6.5风险事故情形分析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_Toc6579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146</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3E01A433">
          <w:pPr>
            <w:pStyle w:val="29"/>
            <w:keepNext w:val="0"/>
            <w:keepLines w:val="0"/>
            <w:pageBreakBefore w:val="0"/>
            <w:widowControl w:val="0"/>
            <w:tabs>
              <w:tab w:val="right" w:leader="dot" w:pos="8306"/>
            </w:tabs>
            <w:kinsoku/>
            <w:wordWrap/>
            <w:overflowPunct/>
            <w:topLinePunct/>
            <w:autoSpaceDE w:val="0"/>
            <w:autoSpaceDN/>
            <w:bidi w:val="0"/>
            <w:adjustRightInd/>
            <w:snapToGrid/>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_Toc32549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6.6环境风险管理</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_Toc32549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4EBF73C">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_Toc10107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6.6.1环境风险防范措施</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_Toc10107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388CE7BF">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_Toc11688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6.6.2突发环境事件应急预案编制要求</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_Toc11688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148</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E9E9F10">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_Toc32558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6.7结论与建议</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_Toc32558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148</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D01A5C2">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_Toc8348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6.7.1结论</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_Toc8348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148</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E6F3474">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_Toc17980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6.7.2建议</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_Toc17980 \h </w:instrText>
          </w:r>
          <w:r>
            <w:rPr>
              <w:rFonts w:hint="default" w:ascii="Times New Roman" w:hAnsi="Times New Roman" w:eastAsia="宋体" w:cs="Times New Roman"/>
            </w:rPr>
            <w:fldChar w:fldCharType="separate"/>
          </w:r>
          <w:r>
            <w:rPr>
              <w:rFonts w:hint="default" w:ascii="Times New Roman" w:hAnsi="Times New Roman" w:eastAsia="宋体" w:cs="Times New Roman"/>
            </w:rPr>
            <w:t>148</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6FFE929">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firstLine="0" w:firstLine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_Toc6948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7环境保护措施及其可行性论证</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_Toc6948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150</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08C7F760">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_Toc29345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7.1施工期环境保护措施</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_Toc29345 \h </w:instrText>
          </w:r>
          <w:r>
            <w:rPr>
              <w:rFonts w:hint="default" w:ascii="Times New Roman" w:hAnsi="Times New Roman" w:eastAsia="宋体" w:cs="Times New Roman"/>
            </w:rPr>
            <w:fldChar w:fldCharType="separate"/>
          </w:r>
          <w:r>
            <w:rPr>
              <w:rFonts w:hint="default" w:ascii="Times New Roman" w:hAnsi="Times New Roman" w:eastAsia="宋体" w:cs="Times New Roman"/>
            </w:rPr>
            <w:t>150</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C468CF1">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_Toc10938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7.1.1施工期大气环境保护措施</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_Toc10938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150</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3840BA59">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_Toc29168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7.1.2施工期水环境保护措施</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_Toc29168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151</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0EB13EE5">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_Toc21678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7.1.3施工期声环境保护措施</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_Toc21678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151</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1B66279">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_Toc7093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7.1.4施工期固体废物处理措施</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_Toc7093 \h </w:instrText>
          </w:r>
          <w:r>
            <w:rPr>
              <w:rFonts w:hint="default" w:ascii="Times New Roman" w:hAnsi="Times New Roman" w:eastAsia="宋体" w:cs="Times New Roman"/>
            </w:rPr>
            <w:fldChar w:fldCharType="separate"/>
          </w:r>
          <w:r>
            <w:rPr>
              <w:rFonts w:hint="default" w:ascii="Times New Roman" w:hAnsi="Times New Roman" w:eastAsia="宋体" w:cs="Times New Roman"/>
            </w:rPr>
            <w:t>151</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385F36CC">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_Toc7005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7.1.5施工期生态环境保护措施</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_Toc7005 \h </w:instrText>
          </w:r>
          <w:r>
            <w:rPr>
              <w:rFonts w:hint="default" w:ascii="Times New Roman" w:hAnsi="Times New Roman" w:eastAsia="宋体" w:cs="Times New Roman"/>
            </w:rPr>
            <w:fldChar w:fldCharType="separate"/>
          </w:r>
          <w:r>
            <w:rPr>
              <w:rFonts w:hint="default" w:ascii="Times New Roman" w:hAnsi="Times New Roman" w:eastAsia="宋体" w:cs="Times New Roman"/>
            </w:rPr>
            <w:t>152</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E031B19">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_Toc966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7.1.6小结</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_Toc966 \h </w:instrText>
          </w:r>
          <w:r>
            <w:rPr>
              <w:rFonts w:hint="default" w:ascii="Times New Roman" w:hAnsi="Times New Roman" w:eastAsia="宋体" w:cs="Times New Roman"/>
            </w:rPr>
            <w:fldChar w:fldCharType="separate"/>
          </w:r>
          <w:r>
            <w:rPr>
              <w:rFonts w:hint="default" w:ascii="Times New Roman" w:hAnsi="Times New Roman" w:eastAsia="宋体" w:cs="Times New Roman"/>
            </w:rPr>
            <w:t>153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637B153">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_Toc9499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7.2运营期大气污染防治措施及可行性</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_Toc9499 \h </w:instrText>
          </w:r>
          <w:r>
            <w:rPr>
              <w:rFonts w:hint="default" w:ascii="Times New Roman" w:hAnsi="Times New Roman" w:eastAsia="宋体" w:cs="Times New Roman"/>
            </w:rPr>
            <w:fldChar w:fldCharType="separate"/>
          </w:r>
          <w:r>
            <w:rPr>
              <w:rFonts w:hint="default" w:ascii="Times New Roman" w:hAnsi="Times New Roman" w:eastAsia="宋体" w:cs="Times New Roman"/>
            </w:rPr>
            <w:t>153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736F7A9">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_Toc25372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7.2.1恶臭污染防治措施</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_Toc25372 \h </w:instrText>
          </w:r>
          <w:r>
            <w:rPr>
              <w:rFonts w:hint="default" w:ascii="Times New Roman" w:hAnsi="Times New Roman" w:eastAsia="宋体" w:cs="Times New Roman"/>
            </w:rPr>
            <w:fldChar w:fldCharType="separate"/>
          </w:r>
          <w:r>
            <w:rPr>
              <w:rFonts w:hint="default" w:ascii="Times New Roman" w:hAnsi="Times New Roman" w:eastAsia="宋体" w:cs="Times New Roman"/>
            </w:rPr>
            <w:t>153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024793A">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_Toc23181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7.2.2饲料配置粉尘</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_Toc23181 \h </w:instrText>
          </w:r>
          <w:r>
            <w:rPr>
              <w:rFonts w:hint="default" w:ascii="Times New Roman" w:hAnsi="Times New Roman" w:eastAsia="宋体" w:cs="Times New Roman"/>
            </w:rPr>
            <w:fldChar w:fldCharType="separate"/>
          </w:r>
          <w:r>
            <w:rPr>
              <w:rFonts w:hint="default" w:ascii="Times New Roman" w:hAnsi="Times New Roman" w:eastAsia="宋体" w:cs="Times New Roman"/>
            </w:rPr>
            <w:t>156</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5695728">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_Toc22929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7.2.3餐饮油烟</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_Toc22929 \h </w:instrText>
          </w:r>
          <w:r>
            <w:rPr>
              <w:rFonts w:hint="default" w:ascii="Times New Roman" w:hAnsi="Times New Roman" w:eastAsia="宋体" w:cs="Times New Roman"/>
            </w:rPr>
            <w:fldChar w:fldCharType="separate"/>
          </w:r>
          <w:r>
            <w:rPr>
              <w:rFonts w:hint="default" w:ascii="Times New Roman" w:hAnsi="Times New Roman" w:eastAsia="宋体" w:cs="Times New Roman"/>
            </w:rPr>
            <w:t>157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FFC1269">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_Toc32620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7.3运营期水污染防治措施及可行性</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_Toc32620 \h </w:instrText>
          </w:r>
          <w:r>
            <w:rPr>
              <w:rFonts w:hint="default" w:ascii="Times New Roman" w:hAnsi="Times New Roman" w:eastAsia="宋体" w:cs="Times New Roman"/>
            </w:rPr>
            <w:fldChar w:fldCharType="separate"/>
          </w:r>
          <w:r>
            <w:rPr>
              <w:rFonts w:hint="default" w:ascii="Times New Roman" w:hAnsi="Times New Roman" w:eastAsia="宋体" w:cs="Times New Roman"/>
            </w:rPr>
            <w:t>157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F7AF2E8">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_Toc27733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7.3.1</w:t>
          </w:r>
          <w:r>
            <w:rPr>
              <w:rFonts w:hint="default" w:ascii="Times New Roman" w:hAnsi="Times New Roman" w:eastAsia="宋体" w:cs="Times New Roman"/>
              <w:highlight w:val="none"/>
              <w:lang w:eastAsia="zh-CN"/>
            </w:rPr>
            <w:t>废水防治措施</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_Toc27733 \h </w:instrText>
          </w:r>
          <w:r>
            <w:rPr>
              <w:rFonts w:hint="default" w:ascii="Times New Roman" w:hAnsi="Times New Roman" w:eastAsia="宋体" w:cs="Times New Roman"/>
            </w:rPr>
            <w:fldChar w:fldCharType="separate"/>
          </w:r>
          <w:r>
            <w:rPr>
              <w:rFonts w:hint="default" w:ascii="Times New Roman" w:hAnsi="Times New Roman" w:eastAsia="宋体" w:cs="Times New Roman"/>
            </w:rPr>
            <w:t>157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1D3C7D6">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_Toc29857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7.3.2雨污分流措施</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_Toc29857 \h </w:instrText>
          </w:r>
          <w:r>
            <w:rPr>
              <w:rFonts w:hint="default" w:ascii="Times New Roman" w:hAnsi="Times New Roman" w:eastAsia="宋体" w:cs="Times New Roman"/>
            </w:rPr>
            <w:fldChar w:fldCharType="separate"/>
          </w:r>
          <w:r>
            <w:rPr>
              <w:rFonts w:hint="default" w:ascii="Times New Roman" w:hAnsi="Times New Roman" w:eastAsia="宋体" w:cs="Times New Roman"/>
            </w:rPr>
            <w:t>157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0CE766C6">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_Toc28500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7.4运营期地下水防治措施可行性</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_Toc28500 \h </w:instrText>
          </w:r>
          <w:r>
            <w:rPr>
              <w:rFonts w:hint="default" w:ascii="Times New Roman" w:hAnsi="Times New Roman" w:eastAsia="宋体" w:cs="Times New Roman"/>
            </w:rPr>
            <w:fldChar w:fldCharType="separate"/>
          </w:r>
          <w:r>
            <w:rPr>
              <w:rFonts w:hint="default" w:ascii="Times New Roman" w:hAnsi="Times New Roman" w:eastAsia="宋体" w:cs="Times New Roman"/>
            </w:rPr>
            <w:t>157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33333107">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_Toc616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7.4.1防治原则</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_Toc616 \h </w:instrText>
          </w:r>
          <w:r>
            <w:rPr>
              <w:rFonts w:hint="default" w:ascii="Times New Roman" w:hAnsi="Times New Roman" w:eastAsia="宋体" w:cs="Times New Roman"/>
            </w:rPr>
            <w:fldChar w:fldCharType="separate"/>
          </w:r>
          <w:r>
            <w:rPr>
              <w:rFonts w:hint="default" w:ascii="Times New Roman" w:hAnsi="Times New Roman" w:eastAsia="宋体" w:cs="Times New Roman"/>
            </w:rPr>
            <w:t>157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F08AC7A">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_Toc17879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7.4.2污染物控制对策</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_Toc17879 \h </w:instrText>
          </w:r>
          <w:r>
            <w:rPr>
              <w:rFonts w:hint="default" w:ascii="Times New Roman" w:hAnsi="Times New Roman" w:eastAsia="宋体" w:cs="Times New Roman"/>
            </w:rPr>
            <w:fldChar w:fldCharType="separate"/>
          </w:r>
          <w:r>
            <w:rPr>
              <w:rFonts w:hint="default" w:ascii="Times New Roman" w:hAnsi="Times New Roman" w:eastAsia="宋体" w:cs="Times New Roman"/>
            </w:rPr>
            <w:t>158</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3F094A9">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_Toc13045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7.4.3措施可行性</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_Toc13045 \h </w:instrText>
          </w:r>
          <w:r>
            <w:rPr>
              <w:rFonts w:hint="default" w:ascii="Times New Roman" w:hAnsi="Times New Roman" w:eastAsia="宋体" w:cs="Times New Roman"/>
            </w:rPr>
            <w:fldChar w:fldCharType="separate"/>
          </w:r>
          <w:r>
            <w:rPr>
              <w:rFonts w:hint="default" w:ascii="Times New Roman" w:hAnsi="Times New Roman" w:eastAsia="宋体" w:cs="Times New Roman"/>
            </w:rPr>
            <w:t>166</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8574461">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_Toc32012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7.5运营期土壤环境防治措施</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_Toc32012 \h </w:instrText>
          </w:r>
          <w:r>
            <w:rPr>
              <w:rFonts w:hint="default" w:ascii="Times New Roman" w:hAnsi="Times New Roman" w:eastAsia="宋体" w:cs="Times New Roman"/>
            </w:rPr>
            <w:fldChar w:fldCharType="separate"/>
          </w:r>
          <w:r>
            <w:rPr>
              <w:rFonts w:hint="default" w:ascii="Times New Roman" w:hAnsi="Times New Roman" w:eastAsia="宋体" w:cs="Times New Roman"/>
            </w:rPr>
            <w:t>166</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79ED381F">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_Toc868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7.5.1源头控制措施</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_Toc868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166</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E0C3D9C">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_Toc14265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7.5.2过程控制措施</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_Toc14265 \h </w:instrText>
          </w:r>
          <w:r>
            <w:rPr>
              <w:rFonts w:hint="default" w:ascii="Times New Roman" w:hAnsi="Times New Roman" w:eastAsia="宋体" w:cs="Times New Roman"/>
            </w:rPr>
            <w:fldChar w:fldCharType="separate"/>
          </w:r>
          <w:r>
            <w:rPr>
              <w:rFonts w:hint="default" w:ascii="Times New Roman" w:hAnsi="Times New Roman" w:eastAsia="宋体" w:cs="Times New Roman"/>
            </w:rPr>
            <w:t>167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83BF4A9">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_Toc9490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7.5.3末端控制措施</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_Toc9490 \h </w:instrText>
          </w:r>
          <w:r>
            <w:rPr>
              <w:rFonts w:hint="default" w:ascii="Times New Roman" w:hAnsi="Times New Roman" w:eastAsia="宋体" w:cs="Times New Roman"/>
            </w:rPr>
            <w:fldChar w:fldCharType="separate"/>
          </w:r>
          <w:r>
            <w:rPr>
              <w:rFonts w:hint="default" w:ascii="Times New Roman" w:hAnsi="Times New Roman" w:eastAsia="宋体" w:cs="Times New Roman"/>
            </w:rPr>
            <w:t>167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0C55C47">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_Toc23727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7.5.</w:t>
          </w:r>
          <w:r>
            <w:rPr>
              <w:rFonts w:hint="default" w:ascii="Times New Roman" w:hAnsi="Times New Roman" w:eastAsia="宋体" w:cs="Times New Roman"/>
              <w:highlight w:val="none"/>
              <w:lang w:val="en-US" w:eastAsia="zh-CN"/>
            </w:rPr>
            <w:t>4</w:t>
          </w:r>
          <w:r>
            <w:rPr>
              <w:rFonts w:hint="default" w:ascii="Times New Roman" w:hAnsi="Times New Roman" w:eastAsia="宋体" w:cs="Times New Roman"/>
              <w:highlight w:val="none"/>
            </w:rPr>
            <w:t>应急响应措施</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_Toc23727 \h </w:instrText>
          </w:r>
          <w:r>
            <w:rPr>
              <w:rFonts w:hint="default" w:ascii="Times New Roman" w:hAnsi="Times New Roman" w:eastAsia="宋体" w:cs="Times New Roman"/>
            </w:rPr>
            <w:fldChar w:fldCharType="separate"/>
          </w:r>
          <w:r>
            <w:rPr>
              <w:rFonts w:hint="default" w:ascii="Times New Roman" w:hAnsi="Times New Roman" w:eastAsia="宋体" w:cs="Times New Roman"/>
            </w:rPr>
            <w:t>167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EA36FD0">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_Toc6862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7.6运营期声环境防治措施</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_Toc6862 \h </w:instrText>
          </w:r>
          <w:r>
            <w:rPr>
              <w:rFonts w:hint="default" w:ascii="Times New Roman" w:hAnsi="Times New Roman" w:eastAsia="宋体" w:cs="Times New Roman"/>
            </w:rPr>
            <w:fldChar w:fldCharType="separate"/>
          </w:r>
          <w:r>
            <w:rPr>
              <w:rFonts w:hint="default" w:ascii="Times New Roman" w:hAnsi="Times New Roman" w:eastAsia="宋体" w:cs="Times New Roman"/>
            </w:rPr>
            <w:t>167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4DAAEF9">
          <w:pPr>
            <w:pStyle w:val="29"/>
            <w:keepNext w:val="0"/>
            <w:keepLines w:val="0"/>
            <w:pageBreakBefore w:val="0"/>
            <w:widowControl w:val="0"/>
            <w:tabs>
              <w:tab w:val="right" w:leader="dot" w:pos="8306"/>
            </w:tabs>
            <w:kinsoku/>
            <w:wordWrap/>
            <w:overflowPunct/>
            <w:topLinePunct/>
            <w:autoSpaceDE w:val="0"/>
            <w:autoSpaceDN/>
            <w:bidi w:val="0"/>
            <w:adjustRightInd/>
            <w:snapToGrid/>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_Toc17851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7.7运营期固体废物污染防治措施</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_Toc17851 \h </w:instrText>
          </w:r>
          <w:r>
            <w:rPr>
              <w:rFonts w:hint="default" w:ascii="Times New Roman" w:hAnsi="Times New Roman" w:eastAsia="宋体" w:cs="Times New Roman"/>
            </w:rPr>
            <w:fldChar w:fldCharType="separate"/>
          </w:r>
          <w:r>
            <w:rPr>
              <w:rFonts w:hint="default" w:ascii="Times New Roman" w:hAnsi="Times New Roman" w:eastAsia="宋体" w:cs="Times New Roman"/>
            </w:rPr>
            <w:t>168</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8B8E74B">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_Toc6279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7.7.1固体废物处置合理性分析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_Toc6279 \h </w:instrText>
          </w:r>
          <w:r>
            <w:rPr>
              <w:rFonts w:hint="default" w:ascii="Times New Roman" w:hAnsi="Times New Roman" w:eastAsia="宋体" w:cs="Times New Roman"/>
            </w:rPr>
            <w:fldChar w:fldCharType="separate"/>
          </w:r>
          <w:r>
            <w:rPr>
              <w:rFonts w:hint="default" w:ascii="Times New Roman" w:hAnsi="Times New Roman" w:eastAsia="宋体" w:cs="Times New Roman"/>
            </w:rPr>
            <w:t>168</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05FD7DE">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_Toc18522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7.7.2危险废物管理</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_Toc18522 \h </w:instrText>
          </w:r>
          <w:r>
            <w:rPr>
              <w:rFonts w:hint="default" w:ascii="Times New Roman" w:hAnsi="Times New Roman" w:eastAsia="宋体" w:cs="Times New Roman"/>
            </w:rPr>
            <w:fldChar w:fldCharType="separate"/>
          </w:r>
          <w:r>
            <w:rPr>
              <w:rFonts w:hint="default" w:ascii="Times New Roman" w:hAnsi="Times New Roman" w:eastAsia="宋体" w:cs="Times New Roman"/>
            </w:rPr>
            <w:t>170</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708607B2">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_Toc12576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7.8粪污资源化利用措施可行性分析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_Toc12576 \h </w:instrText>
          </w:r>
          <w:r>
            <w:rPr>
              <w:rFonts w:hint="default" w:ascii="Times New Roman" w:hAnsi="Times New Roman" w:eastAsia="宋体" w:cs="Times New Roman"/>
            </w:rPr>
            <w:fldChar w:fldCharType="separate"/>
          </w:r>
          <w:r>
            <w:rPr>
              <w:rFonts w:hint="default" w:ascii="Times New Roman" w:hAnsi="Times New Roman" w:eastAsia="宋体" w:cs="Times New Roman"/>
            </w:rPr>
            <w:t>171</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9B29458">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_Toc2744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7.8.1粪污资源化利用可行性</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_Toc2744 \h </w:instrText>
          </w:r>
          <w:r>
            <w:rPr>
              <w:rFonts w:hint="default" w:ascii="Times New Roman" w:hAnsi="Times New Roman" w:eastAsia="宋体" w:cs="Times New Roman"/>
            </w:rPr>
            <w:fldChar w:fldCharType="separate"/>
          </w:r>
          <w:r>
            <w:rPr>
              <w:rFonts w:hint="default" w:ascii="Times New Roman" w:hAnsi="Times New Roman" w:eastAsia="宋体" w:cs="Times New Roman"/>
            </w:rPr>
            <w:t>171</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907F4CC">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_Toc13796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7.8.2粪污农肥还田利用合规性分析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_Toc13796 \h </w:instrText>
          </w:r>
          <w:r>
            <w:rPr>
              <w:rFonts w:hint="default" w:ascii="Times New Roman" w:hAnsi="Times New Roman" w:eastAsia="宋体" w:cs="Times New Roman"/>
            </w:rPr>
            <w:fldChar w:fldCharType="separate"/>
          </w:r>
          <w:r>
            <w:rPr>
              <w:rFonts w:hint="default" w:ascii="Times New Roman" w:hAnsi="Times New Roman" w:eastAsia="宋体" w:cs="Times New Roman"/>
            </w:rPr>
            <w:t>171</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5A40492">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_Toc29042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7.8.3粪污资源化工艺可行性分析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_Toc29042 \h </w:instrText>
          </w:r>
          <w:r>
            <w:rPr>
              <w:rFonts w:hint="default" w:ascii="Times New Roman" w:hAnsi="Times New Roman" w:eastAsia="宋体" w:cs="Times New Roman"/>
            </w:rPr>
            <w:fldChar w:fldCharType="separate"/>
          </w:r>
          <w:r>
            <w:rPr>
              <w:rFonts w:hint="default" w:ascii="Times New Roman" w:hAnsi="Times New Roman" w:eastAsia="宋体" w:cs="Times New Roman"/>
            </w:rPr>
            <w:t>173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013F824">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_Toc6337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szCs w:val="24"/>
              <w:highlight w:val="none"/>
            </w:rPr>
            <w:t>7.8.4还田利用可行性分析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_Toc6337 \h </w:instrText>
          </w:r>
          <w:r>
            <w:rPr>
              <w:rFonts w:hint="default" w:ascii="Times New Roman" w:hAnsi="Times New Roman" w:eastAsia="宋体" w:cs="Times New Roman"/>
            </w:rPr>
            <w:fldChar w:fldCharType="separate"/>
          </w:r>
          <w:r>
            <w:rPr>
              <w:rFonts w:hint="default" w:ascii="Times New Roman" w:hAnsi="Times New Roman" w:eastAsia="宋体" w:cs="Times New Roman"/>
            </w:rPr>
            <w:t>174</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8DFCAED">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_Toc22884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7.8.</w:t>
          </w:r>
          <w:r>
            <w:rPr>
              <w:rFonts w:hint="default" w:ascii="Times New Roman" w:hAnsi="Times New Roman" w:eastAsia="宋体" w:cs="Times New Roman"/>
              <w:highlight w:val="none"/>
              <w:lang w:val="en-US" w:eastAsia="zh-CN"/>
            </w:rPr>
            <w:t>5</w:t>
          </w:r>
          <w:r>
            <w:rPr>
              <w:rFonts w:hint="default" w:ascii="Times New Roman" w:hAnsi="Times New Roman" w:eastAsia="宋体" w:cs="Times New Roman"/>
              <w:highlight w:val="none"/>
            </w:rPr>
            <w:t>土地承载力分析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_Toc22884 \h </w:instrText>
          </w:r>
          <w:r>
            <w:rPr>
              <w:rFonts w:hint="default" w:ascii="Times New Roman" w:hAnsi="Times New Roman" w:eastAsia="宋体" w:cs="Times New Roman"/>
            </w:rPr>
            <w:fldChar w:fldCharType="separate"/>
          </w:r>
          <w:r>
            <w:rPr>
              <w:rFonts w:hint="default" w:ascii="Times New Roman" w:hAnsi="Times New Roman" w:eastAsia="宋体" w:cs="Times New Roman"/>
            </w:rPr>
            <w:t>175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FCB5968">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_Toc4083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7.9运营期生态环境保护措施</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_Toc4083 \h </w:instrText>
          </w:r>
          <w:r>
            <w:rPr>
              <w:rFonts w:hint="default" w:ascii="Times New Roman" w:hAnsi="Times New Roman" w:eastAsia="宋体" w:cs="Times New Roman"/>
            </w:rPr>
            <w:fldChar w:fldCharType="separate"/>
          </w:r>
          <w:r>
            <w:rPr>
              <w:rFonts w:hint="default" w:ascii="Times New Roman" w:hAnsi="Times New Roman" w:eastAsia="宋体" w:cs="Times New Roman"/>
            </w:rPr>
            <w:t>175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01F47985">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_Toc2722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7.1</w:t>
          </w:r>
          <w:r>
            <w:rPr>
              <w:rFonts w:hint="default" w:ascii="Times New Roman" w:hAnsi="Times New Roman" w:eastAsia="宋体" w:cs="Times New Roman"/>
              <w:highlight w:val="none"/>
              <w:lang w:val="en-US" w:eastAsia="zh-CN"/>
            </w:rPr>
            <w:t>0</w:t>
          </w:r>
          <w:r>
            <w:rPr>
              <w:rFonts w:hint="default" w:ascii="Times New Roman" w:hAnsi="Times New Roman" w:eastAsia="宋体" w:cs="Times New Roman"/>
              <w:highlight w:val="none"/>
            </w:rPr>
            <w:t>运营期污染防治对策和措施及环保投资汇总</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_Toc2722 \h </w:instrText>
          </w:r>
          <w:r>
            <w:rPr>
              <w:rFonts w:hint="default" w:ascii="Times New Roman" w:hAnsi="Times New Roman" w:eastAsia="宋体" w:cs="Times New Roman"/>
            </w:rPr>
            <w:fldChar w:fldCharType="separate"/>
          </w:r>
          <w:r>
            <w:rPr>
              <w:rFonts w:hint="default" w:ascii="Times New Roman" w:hAnsi="Times New Roman" w:eastAsia="宋体" w:cs="Times New Roman"/>
            </w:rPr>
            <w:t>178</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8041063">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firstLine="0" w:firstLine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_Toc10859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8环境影响经济损益分析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_Toc10859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182</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7A96DAD">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_Toc6846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8.1经济效益分析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_Toc6846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182</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3E823172">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_Toc7468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8.2社会效益分析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_Toc7468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182</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58D2865">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_Toc5216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8.3环境效益分析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_Toc5216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182</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89B6E35">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_Toc2366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8.3.1环保投资费用</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_Toc2366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182</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4E76FE8">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_Toc22886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8.3.2环保设施运行费用</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_Toc22886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182</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8FDCFFB">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_Toc25110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8.3.3环保效益估算</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_Toc25110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183</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12953BD">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_Toc3045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8.3.4经济效益分析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_Toc3045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184</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346F195C">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_Toc6961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8.4小结</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_Toc6961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184</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74EFDC7">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firstLine="0" w:firstLine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_Toc6227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9环境管理与监测计划</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_Toc6227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31E27FE9">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_Toc27659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9.1污染物总量控制分析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_Toc27659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FDCAC19">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_Toc27379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9.1.1原则和目标</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_Toc27379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1595396">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_Toc11709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9.1.2总量控制区域</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_Toc11709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C8A86E0">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_Toc24012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9.1.3总量控制因子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_Toc24012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DE14F7A">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_Toc32650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9.1.4总量核算</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_Toc32650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642CECA">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_Toc29445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9.1.5污染物总量控制指标</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_Toc29445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806ABC2">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_Toc802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9.2环境管理</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_Toc802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58BFE68">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_Toc29964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9.2.1环境管理制度及组织机构</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_Toc29964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185</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0F620E0E">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_Toc781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9.2.2排污许可证申领</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_Toc781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186</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AF49F37">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_Toc6857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9.2.3环保竣工验收</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_Toc6857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186</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3DCF3D97">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_Toc30908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9.2.4排污口规范化管理</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_Toc30908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78868D77">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_Toc548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9.2.5环境风险应急</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_Toc548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188</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02FA56AF">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_Toc1048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9.2.6向生态环境主管部门报告制度</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_Toc1048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188</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7EC46F0E">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_Toc19431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9.2.7企业环境信息公开</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_Toc19431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189</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0173F896">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_Toc21223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9.2.8日常环境管理台账</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_Toc21223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189</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06F1C86">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_Toc3147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9.3监测计划</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_Toc3147 \h </w:instrText>
          </w:r>
          <w:r>
            <w:rPr>
              <w:rFonts w:hint="default" w:ascii="Times New Roman" w:hAnsi="Times New Roman" w:eastAsia="宋体" w:cs="Times New Roman"/>
            </w:rPr>
            <w:fldChar w:fldCharType="separate"/>
          </w:r>
          <w:r>
            <w:rPr>
              <w:rFonts w:hint="default" w:ascii="Times New Roman" w:hAnsi="Times New Roman" w:eastAsia="宋体" w:cs="Times New Roman"/>
            </w:rPr>
            <w:t>189</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61BFD5C">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_Toc30691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9.4环保设施“三同时”竣工验收</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_Toc30691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191</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D1C5C00">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firstLine="0" w:firstLine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_Toc9472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10结论及建议</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_Toc9472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196</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8CB2F0D">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_Toc26733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10.1建设项目概况</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_Toc26733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196</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235403A">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_Toc11913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10.2环境可行性结论</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_Toc11913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196</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9FD2A80">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_Toc6397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10.2.1产业政策符合性分析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_Toc6397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196</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89B0206">
          <w:pPr>
            <w:pStyle w:val="33"/>
            <w:keepNext w:val="0"/>
            <w:keepLines w:val="0"/>
            <w:pageBreakBefore w:val="0"/>
            <w:widowControl w:val="0"/>
            <w:tabs>
              <w:tab w:val="right" w:leader="dot" w:pos="8306"/>
            </w:tabs>
            <w:kinsoku/>
            <w:wordWrap/>
            <w:overflowPunct/>
            <w:topLinePunct/>
            <w:autoSpaceDE w:val="0"/>
            <w:autoSpaceDN/>
            <w:bidi w:val="0"/>
            <w:adjustRightInd/>
            <w:snapToGrid/>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_Toc6523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10.2.2选址与相关规划符合性分析结论</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_Toc6523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196</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3C3E3D6">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_Toc13799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10.2.3平面布局合理性分析结论</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_Toc13799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0DB9FD4">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_Toc11936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10.3环境质量现状</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_Toc11936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197</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89B04B0">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_Toc5996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10.4环境影响分析结论</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_Toc5996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198</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5F66730D">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_Toc113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10.4.1施工期环境影响</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_Toc113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198</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B06CB35">
          <w:pPr>
            <w:pStyle w:val="33"/>
            <w:keepNext w:val="0"/>
            <w:keepLines w:val="0"/>
            <w:pageBreakBefore w:val="0"/>
            <w:widowControl w:val="0"/>
            <w:tabs>
              <w:tab w:val="right" w:leader="dot" w:pos="8306"/>
            </w:tabs>
            <w:kinsoku/>
            <w:wordWrap/>
            <w:overflowPunct/>
            <w:topLinePunct/>
            <w:autoSpaceDE w:val="0"/>
            <w:autoSpaceDN/>
            <w:bidi w:val="0"/>
            <w:adjustRightInd/>
            <w:snapToGrid/>
            <w:ind w:left="0" w:leftChars="0" w:firstLine="960" w:firstLineChars="40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_Toc16489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10.4.2运营期环境影响</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_Toc16489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198</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29F429E6">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_Toc25140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10.5污染防治措施</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_Toc25140 \h </w:instrText>
          </w:r>
          <w:r>
            <w:rPr>
              <w:rFonts w:hint="default" w:ascii="Times New Roman" w:hAnsi="Times New Roman" w:eastAsia="宋体" w:cs="Times New Roman"/>
            </w:rPr>
            <w:fldChar w:fldCharType="separate"/>
          </w:r>
          <w:r>
            <w:rPr>
              <w:rFonts w:hint="default" w:ascii="Times New Roman" w:hAnsi="Times New Roman" w:eastAsia="宋体" w:cs="Times New Roman"/>
            </w:rPr>
            <w:t>199</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729E9029">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_Toc29143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10.6总量控制指标</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_Toc29143 \h </w:instrText>
          </w:r>
          <w:r>
            <w:rPr>
              <w:rFonts w:hint="default" w:ascii="Times New Roman" w:hAnsi="Times New Roman" w:eastAsia="宋体" w:cs="Times New Roman"/>
            </w:rPr>
            <w:fldChar w:fldCharType="separate"/>
          </w:r>
          <w:r>
            <w:rPr>
              <w:rFonts w:hint="default" w:ascii="Times New Roman" w:hAnsi="Times New Roman" w:eastAsia="宋体" w:cs="Times New Roman"/>
            </w:rPr>
            <w:t>200</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0174BFBC">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_Toc28079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10.7环境影响经济损益分析</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_Toc28079 \h </w:instrText>
          </w:r>
          <w:r>
            <w:rPr>
              <w:rFonts w:hint="default" w:ascii="Times New Roman" w:hAnsi="Times New Roman" w:eastAsia="宋体" w:cs="Times New Roman"/>
            </w:rPr>
            <w:fldChar w:fldCharType="separate"/>
          </w:r>
          <w:r>
            <w:rPr>
              <w:rFonts w:hint="default" w:ascii="Times New Roman" w:hAnsi="Times New Roman" w:eastAsia="宋体" w:cs="Times New Roman"/>
            </w:rPr>
            <w:t>200</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6DE743CF">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_Toc20192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10.8环境管理和监测计划</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_Toc20192 \h </w:instrText>
          </w:r>
          <w:r>
            <w:rPr>
              <w:rFonts w:hint="default" w:ascii="Times New Roman" w:hAnsi="Times New Roman" w:eastAsia="宋体" w:cs="Times New Roman"/>
            </w:rPr>
            <w:fldChar w:fldCharType="separate"/>
          </w:r>
          <w:r>
            <w:rPr>
              <w:rFonts w:hint="default" w:ascii="Times New Roman" w:hAnsi="Times New Roman" w:eastAsia="宋体" w:cs="Times New Roman"/>
            </w:rPr>
            <w:t>200</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7DACEAAE">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_Toc3406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10.9公众参与情况</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_Toc3406 \h </w:instrText>
          </w:r>
          <w:r>
            <w:rPr>
              <w:rFonts w:hint="default" w:ascii="Times New Roman" w:hAnsi="Times New Roman" w:eastAsia="宋体" w:cs="Times New Roman"/>
            </w:rPr>
            <w:fldChar w:fldCharType="separate"/>
          </w:r>
          <w:r>
            <w:rPr>
              <w:rFonts w:hint="default" w:ascii="Times New Roman" w:hAnsi="Times New Roman" w:eastAsia="宋体" w:cs="Times New Roman"/>
            </w:rPr>
            <w:t>201</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1CF44889">
          <w:pPr>
            <w:pStyle w:val="29"/>
            <w:keepNext w:val="0"/>
            <w:keepLines w:val="0"/>
            <w:pageBreakBefore w:val="0"/>
            <w:widowControl w:val="0"/>
            <w:tabs>
              <w:tab w:val="right" w:leader="dot" w:pos="8306"/>
            </w:tabs>
            <w:kinsoku/>
            <w:wordWrap/>
            <w:overflowPunct/>
            <w:topLinePunct/>
            <w:autoSpaceDE w:val="0"/>
            <w:autoSpaceDN/>
            <w:bidi w:val="0"/>
            <w:adjustRightInd/>
            <w:snapToGrid/>
            <w:ind w:left="0" w:leftChars="0"/>
            <w:textAlignment w:val="auto"/>
            <w:rPr>
              <w:rFonts w:hint="default" w:ascii="Times New Roman" w:hAnsi="Times New Roman" w:eastAsia="宋体" w:cs="Times New Roman"/>
            </w:rPr>
          </w:pPr>
          <w:r>
            <w:rPr>
              <w:rFonts w:hint="default" w:ascii="Times New Roman" w:hAnsi="Times New Roman" w:eastAsia="宋体" w:cs="Times New Roman"/>
              <w:bCs/>
              <w:color w:val="auto"/>
              <w:szCs w:val="24"/>
              <w:highlight w:val="none"/>
              <w:lang w:val="zh-CN"/>
            </w:rPr>
            <w:fldChar w:fldCharType="begin"/>
          </w:r>
          <w:r>
            <w:rPr>
              <w:rFonts w:hint="default" w:ascii="Times New Roman" w:hAnsi="Times New Roman" w:eastAsia="宋体" w:cs="Times New Roman"/>
              <w:bCs/>
              <w:szCs w:val="24"/>
              <w:highlight w:val="none"/>
              <w:lang w:val="zh-CN"/>
            </w:rPr>
            <w:instrText xml:space="preserve"> HYPERLINK \l _Toc19312 </w:instrText>
          </w:r>
          <w:r>
            <w:rPr>
              <w:rFonts w:hint="default" w:ascii="Times New Roman" w:hAnsi="Times New Roman" w:eastAsia="宋体" w:cs="Times New Roman"/>
              <w:bCs/>
              <w:szCs w:val="24"/>
              <w:highlight w:val="none"/>
              <w:lang w:val="zh-CN"/>
            </w:rPr>
            <w:fldChar w:fldCharType="separate"/>
          </w:r>
          <w:r>
            <w:rPr>
              <w:rFonts w:hint="default" w:ascii="Times New Roman" w:hAnsi="Times New Roman" w:eastAsia="宋体" w:cs="Times New Roman"/>
              <w:highlight w:val="none"/>
            </w:rPr>
            <w:t>10.10总结论</w:t>
          </w:r>
          <w:r>
            <w:rPr>
              <w:rFonts w:hint="default" w:ascii="Times New Roman" w:hAnsi="Times New Roman" w:eastAsia="宋体" w:cs="Times New Roman"/>
            </w:rPr>
            <w:tab/>
          </w:r>
          <w:r>
            <w:rPr>
              <w:rFonts w:hint="default" w:ascii="Times New Roman" w:hAnsi="Times New Roman" w:eastAsia="宋体" w:cs="Times New Roman"/>
            </w:rPr>
            <w:fldChar w:fldCharType="begin"/>
          </w:r>
          <w:r>
            <w:rPr>
              <w:rFonts w:hint="default" w:ascii="Times New Roman" w:hAnsi="Times New Roman" w:eastAsia="宋体" w:cs="Times New Roman"/>
            </w:rPr>
            <w:instrText xml:space="preserve"> PAGEREF _Toc19312 \h </w:instrText>
          </w:r>
          <w:r>
            <w:rPr>
              <w:rFonts w:hint="default" w:ascii="Times New Roman" w:hAnsi="Times New Roman" w:eastAsia="宋体" w:cs="Times New Roman"/>
            </w:rPr>
            <w:fldChar w:fldCharType="separate"/>
          </w:r>
          <w:r>
            <w:rPr>
              <w:rFonts w:hint="default" w:ascii="Times New Roman" w:hAnsi="Times New Roman" w:eastAsia="宋体" w:cs="Times New Roman"/>
            </w:rPr>
            <w:t>201</w:t>
          </w:r>
          <w:r>
            <w:rPr>
              <w:rFonts w:hint="default" w:ascii="Times New Roman" w:hAnsi="Times New Roman" w:eastAsia="宋体" w:cs="Times New Roman"/>
            </w:rPr>
            <w:fldChar w:fldCharType="end"/>
          </w:r>
          <w:r>
            <w:rPr>
              <w:rFonts w:hint="default" w:ascii="Times New Roman" w:hAnsi="Times New Roman" w:eastAsia="宋体" w:cs="Times New Roman"/>
              <w:bCs/>
              <w:color w:val="auto"/>
              <w:szCs w:val="24"/>
              <w:highlight w:val="none"/>
              <w:lang w:val="zh-CN"/>
            </w:rPr>
            <w:fldChar w:fldCharType="end"/>
          </w:r>
        </w:p>
        <w:p w14:paraId="434A7B63">
          <w:pPr>
            <w:pStyle w:val="33"/>
            <w:pageBreakBefore w:val="0"/>
            <w:tabs>
              <w:tab w:val="right" w:leader="dot" w:pos="8777"/>
            </w:tabs>
            <w:kinsoku/>
            <w:wordWrap/>
            <w:bidi w:val="0"/>
            <w:snapToGrid w:val="0"/>
            <w:spacing w:line="360" w:lineRule="auto"/>
            <w:ind w:left="0" w:leftChars="0" w:right="0" w:rightChars="0" w:firstLine="480"/>
            <w:jc w:val="center"/>
            <w:outlineLvl w:val="0"/>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szCs w:val="24"/>
              <w:highlight w:val="none"/>
              <w:lang w:val="zh-CN"/>
            </w:rPr>
            <w:fldChar w:fldCharType="end"/>
          </w:r>
        </w:p>
      </w:sdtContent>
    </w:sdt>
    <w:p w14:paraId="787E937A">
      <w:pPr>
        <w:keepNext w:val="0"/>
        <w:keepLines w:val="0"/>
        <w:pageBreakBefore w:val="0"/>
        <w:widowControl w:val="0"/>
        <w:kinsoku/>
        <w:wordWrap/>
        <w:topLinePunct/>
        <w:autoSpaceDN/>
        <w:bidi w:val="0"/>
        <w:adjustRightInd/>
        <w:snapToGrid w:val="0"/>
        <w:spacing w:line="360" w:lineRule="auto"/>
        <w:ind w:left="0" w:leftChars="0" w:right="0" w:rightChars="0" w:firstLine="0" w:firstLineChars="0"/>
        <w:textAlignment w:val="auto"/>
        <w:outlineLvl w:val="0"/>
        <w:rPr>
          <w:rFonts w:hint="default" w:ascii="Times New Roman" w:hAnsi="Times New Roman" w:eastAsia="宋体" w:cs="Times New Roman"/>
          <w:b/>
          <w:color w:val="FF0000"/>
          <w:sz w:val="32"/>
          <w:szCs w:val="32"/>
          <w:highlight w:val="none"/>
        </w:rPr>
      </w:pPr>
      <w:bookmarkStart w:id="26" w:name="_Toc523322238"/>
      <w:bookmarkStart w:id="27" w:name="_Toc2808"/>
      <w:bookmarkStart w:id="28" w:name="_Toc521342071"/>
      <w:bookmarkStart w:id="29" w:name="_Toc521341562"/>
      <w:bookmarkStart w:id="30" w:name="_Toc23887"/>
      <w:r>
        <w:rPr>
          <w:rFonts w:hint="default" w:ascii="Times New Roman" w:hAnsi="Times New Roman" w:eastAsia="宋体" w:cs="Times New Roman"/>
          <w:b/>
          <w:color w:val="FF0000"/>
          <w:sz w:val="32"/>
          <w:szCs w:val="32"/>
          <w:highlight w:val="none"/>
        </w:rPr>
        <w:t>附件：</w:t>
      </w:r>
      <w:bookmarkEnd w:id="26"/>
      <w:bookmarkEnd w:id="27"/>
      <w:bookmarkEnd w:id="28"/>
      <w:bookmarkEnd w:id="29"/>
      <w:bookmarkEnd w:id="30"/>
    </w:p>
    <w:p w14:paraId="06604A14">
      <w:pPr>
        <w:keepNext w:val="0"/>
        <w:keepLines w:val="0"/>
        <w:pageBreakBefore w:val="0"/>
        <w:widowControl w:val="0"/>
        <w:kinsoku/>
        <w:wordWrap/>
        <w:overflowPunct w:val="0"/>
        <w:topLinePunct/>
        <w:autoSpaceDE/>
        <w:autoSpaceDN/>
        <w:bidi w:val="0"/>
        <w:adjustRightInd/>
        <w:snapToGrid w:val="0"/>
        <w:spacing w:line="360" w:lineRule="auto"/>
        <w:ind w:left="0" w:leftChars="0" w:right="0" w:rightChars="0" w:firstLine="480"/>
        <w:textAlignment w:val="auto"/>
        <w:outlineLvl w:val="0"/>
        <w:rPr>
          <w:rFonts w:hint="default" w:ascii="Times New Roman" w:hAnsi="Times New Roman" w:eastAsia="宋体" w:cs="Times New Roman"/>
          <w:b/>
          <w:bCs/>
          <w:color w:val="FF0000"/>
          <w:szCs w:val="21"/>
          <w:highlight w:val="none"/>
        </w:rPr>
      </w:pPr>
      <w:bookmarkStart w:id="31" w:name="_Toc18457"/>
      <w:bookmarkStart w:id="32" w:name="_Toc10939"/>
      <w:r>
        <w:rPr>
          <w:rFonts w:hint="default" w:ascii="Times New Roman" w:hAnsi="Times New Roman" w:eastAsia="宋体" w:cs="Times New Roman"/>
          <w:b/>
          <w:bCs/>
          <w:color w:val="FF0000"/>
          <w:szCs w:val="24"/>
          <w:highlight w:val="none"/>
        </w:rPr>
        <w:t>附件1委托书</w:t>
      </w:r>
      <w:bookmarkEnd w:id="31"/>
      <w:bookmarkEnd w:id="32"/>
    </w:p>
    <w:p w14:paraId="5B78C80B">
      <w:pPr>
        <w:keepNext w:val="0"/>
        <w:keepLines w:val="0"/>
        <w:pageBreakBefore w:val="0"/>
        <w:widowControl w:val="0"/>
        <w:kinsoku/>
        <w:wordWrap/>
        <w:overflowPunct w:val="0"/>
        <w:topLinePunct/>
        <w:autoSpaceDE/>
        <w:autoSpaceDN/>
        <w:bidi w:val="0"/>
        <w:adjustRightInd/>
        <w:snapToGrid w:val="0"/>
        <w:spacing w:line="360" w:lineRule="auto"/>
        <w:ind w:left="0" w:leftChars="0" w:right="0" w:rightChars="0" w:firstLine="480"/>
        <w:textAlignment w:val="auto"/>
        <w:outlineLvl w:val="0"/>
        <w:rPr>
          <w:rFonts w:hint="default" w:ascii="Times New Roman" w:hAnsi="Times New Roman" w:eastAsia="宋体" w:cs="Times New Roman"/>
          <w:b/>
          <w:bCs/>
          <w:color w:val="FF0000"/>
          <w:szCs w:val="21"/>
          <w:highlight w:val="none"/>
          <w:lang w:eastAsia="zh-CN"/>
        </w:rPr>
      </w:pPr>
      <w:bookmarkStart w:id="33" w:name="_Toc10966"/>
      <w:bookmarkStart w:id="34" w:name="_Toc3597"/>
      <w:r>
        <w:rPr>
          <w:rFonts w:hint="default" w:ascii="Times New Roman" w:hAnsi="Times New Roman" w:eastAsia="宋体" w:cs="Times New Roman"/>
          <w:b/>
          <w:bCs/>
          <w:color w:val="FF0000"/>
          <w:szCs w:val="24"/>
          <w:highlight w:val="none"/>
        </w:rPr>
        <w:t>附件</w:t>
      </w:r>
      <w:r>
        <w:rPr>
          <w:rFonts w:hint="default" w:ascii="Times New Roman" w:hAnsi="Times New Roman" w:eastAsia="宋体" w:cs="Times New Roman"/>
          <w:b/>
          <w:bCs/>
          <w:color w:val="FF0000"/>
          <w:szCs w:val="24"/>
          <w:highlight w:val="none"/>
          <w:lang w:val="en-US" w:eastAsia="zh-CN"/>
        </w:rPr>
        <w:t>2</w:t>
      </w:r>
      <w:r>
        <w:rPr>
          <w:rFonts w:hint="default" w:ascii="Times New Roman" w:hAnsi="Times New Roman" w:eastAsia="宋体" w:cs="Times New Roman"/>
          <w:b/>
          <w:bCs/>
          <w:color w:val="FF0000"/>
          <w:szCs w:val="24"/>
          <w:highlight w:val="none"/>
          <w:lang w:eastAsia="zh-CN"/>
        </w:rPr>
        <w:t>项目备案告知书</w:t>
      </w:r>
      <w:bookmarkEnd w:id="33"/>
      <w:bookmarkEnd w:id="34"/>
    </w:p>
    <w:p w14:paraId="78076D27">
      <w:pPr>
        <w:pageBreakBefore w:val="0"/>
        <w:widowControl/>
        <w:kinsoku/>
        <w:wordWrap/>
        <w:topLinePunct w:val="0"/>
        <w:autoSpaceDE/>
        <w:bidi w:val="0"/>
        <w:snapToGrid w:val="0"/>
        <w:spacing w:line="360" w:lineRule="auto"/>
        <w:ind w:left="0" w:leftChars="0" w:right="0" w:rightChars="0" w:firstLine="0" w:firstLineChars="0"/>
        <w:rPr>
          <w:rFonts w:hint="default" w:ascii="Times New Roman" w:hAnsi="Times New Roman" w:eastAsia="宋体" w:cs="Times New Roman"/>
          <w:color w:val="auto"/>
          <w:highlight w:val="none"/>
        </w:rPr>
      </w:pPr>
    </w:p>
    <w:p w14:paraId="2C929440">
      <w:pPr>
        <w:pageBreakBefore w:val="0"/>
        <w:kinsoku/>
        <w:wordWrap/>
        <w:bidi w:val="0"/>
        <w:snapToGrid w:val="0"/>
        <w:spacing w:line="360" w:lineRule="auto"/>
        <w:ind w:left="0" w:leftChars="0" w:right="0" w:rightChars="0" w:firstLine="0" w:firstLineChars="0"/>
        <w:rPr>
          <w:rFonts w:hint="default" w:ascii="Times New Roman" w:hAnsi="Times New Roman" w:eastAsia="宋体" w:cs="Times New Roman"/>
          <w:color w:val="auto"/>
          <w:highlight w:val="none"/>
        </w:rPr>
      </w:pPr>
    </w:p>
    <w:p w14:paraId="62FD811A">
      <w:pPr>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sectPr>
          <w:footerReference r:id="rId9" w:type="default"/>
          <w:pgSz w:w="11906" w:h="16838"/>
          <w:pgMar w:top="1440" w:right="1800" w:bottom="1440" w:left="1800" w:header="851" w:footer="907" w:gutter="0"/>
          <w:pgBorders>
            <w:top w:val="none" w:sz="0" w:space="0"/>
            <w:left w:val="none" w:sz="0" w:space="0"/>
            <w:bottom w:val="none" w:sz="0" w:space="0"/>
            <w:right w:val="none" w:sz="0" w:space="0"/>
          </w:pgBorders>
          <w:pgNumType w:fmt="upperRoman" w:start="1"/>
          <w:cols w:space="425" w:num="1"/>
          <w:docGrid w:linePitch="326" w:charSpace="0"/>
        </w:sectPr>
      </w:pPr>
    </w:p>
    <w:p w14:paraId="138EA509">
      <w:pPr>
        <w:pStyle w:val="2"/>
        <w:pageBreakBefore w:val="0"/>
        <w:widowControl w:val="0"/>
        <w:kinsoku/>
        <w:wordWrap/>
        <w:overflowPunct w:val="0"/>
        <w:topLinePunct/>
        <w:autoSpaceDE w:val="0"/>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bCs w:val="0"/>
          <w:color w:val="auto"/>
          <w:szCs w:val="22"/>
          <w:highlight w:val="none"/>
        </w:rPr>
      </w:pPr>
      <w:bookmarkStart w:id="35" w:name="_Toc8687"/>
      <w:r>
        <w:rPr>
          <w:rFonts w:hint="default" w:ascii="Times New Roman" w:hAnsi="Times New Roman" w:eastAsia="宋体" w:cs="Times New Roman"/>
          <w:bCs w:val="0"/>
          <w:color w:val="auto"/>
          <w:szCs w:val="22"/>
          <w:highlight w:val="none"/>
        </w:rPr>
        <w:t>1概述</w:t>
      </w:r>
      <w:bookmarkEnd w:id="35"/>
    </w:p>
    <w:p w14:paraId="2E917FE4">
      <w:pPr>
        <w:pStyle w:val="3"/>
        <w:pageBreakBefore w:val="0"/>
        <w:widowControl w:val="0"/>
        <w:kinsoku/>
        <w:wordWrap/>
        <w:overflowPunct w:val="0"/>
        <w:topLinePunct/>
        <w:autoSpaceDE w:val="0"/>
        <w:autoSpaceDN/>
        <w:bidi w:val="0"/>
        <w:adjustRightInd/>
        <w:snapToGrid w:val="0"/>
        <w:spacing w:before="0" w:after="0" w:line="360" w:lineRule="auto"/>
        <w:ind w:left="0" w:leftChars="0" w:right="0" w:rightChars="0"/>
        <w:textAlignment w:val="auto"/>
        <w:outlineLvl w:val="0"/>
        <w:rPr>
          <w:rFonts w:hint="default" w:ascii="Times New Roman" w:hAnsi="Times New Roman" w:eastAsia="宋体" w:cs="Times New Roman"/>
          <w:bCs w:val="0"/>
          <w:color w:val="auto"/>
          <w:szCs w:val="22"/>
          <w:highlight w:val="none"/>
        </w:rPr>
      </w:pPr>
      <w:bookmarkStart w:id="36" w:name="_Toc512871513"/>
      <w:bookmarkStart w:id="37" w:name="_Toc21921"/>
      <w:r>
        <w:rPr>
          <w:rFonts w:hint="default" w:ascii="Times New Roman" w:hAnsi="Times New Roman" w:eastAsia="宋体" w:cs="Times New Roman"/>
          <w:bCs w:val="0"/>
          <w:color w:val="auto"/>
          <w:szCs w:val="22"/>
          <w:highlight w:val="none"/>
        </w:rPr>
        <w:t>1.1项目建设背景</w:t>
      </w:r>
      <w:bookmarkEnd w:id="36"/>
      <w:bookmarkEnd w:id="37"/>
    </w:p>
    <w:p w14:paraId="130EA2A7">
      <w:pPr>
        <w:pageBreakBefore w:val="0"/>
        <w:widowControl w:val="0"/>
        <w:kinsoku/>
        <w:wordWrap/>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近年来，我国畜牧业取得了长足发展，综合生产能力显著提高，肉、蛋、奶等主要畜产品产量居世界前列，畜牧业已经成为我国农业农村经济的支柱产业和农民收入的重要来源，进入了一个生产不断发展、质量稳步提高、综合生产能力不断增强的新阶段。但我国畜牧业发展中也存在生产方式落后，产业结构和布局不合理，组织化程度低，市场竞争力不强，支持保障体系不健全，抵御风险能力弱，优良种畜的比例有待进一步提高等问题。</w:t>
      </w:r>
    </w:p>
    <w:p w14:paraId="009CA210">
      <w:pPr>
        <w:pageBreakBefore w:val="0"/>
        <w:widowControl w:val="0"/>
        <w:kinsoku/>
        <w:wordWrap/>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其中，肉牛养殖是国家大力提倡、扶持发展的重点发展产业，支持规模化饲养，加强品种改良，符合国家农业政策。配合我国种植业结构逐步调整为“粮、经、饲”三元结构，增产饲料的潜力巨大，为发展肉牛产业提供了强大的资源保障。据中华人民共和国2019年国民经济和社会发展统计公报发布的信息，初步核算我国2019年全年国内生产总值990865亿元，比上年增长6.1%。其中，第一产业增加值70467亿元，增长3.1%，我国已然是一个畜牧业大国，肉类、禽蛋总产量均居世界首位。</w:t>
      </w:r>
    </w:p>
    <w:p w14:paraId="323F9098">
      <w:pPr>
        <w:pageBreakBefore w:val="0"/>
        <w:widowControl w:val="0"/>
        <w:kinsoku/>
        <w:wordWrap/>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受产业扶贫和部分省份“增羊增牛”政策带动，</w:t>
      </w:r>
      <w:r>
        <w:rPr>
          <w:rFonts w:hint="default" w:ascii="Times New Roman" w:hAnsi="Times New Roman" w:eastAsia="宋体" w:cs="Times New Roman"/>
          <w:color w:val="auto"/>
          <w:highlight w:val="none"/>
          <w:lang w:eastAsia="zh-CN"/>
        </w:rPr>
        <w:t>近年来</w:t>
      </w:r>
      <w:r>
        <w:rPr>
          <w:rFonts w:hint="default" w:ascii="Times New Roman" w:hAnsi="Times New Roman" w:eastAsia="宋体" w:cs="Times New Roman"/>
          <w:color w:val="auto"/>
          <w:highlight w:val="none"/>
        </w:rPr>
        <w:t>肉牛产业发展整体平稳，牛肉产量小幅增加，占肉类总产量的8.72%，养殖效益显著提升，牛肉消费需求持续增长，进口量进一步增加，肉牛产品价格保持高位运行</w:t>
      </w:r>
      <w:r>
        <w:rPr>
          <w:rFonts w:hint="default" w:ascii="Times New Roman" w:hAnsi="Times New Roman" w:eastAsia="宋体" w:cs="Times New Roman"/>
          <w:color w:val="auto"/>
          <w:highlight w:val="none"/>
          <w:lang w:eastAsia="zh-CN"/>
        </w:rPr>
        <w:t>。</w:t>
      </w:r>
    </w:p>
    <w:p w14:paraId="2E6372F8">
      <w:pPr>
        <w:pageBreakBefore w:val="0"/>
        <w:widowControl w:val="0"/>
        <w:kinsoku/>
        <w:wordWrap/>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在此背景下</w:t>
      </w:r>
      <w:r>
        <w:rPr>
          <w:rFonts w:hint="default" w:ascii="Times New Roman" w:hAnsi="Times New Roman" w:eastAsia="宋体" w:cs="Times New Roman"/>
          <w:color w:val="auto"/>
          <w:highlight w:val="none"/>
          <w:lang w:eastAsia="zh-CN"/>
        </w:rPr>
        <w:t>乌拉特前旗大佘太中海禾牧养殖专业合作社</w:t>
      </w:r>
      <w:r>
        <w:rPr>
          <w:rFonts w:hint="default" w:ascii="Times New Roman" w:hAnsi="Times New Roman" w:eastAsia="宋体" w:cs="Times New Roman"/>
          <w:color w:val="auto"/>
          <w:highlight w:val="none"/>
        </w:rPr>
        <w:t>利用当地养殖业的资源优势</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拟在巴彦淖尔市</w:t>
      </w:r>
      <w:r>
        <w:rPr>
          <w:rFonts w:hint="default" w:ascii="Times New Roman" w:hAnsi="Times New Roman" w:eastAsia="宋体" w:cs="Times New Roman"/>
          <w:color w:val="auto"/>
          <w:highlight w:val="none"/>
          <w:lang w:eastAsia="zh-CN"/>
        </w:rPr>
        <w:t>乌拉特前旗大佘太镇马卜子村</w:t>
      </w:r>
      <w:r>
        <w:rPr>
          <w:rFonts w:hint="default" w:ascii="Times New Roman" w:hAnsi="Times New Roman" w:eastAsia="宋体" w:cs="Times New Roman"/>
          <w:color w:val="auto"/>
          <w:highlight w:val="none"/>
        </w:rPr>
        <w:t>建设</w:t>
      </w:r>
      <w:r>
        <w:rPr>
          <w:rFonts w:hint="default" w:ascii="Times New Roman" w:hAnsi="Times New Roman" w:eastAsia="宋体" w:cs="Times New Roman"/>
          <w:color w:val="auto"/>
          <w:highlight w:val="none"/>
          <w:lang w:eastAsia="zh-CN"/>
        </w:rPr>
        <w:t>“乌拉特前旗大佘太中海禾牧养殖专业合作社新建肉牛养殖项目”</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FF0000"/>
          <w:highlight w:val="none"/>
        </w:rPr>
        <w:t>建设内容：</w:t>
      </w:r>
      <w:r>
        <w:rPr>
          <w:rFonts w:hint="default" w:ascii="Times New Roman" w:hAnsi="Times New Roman" w:eastAsia="宋体" w:cs="Times New Roman"/>
          <w:color w:val="FF0000"/>
          <w:highlight w:val="none"/>
          <w:lang w:eastAsia="zh-CN"/>
        </w:rPr>
        <w:t>项目</w:t>
      </w:r>
      <w:r>
        <w:rPr>
          <w:rFonts w:hint="default" w:ascii="Times New Roman" w:hAnsi="Times New Roman" w:eastAsia="宋体" w:cs="Times New Roman"/>
          <w:color w:val="FF0000"/>
          <w:highlight w:val="none"/>
        </w:rPr>
        <w:t>总占地面积161555.36</w:t>
      </w:r>
      <w:r>
        <w:rPr>
          <w:rFonts w:hint="default" w:ascii="Times New Roman" w:hAnsi="Times New Roman" w:eastAsia="宋体" w:cs="Times New Roman"/>
          <w:color w:val="FF0000"/>
          <w:highlight w:val="none"/>
          <w:lang w:val="en-US" w:eastAsia="zh-CN"/>
        </w:rPr>
        <w:t>m</w:t>
      </w:r>
      <w:r>
        <w:rPr>
          <w:rFonts w:hint="default" w:ascii="Times New Roman" w:hAnsi="Times New Roman" w:eastAsia="宋体" w:cs="Times New Roman"/>
          <w:color w:val="FF0000"/>
          <w:highlight w:val="none"/>
          <w:vertAlign w:val="superscript"/>
          <w:lang w:val="en-US" w:eastAsia="zh-CN"/>
        </w:rPr>
        <w:t>2</w:t>
      </w:r>
      <w:r>
        <w:rPr>
          <w:rFonts w:hint="default" w:ascii="Times New Roman" w:hAnsi="Times New Roman" w:eastAsia="宋体" w:cs="Times New Roman"/>
          <w:color w:val="FF0000"/>
          <w:highlight w:val="none"/>
        </w:rPr>
        <w:t>，建筑面积73630</w:t>
      </w:r>
      <w:r>
        <w:rPr>
          <w:rFonts w:hint="default" w:ascii="Times New Roman" w:hAnsi="Times New Roman" w:eastAsia="宋体" w:cs="Times New Roman"/>
          <w:color w:val="FF0000"/>
          <w:highlight w:val="none"/>
          <w:lang w:val="en-US" w:eastAsia="zh-CN"/>
        </w:rPr>
        <w:t>m</w:t>
      </w:r>
      <w:r>
        <w:rPr>
          <w:rFonts w:hint="default" w:ascii="Times New Roman" w:hAnsi="Times New Roman" w:eastAsia="宋体" w:cs="Times New Roman"/>
          <w:color w:val="FF0000"/>
          <w:highlight w:val="none"/>
          <w:vertAlign w:val="superscript"/>
          <w:lang w:val="en-US" w:eastAsia="zh-CN"/>
        </w:rPr>
        <w:t>2</w:t>
      </w:r>
      <w:r>
        <w:rPr>
          <w:rFonts w:hint="default" w:ascii="Times New Roman" w:hAnsi="Times New Roman" w:eastAsia="宋体" w:cs="Times New Roman"/>
          <w:color w:val="FF0000"/>
          <w:highlight w:val="none"/>
        </w:rPr>
        <w:t>，其中牛棚22000</w:t>
      </w:r>
      <w:r>
        <w:rPr>
          <w:rFonts w:hint="default" w:ascii="Times New Roman" w:hAnsi="Times New Roman" w:eastAsia="宋体" w:cs="Times New Roman"/>
          <w:color w:val="FF0000"/>
          <w:highlight w:val="none"/>
          <w:lang w:val="en-US" w:eastAsia="zh-CN"/>
        </w:rPr>
        <w:t>m</w:t>
      </w:r>
      <w:r>
        <w:rPr>
          <w:rFonts w:hint="default" w:ascii="Times New Roman" w:hAnsi="Times New Roman" w:eastAsia="宋体" w:cs="Times New Roman"/>
          <w:color w:val="FF0000"/>
          <w:highlight w:val="none"/>
          <w:vertAlign w:val="superscript"/>
          <w:lang w:val="en-US" w:eastAsia="zh-CN"/>
        </w:rPr>
        <w:t>2</w:t>
      </w:r>
      <w:r>
        <w:rPr>
          <w:rFonts w:hint="default" w:ascii="Times New Roman" w:hAnsi="Times New Roman" w:eastAsia="宋体" w:cs="Times New Roman"/>
          <w:color w:val="FF0000"/>
          <w:highlight w:val="none"/>
        </w:rPr>
        <w:t>，草棚13000</w:t>
      </w:r>
      <w:r>
        <w:rPr>
          <w:rFonts w:hint="default" w:ascii="Times New Roman" w:hAnsi="Times New Roman" w:eastAsia="宋体" w:cs="Times New Roman"/>
          <w:color w:val="FF0000"/>
          <w:highlight w:val="none"/>
          <w:lang w:val="en-US" w:eastAsia="zh-CN"/>
        </w:rPr>
        <w:t>m</w:t>
      </w:r>
      <w:r>
        <w:rPr>
          <w:rFonts w:hint="default" w:ascii="Times New Roman" w:hAnsi="Times New Roman" w:eastAsia="宋体" w:cs="Times New Roman"/>
          <w:color w:val="FF0000"/>
          <w:highlight w:val="none"/>
          <w:vertAlign w:val="superscript"/>
          <w:lang w:val="en-US" w:eastAsia="zh-CN"/>
        </w:rPr>
        <w:t>2</w:t>
      </w:r>
      <w:r>
        <w:rPr>
          <w:rFonts w:hint="default" w:ascii="Times New Roman" w:hAnsi="Times New Roman" w:eastAsia="宋体" w:cs="Times New Roman"/>
          <w:color w:val="FF0000"/>
          <w:highlight w:val="none"/>
        </w:rPr>
        <w:t>，办公室200</w:t>
      </w:r>
      <w:r>
        <w:rPr>
          <w:rFonts w:hint="default" w:ascii="Times New Roman" w:hAnsi="Times New Roman" w:eastAsia="宋体" w:cs="Times New Roman"/>
          <w:color w:val="FF0000"/>
          <w:highlight w:val="none"/>
          <w:lang w:val="en-US" w:eastAsia="zh-CN"/>
        </w:rPr>
        <w:t>m</w:t>
      </w:r>
      <w:r>
        <w:rPr>
          <w:rFonts w:hint="default" w:ascii="Times New Roman" w:hAnsi="Times New Roman" w:eastAsia="宋体" w:cs="Times New Roman"/>
          <w:color w:val="FF0000"/>
          <w:highlight w:val="none"/>
          <w:vertAlign w:val="superscript"/>
          <w:lang w:val="en-US" w:eastAsia="zh-CN"/>
        </w:rPr>
        <w:t>2</w:t>
      </w:r>
      <w:r>
        <w:rPr>
          <w:rFonts w:hint="default" w:ascii="Times New Roman" w:hAnsi="Times New Roman" w:eastAsia="宋体" w:cs="Times New Roman"/>
          <w:color w:val="FF0000"/>
          <w:highlight w:val="none"/>
        </w:rPr>
        <w:t>，宿舍1600</w:t>
      </w:r>
      <w:r>
        <w:rPr>
          <w:rFonts w:hint="default" w:ascii="Times New Roman" w:hAnsi="Times New Roman" w:eastAsia="宋体" w:cs="Times New Roman"/>
          <w:color w:val="FF0000"/>
          <w:highlight w:val="none"/>
          <w:lang w:val="en-US" w:eastAsia="zh-CN"/>
        </w:rPr>
        <w:t>m</w:t>
      </w:r>
      <w:r>
        <w:rPr>
          <w:rFonts w:hint="default" w:ascii="Times New Roman" w:hAnsi="Times New Roman" w:eastAsia="宋体" w:cs="Times New Roman"/>
          <w:color w:val="FF0000"/>
          <w:highlight w:val="none"/>
          <w:vertAlign w:val="superscript"/>
          <w:lang w:val="en-US" w:eastAsia="zh-CN"/>
        </w:rPr>
        <w:t>2</w:t>
      </w:r>
      <w:r>
        <w:rPr>
          <w:rFonts w:hint="default" w:ascii="Times New Roman" w:hAnsi="Times New Roman" w:eastAsia="宋体" w:cs="Times New Roman"/>
          <w:color w:val="FF0000"/>
          <w:highlight w:val="none"/>
        </w:rPr>
        <w:t>，消毒室50</w:t>
      </w:r>
      <w:r>
        <w:rPr>
          <w:rFonts w:hint="default" w:ascii="Times New Roman" w:hAnsi="Times New Roman" w:eastAsia="宋体" w:cs="Times New Roman"/>
          <w:color w:val="FF0000"/>
          <w:highlight w:val="none"/>
          <w:lang w:val="en-US" w:eastAsia="zh-CN"/>
        </w:rPr>
        <w:t>m</w:t>
      </w:r>
      <w:r>
        <w:rPr>
          <w:rFonts w:hint="default" w:ascii="Times New Roman" w:hAnsi="Times New Roman" w:eastAsia="宋体" w:cs="Times New Roman"/>
          <w:color w:val="FF0000"/>
          <w:highlight w:val="none"/>
          <w:vertAlign w:val="superscript"/>
          <w:lang w:val="en-US" w:eastAsia="zh-CN"/>
        </w:rPr>
        <w:t>2</w:t>
      </w:r>
      <w:r>
        <w:rPr>
          <w:rFonts w:hint="default" w:ascii="Times New Roman" w:hAnsi="Times New Roman" w:eastAsia="宋体" w:cs="Times New Roman"/>
          <w:color w:val="FF0000"/>
          <w:highlight w:val="none"/>
        </w:rPr>
        <w:t>，防疫室80</w:t>
      </w:r>
      <w:r>
        <w:rPr>
          <w:rFonts w:hint="default" w:ascii="Times New Roman" w:hAnsi="Times New Roman" w:eastAsia="宋体" w:cs="Times New Roman"/>
          <w:color w:val="FF0000"/>
          <w:highlight w:val="none"/>
          <w:lang w:val="en-US" w:eastAsia="zh-CN"/>
        </w:rPr>
        <w:t>m</w:t>
      </w:r>
      <w:r>
        <w:rPr>
          <w:rFonts w:hint="default" w:ascii="Times New Roman" w:hAnsi="Times New Roman" w:eastAsia="宋体" w:cs="Times New Roman"/>
          <w:color w:val="FF0000"/>
          <w:highlight w:val="none"/>
          <w:vertAlign w:val="superscript"/>
          <w:lang w:val="en-US" w:eastAsia="zh-CN"/>
        </w:rPr>
        <w:t>2</w:t>
      </w:r>
      <w:r>
        <w:rPr>
          <w:rFonts w:hint="default" w:ascii="Times New Roman" w:hAnsi="Times New Roman" w:eastAsia="宋体" w:cs="Times New Roman"/>
          <w:color w:val="FF0000"/>
          <w:highlight w:val="none"/>
        </w:rPr>
        <w:t>，青贮平台26000</w:t>
      </w:r>
      <w:r>
        <w:rPr>
          <w:rFonts w:hint="default" w:ascii="Times New Roman" w:hAnsi="Times New Roman" w:eastAsia="宋体" w:cs="Times New Roman"/>
          <w:color w:val="FF0000"/>
          <w:highlight w:val="none"/>
          <w:lang w:val="en-US" w:eastAsia="zh-CN"/>
        </w:rPr>
        <w:t>m</w:t>
      </w:r>
      <w:r>
        <w:rPr>
          <w:rFonts w:hint="default" w:ascii="Times New Roman" w:hAnsi="Times New Roman" w:eastAsia="宋体" w:cs="Times New Roman"/>
          <w:color w:val="FF0000"/>
          <w:highlight w:val="none"/>
          <w:vertAlign w:val="superscript"/>
          <w:lang w:val="en-US" w:eastAsia="zh-CN"/>
        </w:rPr>
        <w:t>2</w:t>
      </w:r>
      <w:r>
        <w:rPr>
          <w:rFonts w:hint="default" w:ascii="Times New Roman" w:hAnsi="Times New Roman" w:eastAsia="宋体" w:cs="Times New Roman"/>
          <w:color w:val="FF0000"/>
          <w:highlight w:val="none"/>
        </w:rPr>
        <w:t>，粪污处理池2700</w:t>
      </w:r>
      <w:r>
        <w:rPr>
          <w:rFonts w:hint="default" w:ascii="Times New Roman" w:hAnsi="Times New Roman" w:eastAsia="宋体" w:cs="Times New Roman"/>
          <w:color w:val="FF0000"/>
          <w:highlight w:val="none"/>
          <w:lang w:val="en-US" w:eastAsia="zh-CN"/>
        </w:rPr>
        <w:t>m</w:t>
      </w:r>
      <w:r>
        <w:rPr>
          <w:rFonts w:hint="default" w:ascii="Times New Roman" w:hAnsi="Times New Roman" w:eastAsia="宋体" w:cs="Times New Roman"/>
          <w:color w:val="FF0000"/>
          <w:highlight w:val="none"/>
          <w:vertAlign w:val="superscript"/>
          <w:lang w:val="en-US" w:eastAsia="zh-CN"/>
        </w:rPr>
        <w:t>3</w:t>
      </w:r>
      <w:r>
        <w:rPr>
          <w:rFonts w:hint="default" w:ascii="Times New Roman" w:hAnsi="Times New Roman" w:eastAsia="宋体" w:cs="Times New Roman"/>
          <w:color w:val="FF0000"/>
          <w:highlight w:val="none"/>
        </w:rPr>
        <w:t>，硬化8000</w:t>
      </w:r>
      <w:r>
        <w:rPr>
          <w:rFonts w:hint="default" w:ascii="Times New Roman" w:hAnsi="Times New Roman" w:eastAsia="宋体" w:cs="Times New Roman"/>
          <w:color w:val="FF0000"/>
          <w:highlight w:val="none"/>
          <w:lang w:val="en-US" w:eastAsia="zh-CN"/>
        </w:rPr>
        <w:t>m</w:t>
      </w:r>
      <w:r>
        <w:rPr>
          <w:rFonts w:hint="default" w:ascii="Times New Roman" w:hAnsi="Times New Roman" w:eastAsia="宋体" w:cs="Times New Roman"/>
          <w:color w:val="FF0000"/>
          <w:highlight w:val="none"/>
          <w:vertAlign w:val="superscript"/>
          <w:lang w:val="en-US" w:eastAsia="zh-CN"/>
        </w:rPr>
        <w:t>2</w:t>
      </w:r>
      <w:r>
        <w:rPr>
          <w:rFonts w:hint="default" w:ascii="Times New Roman" w:hAnsi="Times New Roman" w:eastAsia="宋体" w:cs="Times New Roman"/>
          <w:color w:val="FF0000"/>
          <w:highlight w:val="none"/>
        </w:rPr>
        <w:t>，存栏肉牛2500头</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lang w:val="en-US" w:eastAsia="zh-CN"/>
        </w:rPr>
        <w:t>并进行相应的给排水，供电，供暖，通风，消防，道路及地面硬化，绿化等配套设施建设。</w:t>
      </w:r>
    </w:p>
    <w:p w14:paraId="5A49FF7A">
      <w:pPr>
        <w:pStyle w:val="3"/>
        <w:pageBreakBefore w:val="0"/>
        <w:widowControl w:val="0"/>
        <w:kinsoku/>
        <w:wordWrap/>
        <w:topLinePunct/>
        <w:autoSpaceDE w:val="0"/>
        <w:autoSpaceDN/>
        <w:bidi w:val="0"/>
        <w:adjustRightInd/>
        <w:snapToGrid w:val="0"/>
        <w:spacing w:before="0" w:after="0" w:line="360" w:lineRule="auto"/>
        <w:ind w:left="0" w:leftChars="0" w:right="0" w:rightChars="0"/>
        <w:textAlignment w:val="auto"/>
        <w:outlineLvl w:val="0"/>
        <w:rPr>
          <w:rFonts w:hint="default" w:ascii="Times New Roman" w:hAnsi="Times New Roman" w:eastAsia="宋体" w:cs="Times New Roman"/>
          <w:color w:val="auto"/>
          <w:highlight w:val="none"/>
        </w:rPr>
      </w:pPr>
      <w:bookmarkStart w:id="38" w:name="_Toc19141"/>
      <w:bookmarkStart w:id="39" w:name="_Toc512871514"/>
      <w:r>
        <w:rPr>
          <w:rFonts w:hint="default" w:ascii="Times New Roman" w:hAnsi="Times New Roman" w:eastAsia="宋体" w:cs="Times New Roman"/>
          <w:color w:val="auto"/>
          <w:highlight w:val="none"/>
        </w:rPr>
        <w:t>1.2建设项目特点</w:t>
      </w:r>
      <w:bookmarkEnd w:id="38"/>
      <w:bookmarkEnd w:id="39"/>
    </w:p>
    <w:p w14:paraId="2EBC08DE">
      <w:pPr>
        <w:pageBreakBefore w:val="0"/>
        <w:widowControl w:val="0"/>
        <w:kinsoku/>
        <w:wordWrap/>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（1）本项目</w:t>
      </w:r>
      <w:r>
        <w:rPr>
          <w:rFonts w:hint="default" w:ascii="Times New Roman" w:hAnsi="Times New Roman" w:eastAsia="宋体" w:cs="Times New Roman"/>
          <w:color w:val="auto"/>
          <w:highlight w:val="none"/>
          <w:lang w:eastAsia="zh-CN"/>
        </w:rPr>
        <w:t>为规模化肉牛养殖项目</w:t>
      </w:r>
      <w:r>
        <w:rPr>
          <w:rFonts w:hint="default" w:ascii="Times New Roman" w:hAnsi="Times New Roman" w:eastAsia="宋体" w:cs="Times New Roman"/>
          <w:color w:val="auto"/>
          <w:highlight w:val="none"/>
        </w:rPr>
        <w:t>，属于《国民经济行业分类》（GB/T4754-2017）中“A0311牛的饲养”；</w:t>
      </w:r>
    </w:p>
    <w:p w14:paraId="5C550E16">
      <w:pPr>
        <w:pageBreakBefore w:val="0"/>
        <w:widowControl w:val="0"/>
        <w:kinsoku/>
        <w:wordWrap/>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（2）关注的主要环境问题为</w:t>
      </w:r>
      <w:r>
        <w:rPr>
          <w:rFonts w:hint="default" w:ascii="Times New Roman" w:hAnsi="Times New Roman" w:eastAsia="宋体" w:cs="Times New Roman"/>
          <w:color w:val="auto"/>
          <w:highlight w:val="none"/>
          <w:lang w:eastAsia="zh-CN"/>
        </w:rPr>
        <w:t>：本</w:t>
      </w: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eastAsia="zh-CN"/>
        </w:rPr>
        <w:t>实施</w:t>
      </w:r>
      <w:r>
        <w:rPr>
          <w:rFonts w:hint="default" w:ascii="Times New Roman" w:hAnsi="Times New Roman" w:eastAsia="宋体" w:cs="Times New Roman"/>
          <w:color w:val="auto"/>
          <w:highlight w:val="none"/>
        </w:rPr>
        <w:t>后产生的恶臭污染物</w:t>
      </w:r>
      <w:r>
        <w:rPr>
          <w:rFonts w:hint="default" w:ascii="Times New Roman" w:hAnsi="Times New Roman" w:eastAsia="宋体" w:cs="Times New Roman"/>
          <w:color w:val="auto"/>
          <w:highlight w:val="none"/>
          <w:lang w:eastAsia="zh-CN"/>
        </w:rPr>
        <w:t>经环保</w:t>
      </w:r>
      <w:r>
        <w:rPr>
          <w:rFonts w:hint="default" w:ascii="Times New Roman" w:hAnsi="Times New Roman" w:eastAsia="宋体" w:cs="Times New Roman"/>
          <w:color w:val="auto"/>
          <w:highlight w:val="none"/>
        </w:rPr>
        <w:t>措施</w:t>
      </w:r>
      <w:r>
        <w:rPr>
          <w:rFonts w:hint="default" w:ascii="Times New Roman" w:hAnsi="Times New Roman" w:eastAsia="宋体" w:cs="Times New Roman"/>
          <w:color w:val="auto"/>
          <w:highlight w:val="none"/>
          <w:lang w:eastAsia="zh-CN"/>
        </w:rPr>
        <w:t>处理</w:t>
      </w:r>
      <w:r>
        <w:rPr>
          <w:rFonts w:hint="default" w:ascii="Times New Roman" w:hAnsi="Times New Roman" w:eastAsia="宋体" w:cs="Times New Roman"/>
          <w:color w:val="auto"/>
          <w:highlight w:val="none"/>
        </w:rPr>
        <w:t>后</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能否达标排放；</w:t>
      </w:r>
      <w:r>
        <w:rPr>
          <w:rFonts w:hint="default" w:ascii="Times New Roman" w:hAnsi="Times New Roman" w:eastAsia="宋体" w:cs="Times New Roman"/>
          <w:color w:val="auto"/>
          <w:highlight w:val="none"/>
          <w:lang w:eastAsia="zh-CN"/>
        </w:rPr>
        <w:t>养殖过程产生的</w:t>
      </w:r>
      <w:r>
        <w:rPr>
          <w:rFonts w:hint="default" w:ascii="Times New Roman" w:hAnsi="Times New Roman" w:eastAsia="宋体" w:cs="Times New Roman"/>
          <w:color w:val="auto"/>
          <w:highlight w:val="none"/>
        </w:rPr>
        <w:t>粪污</w:t>
      </w:r>
      <w:r>
        <w:rPr>
          <w:rFonts w:hint="default" w:ascii="Times New Roman" w:hAnsi="Times New Roman" w:eastAsia="宋体" w:cs="Times New Roman"/>
          <w:color w:val="auto"/>
          <w:highlight w:val="none"/>
          <w:lang w:eastAsia="zh-CN"/>
        </w:rPr>
        <w:t>经环保</w:t>
      </w:r>
      <w:r>
        <w:rPr>
          <w:rFonts w:hint="default" w:ascii="Times New Roman" w:hAnsi="Times New Roman" w:eastAsia="宋体" w:cs="Times New Roman"/>
          <w:color w:val="auto"/>
          <w:highlight w:val="none"/>
        </w:rPr>
        <w:t>措施</w:t>
      </w:r>
      <w:r>
        <w:rPr>
          <w:rFonts w:hint="default" w:ascii="Times New Roman" w:hAnsi="Times New Roman" w:eastAsia="宋体" w:cs="Times New Roman"/>
          <w:color w:val="auto"/>
          <w:highlight w:val="none"/>
          <w:lang w:eastAsia="zh-CN"/>
        </w:rPr>
        <w:t>处理</w:t>
      </w:r>
      <w:r>
        <w:rPr>
          <w:rFonts w:hint="default" w:ascii="Times New Roman" w:hAnsi="Times New Roman" w:eastAsia="宋体" w:cs="Times New Roman"/>
          <w:color w:val="auto"/>
          <w:highlight w:val="none"/>
        </w:rPr>
        <w:t>后</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作为有机肥能否合理还田</w:t>
      </w:r>
      <w:r>
        <w:rPr>
          <w:rFonts w:hint="default" w:ascii="Times New Roman" w:hAnsi="Times New Roman" w:eastAsia="宋体" w:cs="Times New Roman"/>
          <w:color w:val="auto"/>
          <w:highlight w:val="none"/>
          <w:lang w:eastAsia="zh-CN"/>
        </w:rPr>
        <w:t>综合利用</w:t>
      </w:r>
      <w:r>
        <w:rPr>
          <w:rFonts w:hint="default" w:ascii="Times New Roman" w:hAnsi="Times New Roman" w:eastAsia="宋体" w:cs="Times New Roman"/>
          <w:color w:val="auto"/>
          <w:highlight w:val="none"/>
        </w:rPr>
        <w:t>，对满足资源化利用的可行性进行分析论证。</w:t>
      </w:r>
    </w:p>
    <w:p w14:paraId="079DA175">
      <w:pPr>
        <w:pStyle w:val="3"/>
        <w:pageBreakBefore w:val="0"/>
        <w:widowControl w:val="0"/>
        <w:kinsoku/>
        <w:wordWrap/>
        <w:overflowPunct w:val="0"/>
        <w:topLinePunct/>
        <w:autoSpaceDE w:val="0"/>
        <w:autoSpaceDN/>
        <w:bidi w:val="0"/>
        <w:adjustRightInd/>
        <w:snapToGrid w:val="0"/>
        <w:spacing w:before="0" w:after="0" w:line="360" w:lineRule="auto"/>
        <w:ind w:left="0" w:leftChars="0" w:right="0" w:rightChars="0"/>
        <w:textAlignment w:val="auto"/>
        <w:outlineLvl w:val="0"/>
        <w:rPr>
          <w:rFonts w:hint="default" w:ascii="Times New Roman" w:hAnsi="Times New Roman" w:eastAsia="宋体" w:cs="Times New Roman"/>
          <w:bCs w:val="0"/>
          <w:color w:val="auto"/>
          <w:szCs w:val="22"/>
          <w:highlight w:val="none"/>
        </w:rPr>
      </w:pPr>
      <w:bookmarkStart w:id="40" w:name="_Toc512871515"/>
      <w:bookmarkStart w:id="41" w:name="_Toc26911"/>
      <w:r>
        <w:rPr>
          <w:rFonts w:hint="default" w:ascii="Times New Roman" w:hAnsi="Times New Roman" w:eastAsia="宋体" w:cs="Times New Roman"/>
          <w:bCs w:val="0"/>
          <w:color w:val="auto"/>
          <w:szCs w:val="22"/>
          <w:highlight w:val="none"/>
        </w:rPr>
        <w:t>1.3环境影响评价的工作过程</w:t>
      </w:r>
      <w:bookmarkEnd w:id="40"/>
      <w:bookmarkEnd w:id="41"/>
    </w:p>
    <w:p w14:paraId="49E35A10">
      <w:pPr>
        <w:pageBreakBefore w:val="0"/>
        <w:widowControl w:val="0"/>
        <w:kinsoku/>
        <w:wordWrap/>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为保证建设项目与环境保护的协调发展，根据《中华人民共和国环境影响评价法》和国务院颁发的《建设项目环境保护管理条例》中的有关规定，</w:t>
      </w:r>
      <w:r>
        <w:rPr>
          <w:rFonts w:hint="default" w:ascii="Times New Roman" w:hAnsi="Times New Roman" w:eastAsia="宋体" w:cs="Times New Roman"/>
          <w:color w:val="auto"/>
          <w:highlight w:val="none"/>
          <w:lang w:eastAsia="zh-CN"/>
        </w:rPr>
        <w:t>乌拉特前旗大佘太中海禾牧养殖专业合作社</w:t>
      </w:r>
      <w:r>
        <w:rPr>
          <w:rFonts w:hint="default" w:ascii="Times New Roman" w:hAnsi="Times New Roman" w:eastAsia="宋体" w:cs="Times New Roman"/>
          <w:color w:val="auto"/>
          <w:highlight w:val="none"/>
        </w:rPr>
        <w:t>于202</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11</w:t>
      </w:r>
      <w:r>
        <w:rPr>
          <w:rFonts w:hint="default" w:ascii="Times New Roman" w:hAnsi="Times New Roman" w:eastAsia="宋体" w:cs="Times New Roman"/>
          <w:color w:val="auto"/>
          <w:highlight w:val="none"/>
        </w:rPr>
        <w:t>月委托</w:t>
      </w:r>
      <w:r>
        <w:rPr>
          <w:rFonts w:hint="default" w:ascii="Times New Roman" w:hAnsi="Times New Roman" w:eastAsia="宋体" w:cs="Times New Roman"/>
          <w:color w:val="auto"/>
          <w:highlight w:val="none"/>
          <w:lang w:eastAsia="zh-CN"/>
        </w:rPr>
        <w:t>内蒙古同人工程技术咨询有限公司</w:t>
      </w:r>
      <w:r>
        <w:rPr>
          <w:rFonts w:hint="default" w:ascii="Times New Roman" w:hAnsi="Times New Roman" w:eastAsia="宋体" w:cs="Times New Roman"/>
          <w:color w:val="auto"/>
          <w:highlight w:val="none"/>
        </w:rPr>
        <w:t>承担该项目的环境影响评价工作。本项目为</w:t>
      </w:r>
      <w:r>
        <w:rPr>
          <w:rFonts w:hint="default" w:ascii="Times New Roman" w:hAnsi="Times New Roman" w:eastAsia="宋体" w:cs="Times New Roman"/>
          <w:color w:val="auto"/>
          <w:highlight w:val="none"/>
          <w:lang w:eastAsia="zh-CN"/>
        </w:rPr>
        <w:t>规模化肉牛养殖项目，年出栏</w:t>
      </w:r>
      <w:r>
        <w:rPr>
          <w:rFonts w:hint="default" w:ascii="Times New Roman" w:hAnsi="Times New Roman" w:eastAsia="宋体" w:cs="Times New Roman"/>
          <w:color w:val="auto"/>
          <w:highlight w:val="none"/>
          <w:lang w:val="en-US" w:eastAsia="zh-CN"/>
        </w:rPr>
        <w:t>25</w:t>
      </w:r>
      <w:r>
        <w:rPr>
          <w:rFonts w:hint="default" w:ascii="Times New Roman" w:hAnsi="Times New Roman" w:eastAsia="宋体" w:cs="Times New Roman"/>
          <w:color w:val="auto"/>
          <w:highlight w:val="none"/>
          <w:lang w:eastAsia="zh-CN"/>
        </w:rPr>
        <w:t>00头肉牛，</w:t>
      </w:r>
      <w:r>
        <w:rPr>
          <w:rFonts w:hint="default" w:ascii="Times New Roman" w:hAnsi="Times New Roman" w:eastAsia="宋体" w:cs="Times New Roman"/>
          <w:color w:val="auto"/>
          <w:sz w:val="24"/>
          <w:szCs w:val="24"/>
          <w:highlight w:val="none"/>
        </w:rPr>
        <w:t>根据《畜禽养殖业污染物排放标准》（GB18596-2001）</w:t>
      </w:r>
      <w:r>
        <w:rPr>
          <w:rFonts w:hint="default" w:ascii="Times New Roman" w:hAnsi="Times New Roman" w:eastAsia="宋体" w:cs="Times New Roman"/>
          <w:color w:val="auto"/>
          <w:sz w:val="24"/>
          <w:szCs w:val="24"/>
          <w:highlight w:val="none"/>
          <w:lang w:eastAsia="zh-CN"/>
        </w:rPr>
        <w:t>中</w:t>
      </w:r>
      <w:r>
        <w:rPr>
          <w:rFonts w:hint="default" w:ascii="Times New Roman" w:hAnsi="Times New Roman" w:eastAsia="宋体" w:cs="Times New Roman"/>
          <w:color w:val="auto"/>
          <w:sz w:val="24"/>
          <w:szCs w:val="24"/>
          <w:highlight w:val="none"/>
        </w:rPr>
        <w:t>“1头肉牛折算成5头猪”</w:t>
      </w:r>
      <w:r>
        <w:rPr>
          <w:rFonts w:hint="default" w:ascii="Times New Roman" w:hAnsi="Times New Roman" w:eastAsia="宋体" w:cs="Times New Roman"/>
          <w:color w:val="auto"/>
          <w:sz w:val="24"/>
          <w:szCs w:val="24"/>
          <w:highlight w:val="none"/>
          <w:lang w:eastAsia="zh-CN"/>
        </w:rPr>
        <w:t>，则本项目</w:t>
      </w:r>
      <w:r>
        <w:rPr>
          <w:rFonts w:hint="default" w:ascii="Times New Roman" w:hAnsi="Times New Roman" w:eastAsia="宋体" w:cs="Times New Roman"/>
          <w:color w:val="auto"/>
          <w:highlight w:val="none"/>
        </w:rPr>
        <w:t>折合</w:t>
      </w:r>
      <w:r>
        <w:rPr>
          <w:rFonts w:hint="default" w:ascii="Times New Roman" w:hAnsi="Times New Roman" w:eastAsia="宋体" w:cs="Times New Roman"/>
          <w:color w:val="auto"/>
          <w:highlight w:val="none"/>
          <w:lang w:val="en-US" w:eastAsia="zh-CN"/>
        </w:rPr>
        <w:t>出栏</w:t>
      </w:r>
      <w:r>
        <w:rPr>
          <w:rFonts w:hint="default" w:ascii="Times New Roman" w:hAnsi="Times New Roman" w:eastAsia="宋体" w:cs="Times New Roman"/>
          <w:color w:val="auto"/>
          <w:highlight w:val="none"/>
        </w:rPr>
        <w:t>生猪</w:t>
      </w:r>
      <w:r>
        <w:rPr>
          <w:rFonts w:hint="default" w:ascii="Times New Roman" w:hAnsi="Times New Roman" w:eastAsia="宋体" w:cs="Times New Roman"/>
          <w:color w:val="auto"/>
          <w:highlight w:val="none"/>
          <w:lang w:val="en-US" w:eastAsia="zh-CN"/>
        </w:rPr>
        <w:t>12500</w:t>
      </w:r>
      <w:r>
        <w:rPr>
          <w:rFonts w:hint="default" w:ascii="Times New Roman" w:hAnsi="Times New Roman" w:eastAsia="宋体" w:cs="Times New Roman"/>
          <w:color w:val="auto"/>
          <w:highlight w:val="none"/>
        </w:rPr>
        <w:t>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根据《建设项目环境影响评价分类管理名录》（</w:t>
      </w:r>
      <w:r>
        <w:rPr>
          <w:rFonts w:hint="default" w:ascii="Times New Roman" w:hAnsi="Times New Roman" w:eastAsia="宋体" w:cs="Times New Roman"/>
          <w:color w:val="auto"/>
          <w:highlight w:val="none"/>
          <w:lang w:val="en-US" w:eastAsia="zh-CN"/>
        </w:rPr>
        <w:t>2021年版</w:t>
      </w:r>
      <w:r>
        <w:rPr>
          <w:rFonts w:hint="default" w:ascii="Times New Roman" w:hAnsi="Times New Roman" w:eastAsia="宋体" w:cs="Times New Roman"/>
          <w:color w:val="auto"/>
          <w:highlight w:val="none"/>
        </w:rPr>
        <w:t>），本项目属于</w:t>
      </w:r>
      <w:r>
        <w:rPr>
          <w:rFonts w:hint="default" w:ascii="Times New Roman" w:hAnsi="Times New Roman" w:eastAsia="宋体" w:cs="Times New Roman"/>
          <w:color w:val="auto"/>
          <w:highlight w:val="none"/>
          <w:lang w:eastAsia="zh-CN"/>
        </w:rPr>
        <w:t>“二</w:t>
      </w:r>
      <w:r>
        <w:rPr>
          <w:rFonts w:hint="default" w:ascii="Times New Roman" w:hAnsi="Times New Roman" w:eastAsia="宋体" w:cs="Times New Roman"/>
          <w:color w:val="auto"/>
          <w:highlight w:val="none"/>
        </w:rPr>
        <w:t>、畜牧业</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eastAsia="zh-CN"/>
        </w:rPr>
        <w:t>牲畜饲养</w:t>
      </w:r>
      <w:r>
        <w:rPr>
          <w:rFonts w:hint="default" w:ascii="Times New Roman" w:hAnsi="Times New Roman" w:eastAsia="宋体" w:cs="Times New Roman"/>
          <w:color w:val="auto"/>
          <w:highlight w:val="none"/>
          <w:lang w:val="en-US" w:eastAsia="zh-CN"/>
        </w:rPr>
        <w:t>--年出栏生猪5000头（其他畜禽种类折合猪的养殖量）及以上的规模化畜禽养殖”</w:t>
      </w:r>
      <w:r>
        <w:rPr>
          <w:rFonts w:hint="default" w:ascii="Times New Roman" w:hAnsi="Times New Roman" w:eastAsia="宋体" w:cs="Times New Roman"/>
          <w:color w:val="auto"/>
          <w:highlight w:val="none"/>
        </w:rPr>
        <w:t>，应编制环境影响报告书。</w:t>
      </w:r>
    </w:p>
    <w:p w14:paraId="1EB8B0B4">
      <w:pPr>
        <w:pageBreakBefore w:val="0"/>
        <w:widowControl w:val="0"/>
        <w:kinsoku/>
        <w:wordWrap/>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接</w:t>
      </w:r>
      <w:r>
        <w:rPr>
          <w:rFonts w:hint="default" w:ascii="Times New Roman" w:hAnsi="Times New Roman" w:eastAsia="宋体" w:cs="Times New Roman"/>
          <w:color w:val="auto"/>
          <w:highlight w:val="none"/>
          <w:lang w:val="en-US" w:eastAsia="zh-CN"/>
        </w:rPr>
        <w:t>受</w:t>
      </w:r>
      <w:r>
        <w:rPr>
          <w:rFonts w:hint="default" w:ascii="Times New Roman" w:hAnsi="Times New Roman" w:eastAsia="宋体" w:cs="Times New Roman"/>
          <w:color w:val="auto"/>
          <w:highlight w:val="none"/>
        </w:rPr>
        <w:t>委托后，我公司组织工程技术人员进行了现场调研、实地踏勘及进行资料收集，并依据工程有关的技术资料及《</w:t>
      </w:r>
      <w:r>
        <w:rPr>
          <w:rFonts w:hint="default" w:ascii="Times New Roman" w:hAnsi="Times New Roman" w:eastAsia="宋体" w:cs="Times New Roman"/>
          <w:color w:val="auto"/>
          <w:highlight w:val="none"/>
          <w:lang w:eastAsia="zh-CN"/>
        </w:rPr>
        <w:t>环境影响评价技术导则</w:t>
      </w:r>
      <w:r>
        <w:rPr>
          <w:rFonts w:hint="default" w:ascii="Times New Roman" w:hAnsi="Times New Roman" w:eastAsia="宋体" w:cs="Times New Roman"/>
          <w:color w:val="auto"/>
          <w:highlight w:val="none"/>
        </w:rPr>
        <w:t>》（HJ2.1-2016、HJ2.2-2018、HJ2.3-2018、</w:t>
      </w:r>
      <w:r>
        <w:rPr>
          <w:rFonts w:hint="default" w:ascii="Times New Roman" w:hAnsi="Times New Roman" w:eastAsia="宋体" w:cs="Times New Roman"/>
          <w:color w:val="auto"/>
          <w:highlight w:val="none"/>
          <w:lang w:eastAsia="zh-CN"/>
        </w:rPr>
        <w:t>HJ2.4-2021</w:t>
      </w:r>
      <w:r>
        <w:rPr>
          <w:rFonts w:hint="default" w:ascii="Times New Roman" w:hAnsi="Times New Roman" w:eastAsia="宋体" w:cs="Times New Roman"/>
          <w:color w:val="auto"/>
          <w:highlight w:val="none"/>
        </w:rPr>
        <w:t>、HJ610-2016和HJ169-2018）中的有关要求，编制完成了《</w:t>
      </w:r>
      <w:r>
        <w:rPr>
          <w:rFonts w:hint="default" w:ascii="Times New Roman" w:hAnsi="Times New Roman" w:eastAsia="宋体" w:cs="Times New Roman"/>
          <w:color w:val="auto"/>
          <w:highlight w:val="none"/>
          <w:lang w:eastAsia="zh-CN"/>
        </w:rPr>
        <w:t>乌拉特前旗大佘太中海禾牧养殖专业合作社新建肉牛养殖项目</w:t>
      </w:r>
      <w:r>
        <w:rPr>
          <w:rFonts w:hint="default" w:ascii="Times New Roman" w:hAnsi="Times New Roman" w:eastAsia="宋体" w:cs="Times New Roman"/>
          <w:color w:val="auto"/>
          <w:highlight w:val="none"/>
        </w:rPr>
        <w:t>环境影响报告书》。</w:t>
      </w:r>
    </w:p>
    <w:p w14:paraId="2B4C95F3">
      <w:pPr>
        <w:pageBreakBefore w:val="0"/>
        <w:widowControl w:val="0"/>
        <w:kinsoku/>
        <w:wordWrap/>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本次环境影响评价工作分为三个阶段，第一个阶段为调查分析和工作方案制定阶段，主要工作为研究有关设计资料等与项目相关的文件，进行初步的工程分析和环境现状调查，筛选重点评价因子，确定各环境要素环境影响评价的工作等级；第二阶段为分析论证和预测评价阶段，其主要工作为进一步做工程分析和环境现状调查，并进行环境影响预测和评价环境影响；第三阶段为报告书编制阶段，其主要工作为汇总、分析第二阶段工作所</w:t>
      </w:r>
      <w:r>
        <w:rPr>
          <w:rFonts w:hint="default" w:ascii="Times New Roman" w:hAnsi="Times New Roman" w:eastAsia="宋体" w:cs="Times New Roman"/>
          <w:color w:val="auto"/>
          <w:highlight w:val="none"/>
          <w:lang w:val="en-US" w:eastAsia="zh-CN"/>
        </w:rPr>
        <w:t>需</w:t>
      </w:r>
      <w:r>
        <w:rPr>
          <w:rFonts w:hint="default" w:ascii="Times New Roman" w:hAnsi="Times New Roman" w:eastAsia="宋体" w:cs="Times New Roman"/>
          <w:color w:val="auto"/>
          <w:highlight w:val="none"/>
        </w:rPr>
        <w:t>的各种资料、数据，给出结论，完成环境影响报告书的编制。具体流程如图1.3-1所示</w:t>
      </w:r>
      <w:r>
        <w:rPr>
          <w:rFonts w:hint="default" w:ascii="Times New Roman" w:hAnsi="Times New Roman" w:eastAsia="宋体" w:cs="Times New Roman"/>
          <w:color w:val="auto"/>
          <w:highlight w:val="none"/>
          <w:lang w:val="en-US" w:eastAsia="zh-CN"/>
        </w:rPr>
        <w:t>。</w:t>
      </w:r>
    </w:p>
    <w:p w14:paraId="0F205527">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val="en-US" w:eastAsia="zh-CN"/>
        </w:rPr>
      </w:pPr>
    </w:p>
    <w:p w14:paraId="477530CF">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val="en-US" w:eastAsia="zh-CN"/>
        </w:rPr>
      </w:pPr>
    </w:p>
    <w:p w14:paraId="361884FE">
      <w:pPr>
        <w:pageBreakBefore w:val="0"/>
        <w:kinsoku/>
        <w:wordWrap/>
        <w:bidi w:val="0"/>
        <w:snapToGrid w:val="0"/>
        <w:spacing w:line="360" w:lineRule="auto"/>
        <w:ind w:left="0" w:leftChars="0" w:right="0" w:righ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drawing>
          <wp:inline distT="0" distB="0" distL="114300" distR="114300">
            <wp:extent cx="5255895" cy="5102225"/>
            <wp:effectExtent l="0" t="0" r="1905" b="3175"/>
            <wp:docPr id="11" name="图片 1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1"/>
                    <pic:cNvPicPr>
                      <a:picLocks noChangeAspect="1"/>
                    </pic:cNvPicPr>
                  </pic:nvPicPr>
                  <pic:blipFill>
                    <a:blip r:embed="rId12"/>
                    <a:stretch>
                      <a:fillRect/>
                    </a:stretch>
                  </pic:blipFill>
                  <pic:spPr>
                    <a:xfrm>
                      <a:off x="0" y="0"/>
                      <a:ext cx="5255895" cy="5102225"/>
                    </a:xfrm>
                    <a:prstGeom prst="rect">
                      <a:avLst/>
                    </a:prstGeom>
                  </pic:spPr>
                </pic:pic>
              </a:graphicData>
            </a:graphic>
          </wp:inline>
        </w:drawing>
      </w:r>
    </w:p>
    <w:p w14:paraId="5E5298E3">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0" w:firstLine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图1.3-1本项目环境影响评价工作程序图</w:t>
      </w:r>
    </w:p>
    <w:p w14:paraId="0146AF5C">
      <w:pPr>
        <w:pStyle w:val="3"/>
        <w:pageBreakBefore w:val="0"/>
        <w:widowControl w:val="0"/>
        <w:kinsoku/>
        <w:wordWrap/>
        <w:overflowPunct w:val="0"/>
        <w:topLinePunct/>
        <w:autoSpaceDN/>
        <w:bidi w:val="0"/>
        <w:adjustRightInd/>
        <w:snapToGrid w:val="0"/>
        <w:spacing w:before="0" w:after="0" w:line="360" w:lineRule="auto"/>
        <w:ind w:left="0" w:leftChars="0" w:right="0" w:rightChars="0"/>
        <w:textAlignment w:val="auto"/>
        <w:outlineLvl w:val="0"/>
        <w:rPr>
          <w:rFonts w:hint="default" w:ascii="Times New Roman" w:hAnsi="Times New Roman" w:eastAsia="宋体" w:cs="Times New Roman"/>
          <w:bCs w:val="0"/>
          <w:color w:val="auto"/>
          <w:szCs w:val="22"/>
          <w:highlight w:val="none"/>
        </w:rPr>
      </w:pPr>
      <w:bookmarkStart w:id="42" w:name="_Toc18802"/>
      <w:bookmarkStart w:id="43" w:name="_Toc512871516"/>
      <w:r>
        <w:rPr>
          <w:rFonts w:hint="default" w:ascii="Times New Roman" w:hAnsi="Times New Roman" w:eastAsia="宋体" w:cs="Times New Roman"/>
          <w:bCs w:val="0"/>
          <w:color w:val="auto"/>
          <w:szCs w:val="22"/>
          <w:highlight w:val="none"/>
        </w:rPr>
        <w:t>1.4项目可行性判定</w:t>
      </w:r>
      <w:bookmarkEnd w:id="42"/>
      <w:bookmarkEnd w:id="43"/>
    </w:p>
    <w:p w14:paraId="39A04D98">
      <w:pPr>
        <w:pStyle w:val="5"/>
        <w:pageBreakBefore w:val="0"/>
        <w:widowControl w:val="0"/>
        <w:kinsoku/>
        <w:wordWrap/>
        <w:topLinePunct/>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44" w:name="_Toc6217"/>
      <w:r>
        <w:rPr>
          <w:rFonts w:hint="default" w:ascii="Times New Roman" w:hAnsi="Times New Roman" w:eastAsia="宋体" w:cs="Times New Roman"/>
          <w:color w:val="auto"/>
          <w:highlight w:val="none"/>
        </w:rPr>
        <w:t>1.4.1产业政策符合性分析</w:t>
      </w:r>
      <w:bookmarkEnd w:id="44"/>
    </w:p>
    <w:p w14:paraId="54CB571E">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本项目为</w:t>
      </w:r>
      <w:r>
        <w:rPr>
          <w:rFonts w:hint="default" w:ascii="Times New Roman" w:hAnsi="Times New Roman" w:eastAsia="宋体" w:cs="Times New Roman"/>
          <w:color w:val="auto"/>
          <w:highlight w:val="none"/>
          <w:lang w:eastAsia="zh-CN"/>
        </w:rPr>
        <w:t>规模化肉牛养殖项目</w:t>
      </w:r>
      <w:r>
        <w:rPr>
          <w:rFonts w:hint="default" w:ascii="Times New Roman" w:hAnsi="Times New Roman" w:eastAsia="宋体" w:cs="Times New Roman"/>
          <w:color w:val="auto"/>
          <w:highlight w:val="none"/>
        </w:rPr>
        <w:t>，根据</w:t>
      </w:r>
      <w:r>
        <w:rPr>
          <w:rFonts w:hint="default" w:ascii="Times New Roman" w:hAnsi="Times New Roman" w:eastAsia="宋体" w:cs="Times New Roman"/>
          <w:b w:val="0"/>
          <w:bCs w:val="0"/>
          <w:color w:val="FF0000"/>
          <w:sz w:val="24"/>
          <w:szCs w:val="24"/>
          <w:highlight w:val="none"/>
          <w:vertAlign w:val="baseline"/>
          <w:lang w:eastAsia="zh-CN"/>
        </w:rPr>
        <w:t>《产业结构调整指导目录（20</w:t>
      </w:r>
      <w:r>
        <w:rPr>
          <w:rFonts w:hint="default" w:ascii="Times New Roman" w:hAnsi="Times New Roman" w:eastAsia="宋体" w:cs="Times New Roman"/>
          <w:b w:val="0"/>
          <w:bCs w:val="0"/>
          <w:color w:val="FF0000"/>
          <w:sz w:val="24"/>
          <w:szCs w:val="24"/>
          <w:highlight w:val="none"/>
          <w:vertAlign w:val="baseline"/>
          <w:lang w:val="en-US" w:eastAsia="zh-CN"/>
        </w:rPr>
        <w:t>24</w:t>
      </w:r>
      <w:r>
        <w:rPr>
          <w:rFonts w:hint="default" w:ascii="Times New Roman" w:hAnsi="Times New Roman" w:eastAsia="宋体" w:cs="Times New Roman"/>
          <w:b w:val="0"/>
          <w:bCs w:val="0"/>
          <w:color w:val="FF0000"/>
          <w:sz w:val="24"/>
          <w:szCs w:val="24"/>
          <w:highlight w:val="none"/>
          <w:vertAlign w:val="baseline"/>
          <w:lang w:eastAsia="zh-CN"/>
        </w:rPr>
        <w:t>年本）》（国家发展和改革委员会令第</w:t>
      </w:r>
      <w:r>
        <w:rPr>
          <w:rFonts w:hint="default" w:ascii="Times New Roman" w:hAnsi="Times New Roman" w:eastAsia="宋体" w:cs="Times New Roman"/>
          <w:b w:val="0"/>
          <w:bCs w:val="0"/>
          <w:color w:val="FF0000"/>
          <w:sz w:val="24"/>
          <w:szCs w:val="24"/>
          <w:highlight w:val="none"/>
          <w:vertAlign w:val="baseline"/>
          <w:lang w:val="en-US" w:eastAsia="zh-CN"/>
        </w:rPr>
        <w:t>7</w:t>
      </w:r>
      <w:r>
        <w:rPr>
          <w:rFonts w:hint="default" w:ascii="Times New Roman" w:hAnsi="Times New Roman" w:eastAsia="宋体" w:cs="Times New Roman"/>
          <w:b w:val="0"/>
          <w:bCs w:val="0"/>
          <w:color w:val="FF0000"/>
          <w:sz w:val="24"/>
          <w:szCs w:val="24"/>
          <w:highlight w:val="none"/>
          <w:vertAlign w:val="baseline"/>
          <w:lang w:eastAsia="zh-CN"/>
        </w:rPr>
        <w:t>号）</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本</w:t>
      </w:r>
      <w:r>
        <w:rPr>
          <w:rFonts w:hint="default" w:ascii="Times New Roman" w:hAnsi="Times New Roman" w:eastAsia="宋体" w:cs="Times New Roman"/>
          <w:color w:val="auto"/>
          <w:highlight w:val="none"/>
        </w:rPr>
        <w:t>项目属于</w:t>
      </w:r>
      <w:r>
        <w:rPr>
          <w:rFonts w:hint="default" w:ascii="Times New Roman" w:hAnsi="Times New Roman" w:eastAsia="宋体" w:cs="Times New Roman"/>
          <w:color w:val="auto"/>
          <w:highlight w:val="none"/>
          <w:lang w:eastAsia="zh-CN"/>
        </w:rPr>
        <w:t>“第一类</w:t>
      </w:r>
      <w:r>
        <w:rPr>
          <w:rFonts w:hint="default" w:ascii="Times New Roman" w:hAnsi="Times New Roman" w:eastAsia="宋体" w:cs="Times New Roman"/>
          <w:color w:val="auto"/>
          <w:highlight w:val="none"/>
        </w:rPr>
        <w:t>鼓励类</w:t>
      </w:r>
      <w:r>
        <w:rPr>
          <w:rFonts w:hint="default" w:ascii="Times New Roman" w:hAnsi="Times New Roman" w:eastAsia="宋体" w:cs="Times New Roman"/>
          <w:color w:val="auto"/>
          <w:highlight w:val="none"/>
          <w:lang w:eastAsia="zh-CN"/>
        </w:rPr>
        <w:t>”中“一、农林业</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畜禽标准化规模养殖技术开发与应用</w:t>
      </w:r>
      <w:r>
        <w:rPr>
          <w:rFonts w:hint="default" w:ascii="Times New Roman" w:hAnsi="Times New Roman" w:eastAsia="宋体" w:cs="Times New Roman"/>
          <w:color w:val="auto"/>
          <w:highlight w:val="none"/>
          <w:lang w:eastAsia="zh-CN"/>
        </w:rPr>
        <w:t>”。</w:t>
      </w:r>
    </w:p>
    <w:p w14:paraId="10F03503">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本</w:t>
      </w:r>
      <w:r>
        <w:rPr>
          <w:rFonts w:hint="default" w:ascii="Times New Roman" w:hAnsi="Times New Roman" w:eastAsia="宋体" w:cs="Times New Roman"/>
          <w:color w:val="auto"/>
          <w:highlight w:val="none"/>
        </w:rPr>
        <w:t>项目</w:t>
      </w:r>
      <w:r>
        <w:rPr>
          <w:rFonts w:hint="default" w:ascii="Times New Roman" w:hAnsi="Times New Roman" w:eastAsia="宋体" w:cs="Times New Roman"/>
          <w:bCs/>
          <w:color w:val="auto"/>
          <w:szCs w:val="21"/>
          <w:highlight w:val="none"/>
          <w:lang w:val="en-US" w:eastAsia="zh-CN"/>
        </w:rPr>
        <w:t>于2022年8月9日</w:t>
      </w:r>
      <w:r>
        <w:rPr>
          <w:rFonts w:hint="default" w:ascii="Times New Roman" w:hAnsi="Times New Roman" w:eastAsia="宋体" w:cs="Times New Roman"/>
          <w:color w:val="auto"/>
          <w:highlight w:val="none"/>
        </w:rPr>
        <w:t>取得</w:t>
      </w:r>
      <w:r>
        <w:rPr>
          <w:rFonts w:hint="default" w:ascii="Times New Roman" w:hAnsi="Times New Roman" w:eastAsia="宋体" w:cs="Times New Roman"/>
          <w:color w:val="auto"/>
          <w:highlight w:val="none"/>
          <w:lang w:eastAsia="zh-CN"/>
        </w:rPr>
        <w:t>了乌拉特前旗发展和改革委员会出具的</w:t>
      </w:r>
      <w:r>
        <w:rPr>
          <w:rFonts w:hint="default" w:ascii="Times New Roman" w:hAnsi="Times New Roman" w:eastAsia="宋体" w:cs="Times New Roman"/>
          <w:color w:val="auto"/>
          <w:highlight w:val="none"/>
        </w:rPr>
        <w:t>《项目备案告知书》</w:t>
      </w:r>
      <w:r>
        <w:rPr>
          <w:rFonts w:hint="default" w:ascii="Times New Roman" w:hAnsi="Times New Roman" w:eastAsia="宋体" w:cs="Times New Roman"/>
          <w:color w:val="auto"/>
          <w:highlight w:val="none"/>
          <w:lang w:eastAsia="zh-CN"/>
        </w:rPr>
        <w:t>，项目代码：</w:t>
      </w:r>
      <w:r>
        <w:rPr>
          <w:rFonts w:hint="default" w:ascii="Times New Roman" w:hAnsi="Times New Roman" w:eastAsia="宋体" w:cs="Times New Roman"/>
          <w:color w:val="auto"/>
          <w:highlight w:val="none"/>
          <w:lang w:val="en-US" w:eastAsia="zh-CN"/>
        </w:rPr>
        <w:t>2208-150823-04-01-174832，本项目符合产业政策和市场准入标准</w:t>
      </w:r>
      <w:r>
        <w:rPr>
          <w:rFonts w:hint="default" w:ascii="Times New Roman" w:hAnsi="Times New Roman" w:eastAsia="宋体" w:cs="Times New Roman"/>
          <w:color w:val="auto"/>
          <w:highlight w:val="none"/>
          <w:lang w:val="en-US" w:eastAsia="zh-CN"/>
        </w:rPr>
        <w:t>。</w:t>
      </w:r>
    </w:p>
    <w:p w14:paraId="1739257B">
      <w:pPr>
        <w:snapToGrid w:val="0"/>
        <w:spacing w:line="360" w:lineRule="auto"/>
        <w:ind w:firstLine="480" w:firstLineChars="200"/>
        <w:rPr>
          <w:rFonts w:hint="default" w:ascii="Times New Roman" w:hAnsi="Times New Roman" w:eastAsia="宋体" w:cs="Times New Roman"/>
          <w:b w:val="0"/>
          <w:bCs w:val="0"/>
          <w:color w:val="0000FF"/>
          <w:sz w:val="24"/>
          <w:szCs w:val="24"/>
          <w:highlight w:val="none"/>
          <w:shd w:val="clear" w:color="auto" w:fill="auto"/>
          <w:vertAlign w:val="baseline"/>
          <w:lang w:val="en-US" w:eastAsia="zh-CN"/>
        </w:rPr>
      </w:pPr>
      <w:r>
        <w:rPr>
          <w:rFonts w:hint="default" w:ascii="Times New Roman" w:hAnsi="Times New Roman" w:eastAsia="宋体" w:cs="Times New Roman"/>
          <w:b w:val="0"/>
          <w:bCs w:val="0"/>
          <w:color w:val="0000FF"/>
          <w:sz w:val="24"/>
          <w:szCs w:val="24"/>
          <w:highlight w:val="none"/>
          <w:shd w:val="clear" w:color="auto" w:fill="auto"/>
          <w:vertAlign w:val="baseline"/>
          <w:lang w:val="en-US" w:eastAsia="zh-CN"/>
        </w:rPr>
        <w:t>本项目位于巴彦淖尔市乌拉特前旗大佘太镇马卜子村，对照《内蒙古自治区国家重点生态功能区产业准入负面清单（试行）》，</w:t>
      </w:r>
      <w:r>
        <w:rPr>
          <w:rFonts w:hint="default" w:ascii="Times New Roman" w:hAnsi="Times New Roman" w:eastAsia="宋体" w:cs="Times New Roman"/>
          <w:b w:val="0"/>
          <w:bCs w:val="0"/>
          <w:color w:val="0000FF"/>
          <w:sz w:val="24"/>
          <w:szCs w:val="24"/>
          <w:highlight w:val="none"/>
          <w:shd w:val="clear" w:color="auto" w:fill="auto"/>
          <w:vertAlign w:val="baseline"/>
          <w:lang w:val="en-US" w:eastAsia="zh-CN"/>
        </w:rPr>
        <w:t>乌拉特前旗</w:t>
      </w:r>
      <w:r>
        <w:rPr>
          <w:rFonts w:hint="default" w:ascii="Times New Roman" w:hAnsi="Times New Roman" w:eastAsia="宋体" w:cs="Times New Roman"/>
          <w:b w:val="0"/>
          <w:bCs w:val="0"/>
          <w:color w:val="0000FF"/>
          <w:sz w:val="24"/>
          <w:szCs w:val="24"/>
          <w:highlight w:val="none"/>
          <w:shd w:val="clear" w:color="auto" w:fill="auto"/>
          <w:vertAlign w:val="baseline"/>
          <w:lang w:val="en-US" w:eastAsia="zh-CN"/>
        </w:rPr>
        <w:t>不属于国家重点生态功能区产业准入负面清单所列范围内。</w:t>
      </w:r>
    </w:p>
    <w:p w14:paraId="47B51FF0">
      <w:pPr>
        <w:snapToGrid w:val="0"/>
        <w:spacing w:line="360" w:lineRule="auto"/>
        <w:ind w:firstLine="480" w:firstLineChars="200"/>
        <w:rPr>
          <w:rFonts w:hint="default" w:ascii="Times New Roman" w:hAnsi="Times New Roman" w:eastAsia="宋体" w:cs="Times New Roman"/>
          <w:color w:val="0000FF"/>
          <w:highlight w:val="none"/>
        </w:rPr>
      </w:pPr>
      <w:r>
        <w:rPr>
          <w:rFonts w:hint="default" w:ascii="Times New Roman" w:hAnsi="Times New Roman" w:eastAsia="宋体" w:cs="Times New Roman"/>
          <w:b w:val="0"/>
          <w:bCs w:val="0"/>
          <w:color w:val="0000FF"/>
          <w:sz w:val="24"/>
          <w:szCs w:val="24"/>
          <w:highlight w:val="none"/>
          <w:shd w:val="clear" w:color="auto" w:fill="auto"/>
          <w:vertAlign w:val="baseline"/>
          <w:lang w:val="en-US" w:eastAsia="zh-CN"/>
        </w:rPr>
        <w:t>综上，本项目符合国家产业政策</w:t>
      </w:r>
      <w:r>
        <w:rPr>
          <w:rFonts w:hint="default" w:ascii="Times New Roman" w:hAnsi="Times New Roman" w:eastAsia="宋体" w:cs="Times New Roman"/>
          <w:color w:val="0000FF"/>
          <w:highlight w:val="none"/>
        </w:rPr>
        <w:t>。</w:t>
      </w:r>
    </w:p>
    <w:p w14:paraId="3CF87C10">
      <w:pPr>
        <w:pStyle w:val="5"/>
        <w:pageBreakBefore w:val="0"/>
        <w:widowControl w:val="0"/>
        <w:kinsoku/>
        <w:wordWrap/>
        <w:topLinePunct/>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45" w:name="_Toc13954"/>
      <w:r>
        <w:rPr>
          <w:rFonts w:hint="default" w:ascii="Times New Roman" w:hAnsi="Times New Roman" w:eastAsia="宋体" w:cs="Times New Roman"/>
          <w:color w:val="auto"/>
          <w:highlight w:val="none"/>
        </w:rPr>
        <w:t>1.4.2项目选址合理性分析</w:t>
      </w:r>
      <w:bookmarkEnd w:id="45"/>
    </w:p>
    <w:p w14:paraId="473A0A25">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本项目选址于</w:t>
      </w:r>
      <w:r>
        <w:rPr>
          <w:rFonts w:hint="default" w:ascii="Times New Roman" w:hAnsi="Times New Roman" w:eastAsia="宋体" w:cs="Times New Roman"/>
          <w:color w:val="auto"/>
          <w:sz w:val="24"/>
          <w:szCs w:val="24"/>
          <w:highlight w:val="none"/>
          <w:lang w:eastAsia="zh-CN"/>
        </w:rPr>
        <w:t>内蒙古自治区巴彦淖尔市乌拉特前旗大佘太镇马卜子村</w:t>
      </w:r>
      <w:r>
        <w:rPr>
          <w:rFonts w:hint="default" w:ascii="Times New Roman" w:hAnsi="Times New Roman" w:eastAsia="宋体" w:cs="Times New Roman"/>
          <w:color w:val="auto"/>
          <w:highlight w:val="none"/>
        </w:rPr>
        <w:t>，项目周围500m范围内无工业企业</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0000FF"/>
          <w:highlight w:val="none"/>
          <w:lang w:eastAsia="zh-CN"/>
        </w:rPr>
        <w:t>不压覆已查明重要矿产资源</w:t>
      </w:r>
      <w:r>
        <w:rPr>
          <w:rFonts w:hint="default" w:ascii="Times New Roman" w:hAnsi="Times New Roman" w:eastAsia="宋体" w:cs="Times New Roman"/>
          <w:color w:val="0000FF"/>
          <w:highlight w:val="none"/>
        </w:rPr>
        <w:t>，</w:t>
      </w:r>
      <w:r>
        <w:rPr>
          <w:rFonts w:hint="default" w:ascii="Times New Roman" w:hAnsi="Times New Roman" w:eastAsia="宋体" w:cs="Times New Roman"/>
          <w:color w:val="auto"/>
          <w:highlight w:val="none"/>
        </w:rPr>
        <w:t>区域环境质量良好，有利于畜禽的生长，并可以保持良好的健康状态。</w:t>
      </w:r>
    </w:p>
    <w:p w14:paraId="43739B54">
      <w:pPr>
        <w:pageBreakBefore w:val="0"/>
        <w:widowControl w:val="0"/>
        <w:kinsoku/>
        <w:wordWrap/>
        <w:overflowPunct w:val="0"/>
        <w:topLinePunct/>
        <w:autoSpaceDE/>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根据调查，项目周边</w:t>
      </w:r>
      <w:r>
        <w:rPr>
          <w:rFonts w:hint="default" w:ascii="Times New Roman" w:hAnsi="Times New Roman" w:eastAsia="宋体" w:cs="Times New Roman"/>
          <w:color w:val="auto"/>
          <w:highlight w:val="none"/>
          <w:lang w:eastAsia="zh-CN"/>
        </w:rPr>
        <w:t>土地性质</w:t>
      </w:r>
      <w:r>
        <w:rPr>
          <w:rFonts w:hint="default" w:ascii="Times New Roman" w:hAnsi="Times New Roman" w:eastAsia="宋体" w:cs="Times New Roman"/>
          <w:color w:val="auto"/>
          <w:highlight w:val="none"/>
        </w:rPr>
        <w:t>主要为</w:t>
      </w:r>
      <w:r>
        <w:rPr>
          <w:rFonts w:hint="default" w:ascii="Times New Roman" w:hAnsi="Times New Roman" w:eastAsia="宋体" w:cs="Times New Roman"/>
          <w:color w:val="auto"/>
          <w:highlight w:val="none"/>
          <w:lang w:eastAsia="zh-CN"/>
        </w:rPr>
        <w:t>其他草地、耕地和设施农用地</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0000FF"/>
          <w:highlight w:val="none"/>
          <w:lang w:val="en-US" w:eastAsia="zh-CN"/>
        </w:rPr>
        <w:t>周围500m范围内没有河流等地表水体；厂区南侧85m处为</w:t>
      </w:r>
      <w:r>
        <w:rPr>
          <w:rFonts w:hint="default" w:ascii="Times New Roman" w:hAnsi="Times New Roman" w:eastAsia="宋体" w:cs="Times New Roman"/>
          <w:color w:val="0000FF"/>
          <w:highlight w:val="none"/>
        </w:rPr>
        <w:t>马卜子村</w:t>
      </w:r>
      <w:r>
        <w:rPr>
          <w:rFonts w:hint="default" w:ascii="Times New Roman" w:hAnsi="Times New Roman" w:eastAsia="宋体" w:cs="Times New Roman"/>
          <w:color w:val="0000FF"/>
          <w:highlight w:val="none"/>
          <w:lang w:eastAsia="zh-CN"/>
        </w:rPr>
        <w:t>，</w:t>
      </w:r>
      <w:r>
        <w:rPr>
          <w:rFonts w:hint="default" w:ascii="Times New Roman" w:hAnsi="Times New Roman" w:eastAsia="宋体" w:cs="Times New Roman"/>
          <w:color w:val="0000FF"/>
          <w:highlight w:val="none"/>
        </w:rPr>
        <w:t>该地</w:t>
      </w:r>
      <w:r>
        <w:rPr>
          <w:rFonts w:hint="default" w:ascii="Times New Roman" w:hAnsi="Times New Roman" w:eastAsia="宋体" w:cs="Times New Roman"/>
          <w:color w:val="0000FF"/>
          <w:highlight w:val="none"/>
          <w:lang w:eastAsia="zh-CN"/>
        </w:rPr>
        <w:t>区全</w:t>
      </w:r>
      <w:r>
        <w:rPr>
          <w:rFonts w:hint="default" w:ascii="Times New Roman" w:hAnsi="Times New Roman" w:eastAsia="宋体" w:cs="Times New Roman"/>
          <w:color w:val="0000FF"/>
          <w:highlight w:val="none"/>
        </w:rPr>
        <w:t>年主导风向为SSE风，马卜子村</w:t>
      </w:r>
      <w:r>
        <w:rPr>
          <w:rFonts w:hint="default" w:ascii="Times New Roman" w:hAnsi="Times New Roman" w:eastAsia="宋体" w:cs="Times New Roman"/>
          <w:color w:val="0000FF"/>
          <w:highlight w:val="none"/>
          <w:lang w:val="en-US" w:eastAsia="zh-CN"/>
        </w:rPr>
        <w:t>位于本项目常年主导风向的侧风向处，符合《畜禽养殖业污染防治技术规范》（HJ/T81-2001）等规范要求。</w:t>
      </w:r>
    </w:p>
    <w:p w14:paraId="53E3EBEF">
      <w:pPr>
        <w:pageBreakBefore w:val="0"/>
        <w:widowControl w:val="0"/>
        <w:kinsoku/>
        <w:wordWrap/>
        <w:overflowPunct w:val="0"/>
        <w:topLinePunct/>
        <w:autoSpaceDE/>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0000"/>
          <w:highlight w:val="none"/>
          <w:lang w:eastAsia="zh-CN"/>
        </w:rPr>
      </w:pPr>
      <w:r>
        <w:rPr>
          <w:rFonts w:hint="default" w:ascii="Times New Roman" w:hAnsi="Times New Roman" w:eastAsia="宋体" w:cs="Times New Roman"/>
          <w:color w:val="FF0000"/>
          <w:highlight w:val="none"/>
          <w:lang w:eastAsia="zh-CN"/>
        </w:rPr>
        <w:t>根据巴彦淖尔市生态环境局乌拉特前旗分局于</w:t>
      </w:r>
      <w:r>
        <w:rPr>
          <w:rFonts w:hint="default" w:ascii="Times New Roman" w:hAnsi="Times New Roman" w:eastAsia="宋体" w:cs="Times New Roman"/>
          <w:color w:val="FF0000"/>
          <w:highlight w:val="none"/>
          <w:lang w:val="en-US" w:eastAsia="zh-CN"/>
        </w:rPr>
        <w:t>2023年8月8日出具的《关于核实乌拉特前旗大佘太中海禾牧养殖专业合作社新建肉牛养殖项目是否位于禁养区的复函》（乌环字</w:t>
      </w:r>
      <w:r>
        <w:rPr>
          <w:rFonts w:hint="default" w:ascii="Times New Roman" w:hAnsi="Times New Roman" w:eastAsia="宋体" w:cs="Times New Roman"/>
          <w:color w:val="FF0000"/>
          <w:highlight w:val="none"/>
          <w:lang w:val="en-US" w:eastAsia="zh-CN"/>
        </w:rPr>
        <w:t>〔</w:t>
      </w:r>
      <w:r>
        <w:rPr>
          <w:rFonts w:hint="default" w:ascii="Times New Roman" w:hAnsi="Times New Roman" w:eastAsia="宋体" w:cs="Times New Roman"/>
          <w:color w:val="FF0000"/>
          <w:highlight w:val="none"/>
          <w:lang w:val="en-US" w:eastAsia="zh-CN"/>
        </w:rPr>
        <w:t>2023</w:t>
      </w:r>
      <w:r>
        <w:rPr>
          <w:rFonts w:hint="default" w:ascii="Times New Roman" w:hAnsi="Times New Roman" w:eastAsia="宋体" w:cs="Times New Roman"/>
          <w:color w:val="FF0000"/>
          <w:highlight w:val="none"/>
          <w:lang w:val="en-US" w:eastAsia="zh-CN"/>
        </w:rPr>
        <w:t>〕</w:t>
      </w:r>
      <w:r>
        <w:rPr>
          <w:rFonts w:hint="default" w:ascii="Times New Roman" w:hAnsi="Times New Roman" w:eastAsia="宋体" w:cs="Times New Roman"/>
          <w:color w:val="FF0000"/>
          <w:highlight w:val="none"/>
          <w:lang w:val="en-US" w:eastAsia="zh-CN"/>
        </w:rPr>
        <w:t>196号），本项目不在乌拉特前旗已调整的禁养区内；根据乌拉特前旗自然资源局于2022年10月14日出具的《关于核查大佘太中海禾牧养殖专业合作社新建肉牛养殖项目是否位于生态保护红线的复函》（乌自然资函发〔2022〕291号），本项目用地不在乌拉特前旗生态保护红线范围内；</w:t>
      </w:r>
      <w:r>
        <w:rPr>
          <w:rFonts w:hint="default" w:ascii="Times New Roman" w:hAnsi="Times New Roman" w:eastAsia="宋体" w:cs="Times New Roman"/>
          <w:color w:val="FF0000"/>
          <w:highlight w:val="none"/>
          <w:lang w:eastAsia="zh-CN"/>
        </w:rPr>
        <w:t>根据巴彦淖尔市生态环境局乌拉特前旗分局于</w:t>
      </w:r>
      <w:r>
        <w:rPr>
          <w:rFonts w:hint="default" w:ascii="Times New Roman" w:hAnsi="Times New Roman" w:eastAsia="宋体" w:cs="Times New Roman"/>
          <w:color w:val="FF0000"/>
          <w:highlight w:val="none"/>
          <w:lang w:val="en-US" w:eastAsia="zh-CN"/>
        </w:rPr>
        <w:t>202</w:t>
      </w:r>
      <w:r>
        <w:rPr>
          <w:rFonts w:hint="default" w:ascii="Times New Roman" w:hAnsi="Times New Roman" w:eastAsia="宋体" w:cs="Times New Roman"/>
          <w:color w:val="FF0000"/>
          <w:highlight w:val="none"/>
          <w:lang w:val="en-US" w:eastAsia="zh-CN"/>
        </w:rPr>
        <w:t>2</w:t>
      </w:r>
      <w:r>
        <w:rPr>
          <w:rFonts w:hint="default" w:ascii="Times New Roman" w:hAnsi="Times New Roman" w:eastAsia="宋体" w:cs="Times New Roman"/>
          <w:color w:val="FF0000"/>
          <w:highlight w:val="none"/>
          <w:lang w:val="en-US" w:eastAsia="zh-CN"/>
        </w:rPr>
        <w:t>年</w:t>
      </w:r>
      <w:r>
        <w:rPr>
          <w:rFonts w:hint="default" w:ascii="Times New Roman" w:hAnsi="Times New Roman" w:eastAsia="宋体" w:cs="Times New Roman"/>
          <w:color w:val="FF0000"/>
          <w:highlight w:val="none"/>
          <w:lang w:val="en-US" w:eastAsia="zh-CN"/>
        </w:rPr>
        <w:t>10</w:t>
      </w:r>
      <w:r>
        <w:rPr>
          <w:rFonts w:hint="default" w:ascii="Times New Roman" w:hAnsi="Times New Roman" w:eastAsia="宋体" w:cs="Times New Roman"/>
          <w:color w:val="FF0000"/>
          <w:highlight w:val="none"/>
          <w:lang w:val="en-US" w:eastAsia="zh-CN"/>
        </w:rPr>
        <w:t>月</w:t>
      </w:r>
      <w:r>
        <w:rPr>
          <w:rFonts w:hint="default" w:ascii="Times New Roman" w:hAnsi="Times New Roman" w:eastAsia="宋体" w:cs="Times New Roman"/>
          <w:color w:val="FF0000"/>
          <w:highlight w:val="none"/>
          <w:lang w:val="en-US" w:eastAsia="zh-CN"/>
        </w:rPr>
        <w:t>11</w:t>
      </w:r>
      <w:r>
        <w:rPr>
          <w:rFonts w:hint="default" w:ascii="Times New Roman" w:hAnsi="Times New Roman" w:eastAsia="宋体" w:cs="Times New Roman"/>
          <w:color w:val="FF0000"/>
          <w:highlight w:val="none"/>
          <w:lang w:val="en-US" w:eastAsia="zh-CN"/>
        </w:rPr>
        <w:t>日出具的《关于核实乌拉特前旗大佘太中海禾牧养殖专业合作社新建肉牛养殖项目是否位于</w:t>
      </w:r>
      <w:r>
        <w:rPr>
          <w:rFonts w:hint="default" w:ascii="Times New Roman" w:hAnsi="Times New Roman" w:eastAsia="宋体" w:cs="Times New Roman"/>
          <w:color w:val="FF0000"/>
          <w:highlight w:val="none"/>
          <w:lang w:val="en-US" w:eastAsia="zh-CN"/>
        </w:rPr>
        <w:t>饮用水水源保护区</w:t>
      </w:r>
      <w:r>
        <w:rPr>
          <w:rFonts w:hint="default" w:ascii="Times New Roman" w:hAnsi="Times New Roman" w:eastAsia="宋体" w:cs="Times New Roman"/>
          <w:color w:val="FF0000"/>
          <w:highlight w:val="none"/>
          <w:lang w:val="en-US" w:eastAsia="zh-CN"/>
        </w:rPr>
        <w:t>的复函》（乌环字</w:t>
      </w:r>
      <w:r>
        <w:rPr>
          <w:rFonts w:hint="default" w:ascii="Times New Roman" w:hAnsi="Times New Roman" w:eastAsia="宋体" w:cs="Times New Roman"/>
          <w:color w:val="FF0000"/>
          <w:highlight w:val="none"/>
          <w:lang w:val="en-US" w:eastAsia="zh-CN"/>
        </w:rPr>
        <w:t>〔</w:t>
      </w:r>
      <w:r>
        <w:rPr>
          <w:rFonts w:hint="default" w:ascii="Times New Roman" w:hAnsi="Times New Roman" w:eastAsia="宋体" w:cs="Times New Roman"/>
          <w:color w:val="FF0000"/>
          <w:highlight w:val="none"/>
          <w:lang w:val="en-US" w:eastAsia="zh-CN"/>
        </w:rPr>
        <w:t>202</w:t>
      </w:r>
      <w:r>
        <w:rPr>
          <w:rFonts w:hint="default" w:ascii="Times New Roman" w:hAnsi="Times New Roman" w:eastAsia="宋体" w:cs="Times New Roman"/>
          <w:color w:val="FF0000"/>
          <w:highlight w:val="none"/>
          <w:lang w:val="en-US" w:eastAsia="zh-CN"/>
        </w:rPr>
        <w:t>2〕329</w:t>
      </w:r>
      <w:r>
        <w:rPr>
          <w:rFonts w:hint="default" w:ascii="Times New Roman" w:hAnsi="Times New Roman" w:eastAsia="宋体" w:cs="Times New Roman"/>
          <w:color w:val="FF0000"/>
          <w:highlight w:val="none"/>
          <w:lang w:val="en-US" w:eastAsia="zh-CN"/>
        </w:rPr>
        <w:t>号），本项目</w:t>
      </w:r>
      <w:r>
        <w:rPr>
          <w:rFonts w:hint="default" w:ascii="Times New Roman" w:hAnsi="Times New Roman" w:eastAsia="宋体" w:cs="Times New Roman"/>
          <w:color w:val="FF0000"/>
          <w:highlight w:val="none"/>
          <w:lang w:val="en-US" w:eastAsia="zh-CN"/>
        </w:rPr>
        <w:t>选址范围</w:t>
      </w:r>
      <w:r>
        <w:rPr>
          <w:rFonts w:hint="default" w:ascii="Times New Roman" w:hAnsi="Times New Roman" w:eastAsia="宋体" w:cs="Times New Roman"/>
          <w:color w:val="FF0000"/>
          <w:highlight w:val="none"/>
          <w:lang w:val="en-US" w:eastAsia="zh-CN"/>
        </w:rPr>
        <w:t>不在乌拉特前旗已</w:t>
      </w:r>
      <w:r>
        <w:rPr>
          <w:rFonts w:hint="default" w:ascii="Times New Roman" w:hAnsi="Times New Roman" w:eastAsia="宋体" w:cs="Times New Roman"/>
          <w:color w:val="FF0000"/>
          <w:highlight w:val="none"/>
          <w:lang w:val="en-US" w:eastAsia="zh-CN"/>
        </w:rPr>
        <w:t>批复的饮用水水源保护区</w:t>
      </w:r>
      <w:r>
        <w:rPr>
          <w:rFonts w:hint="default" w:ascii="Times New Roman" w:hAnsi="Times New Roman" w:eastAsia="宋体" w:cs="Times New Roman"/>
          <w:color w:val="FF0000"/>
          <w:highlight w:val="none"/>
          <w:lang w:val="en-US" w:eastAsia="zh-CN"/>
        </w:rPr>
        <w:t>内；</w:t>
      </w:r>
      <w:r>
        <w:rPr>
          <w:rFonts w:hint="default" w:ascii="Times New Roman" w:hAnsi="Times New Roman" w:eastAsia="宋体" w:cs="Times New Roman"/>
          <w:color w:val="0000FF"/>
          <w:highlight w:val="none"/>
        </w:rPr>
        <w:t>该地区年主导风向为SSE风，</w:t>
      </w:r>
      <w:r>
        <w:rPr>
          <w:rFonts w:hint="default" w:ascii="Times New Roman" w:hAnsi="Times New Roman" w:eastAsia="宋体" w:cs="Times New Roman"/>
          <w:color w:val="0000FF"/>
          <w:highlight w:val="none"/>
          <w:lang w:val="en-US" w:eastAsia="zh-CN"/>
        </w:rPr>
        <w:t>项目厂区</w:t>
      </w:r>
      <w:r>
        <w:rPr>
          <w:rFonts w:hint="default" w:ascii="Times New Roman" w:hAnsi="Times New Roman" w:eastAsia="宋体" w:cs="Times New Roman"/>
          <w:color w:val="FF0000"/>
          <w:highlight w:val="none"/>
        </w:rPr>
        <w:t>下风向</w:t>
      </w:r>
      <w:r>
        <w:rPr>
          <w:rFonts w:hint="default" w:ascii="Times New Roman" w:hAnsi="Times New Roman" w:eastAsia="宋体" w:cs="Times New Roman"/>
          <w:color w:val="0000FF"/>
          <w:highlight w:val="none"/>
          <w:lang w:eastAsia="zh-CN"/>
        </w:rPr>
        <w:t>（</w:t>
      </w:r>
      <w:r>
        <w:rPr>
          <w:rFonts w:hint="default" w:ascii="Times New Roman" w:hAnsi="Times New Roman" w:eastAsia="宋体" w:cs="Times New Roman"/>
          <w:color w:val="0000FF"/>
          <w:highlight w:val="none"/>
          <w:lang w:val="en-US" w:eastAsia="zh-CN"/>
        </w:rPr>
        <w:t>西北侧</w:t>
      </w:r>
      <w:r>
        <w:rPr>
          <w:rFonts w:hint="default" w:ascii="Times New Roman" w:hAnsi="Times New Roman" w:eastAsia="宋体" w:cs="Times New Roman"/>
          <w:color w:val="0000FF"/>
          <w:highlight w:val="none"/>
          <w:lang w:eastAsia="zh-CN"/>
        </w:rPr>
        <w:t>）</w:t>
      </w:r>
      <w:r>
        <w:rPr>
          <w:rFonts w:hint="default" w:ascii="Times New Roman" w:hAnsi="Times New Roman" w:eastAsia="宋体" w:cs="Times New Roman"/>
          <w:color w:val="FF0000"/>
          <w:highlight w:val="none"/>
        </w:rPr>
        <w:t>1000m范围内无学校、医院、</w:t>
      </w:r>
      <w:r>
        <w:rPr>
          <w:rFonts w:hint="default" w:ascii="Times New Roman" w:hAnsi="Times New Roman" w:eastAsia="宋体" w:cs="Times New Roman"/>
          <w:color w:val="FF0000"/>
          <w:highlight w:val="none"/>
          <w:lang w:eastAsia="zh-CN"/>
        </w:rPr>
        <w:t>行政办公室</w:t>
      </w:r>
      <w:r>
        <w:rPr>
          <w:rFonts w:hint="default" w:ascii="Times New Roman" w:hAnsi="Times New Roman" w:eastAsia="宋体" w:cs="Times New Roman"/>
          <w:color w:val="FF0000"/>
          <w:highlight w:val="none"/>
        </w:rPr>
        <w:t>等敏感目标</w:t>
      </w:r>
      <w:r>
        <w:rPr>
          <w:rFonts w:hint="default" w:ascii="Times New Roman" w:hAnsi="Times New Roman" w:eastAsia="宋体" w:cs="Times New Roman"/>
          <w:color w:val="FF0000"/>
          <w:highlight w:val="none"/>
          <w:lang w:eastAsia="zh-CN"/>
        </w:rPr>
        <w:t>；本项目评价范围内无饮用水水源地、自然保护区、风景名胜区等特殊环境敏感区，不涉及重要生态功能区、生态敏感脆弱区、禁止开发区域以及其他各类保护地</w:t>
      </w:r>
      <w:r>
        <w:rPr>
          <w:rFonts w:hint="default" w:ascii="Times New Roman" w:hAnsi="Times New Roman" w:eastAsia="宋体" w:cs="Times New Roman"/>
          <w:bCs/>
          <w:color w:val="FF0000"/>
          <w:szCs w:val="21"/>
          <w:highlight w:val="none"/>
          <w:lang w:val="en-US" w:eastAsia="zh-CN"/>
        </w:rPr>
        <w:t>；</w:t>
      </w:r>
      <w:r>
        <w:rPr>
          <w:rFonts w:hint="default" w:ascii="Times New Roman" w:hAnsi="Times New Roman" w:eastAsia="宋体" w:cs="Times New Roman"/>
          <w:color w:val="FF0000"/>
          <w:highlight w:val="none"/>
        </w:rPr>
        <w:t>项目选址符合《关于做好畜禽规模养殖项目环境影响评价管理工作的通知》（环办环评</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rPr>
        <w:t>2018</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rPr>
        <w:t>31号）、《畜禽规模养殖污染防治条例》国务院令第643号、《畜禽养殖业污染防治技术规范》（HJ-T81-2001）、《畜禽场场区设计技术规范》（NY-T682-2003）等法律法规和行业规范的选址要求</w:t>
      </w:r>
      <w:r>
        <w:rPr>
          <w:rFonts w:hint="default" w:ascii="Times New Roman" w:hAnsi="Times New Roman" w:eastAsia="宋体" w:cs="Times New Roman"/>
          <w:color w:val="FF0000"/>
          <w:highlight w:val="none"/>
          <w:lang w:eastAsia="zh-CN"/>
        </w:rPr>
        <w:t>。</w:t>
      </w:r>
    </w:p>
    <w:p w14:paraId="5EB1E9CA">
      <w:pPr>
        <w:pageBreakBefore w:val="0"/>
        <w:widowControl w:val="0"/>
        <w:kinsoku/>
        <w:wordWrap/>
        <w:overflowPunct w:val="0"/>
        <w:topLinePunct/>
        <w:autoSpaceDE/>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lang w:eastAsia="zh-CN"/>
        </w:rPr>
        <w:t>综上</w:t>
      </w:r>
      <w:r>
        <w:rPr>
          <w:rFonts w:hint="default" w:ascii="Times New Roman" w:hAnsi="Times New Roman" w:eastAsia="宋体" w:cs="Times New Roman"/>
          <w:color w:val="FF0000"/>
          <w:highlight w:val="none"/>
          <w:lang w:eastAsia="zh-CN"/>
        </w:rPr>
        <w:t>，本项目选址合理</w:t>
      </w:r>
      <w:r>
        <w:rPr>
          <w:rFonts w:hint="default" w:ascii="Times New Roman" w:hAnsi="Times New Roman" w:eastAsia="宋体" w:cs="Times New Roman"/>
          <w:color w:val="FF0000"/>
          <w:highlight w:val="none"/>
        </w:rPr>
        <w:t>。</w:t>
      </w:r>
    </w:p>
    <w:p w14:paraId="469A5F91">
      <w:pPr>
        <w:pStyle w:val="5"/>
        <w:pageBreakBefore w:val="0"/>
        <w:widowControl w:val="0"/>
        <w:kinsoku/>
        <w:wordWrap/>
        <w:topLinePunct/>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46" w:name="_Toc27919"/>
      <w:r>
        <w:rPr>
          <w:rFonts w:hint="default" w:ascii="Times New Roman" w:hAnsi="Times New Roman" w:eastAsia="宋体" w:cs="Times New Roman"/>
          <w:color w:val="auto"/>
          <w:highlight w:val="none"/>
        </w:rPr>
        <w:t>1.4.3</w:t>
      </w:r>
      <w:bookmarkStart w:id="47" w:name="_Toc521342110"/>
      <w:r>
        <w:rPr>
          <w:rFonts w:hint="default" w:ascii="Times New Roman" w:hAnsi="Times New Roman" w:eastAsia="宋体" w:cs="Times New Roman"/>
          <w:color w:val="auto"/>
          <w:highlight w:val="none"/>
        </w:rPr>
        <w:t>“三线一单”符合性分析</w:t>
      </w:r>
      <w:bookmarkEnd w:id="46"/>
      <w:bookmarkEnd w:id="47"/>
    </w:p>
    <w:p w14:paraId="6D4D5CEB">
      <w:pPr>
        <w:pageBreakBefore w:val="0"/>
        <w:widowControl w:val="0"/>
        <w:kinsoku/>
        <w:wordWrap/>
        <w:overflowPunct w:val="0"/>
        <w:topLinePunct/>
        <w:autoSpaceDE/>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根据实际情况，本项目“三线一单”分析如下：</w:t>
      </w:r>
    </w:p>
    <w:p w14:paraId="0552865F">
      <w:pPr>
        <w:pageBreakBefore w:val="0"/>
        <w:widowControl w:val="0"/>
        <w:kinsoku/>
        <w:wordWrap/>
        <w:topLinePunct/>
        <w:autoSpaceDN/>
        <w:bidi w:val="0"/>
        <w:adjustRightInd/>
        <w:snapToGrid w:val="0"/>
        <w:spacing w:line="360" w:lineRule="auto"/>
        <w:ind w:left="0" w:leftChars="0" w:right="0" w:rightChars="0" w:firstLine="480"/>
        <w:textAlignment w:val="auto"/>
        <w:outlineLvl w:val="2"/>
        <w:rPr>
          <w:rFonts w:hint="default" w:ascii="Times New Roman" w:hAnsi="Times New Roman" w:eastAsia="宋体" w:cs="Times New Roman"/>
          <w:color w:val="auto"/>
          <w:highlight w:val="none"/>
        </w:rPr>
      </w:pPr>
      <w:bookmarkStart w:id="48" w:name="_Toc7382"/>
      <w:bookmarkStart w:id="49" w:name="_Toc16754"/>
      <w:bookmarkStart w:id="50" w:name="_Toc512871517"/>
      <w:r>
        <w:rPr>
          <w:rFonts w:hint="default" w:ascii="Times New Roman" w:hAnsi="Times New Roman" w:eastAsia="宋体" w:cs="Times New Roman"/>
          <w:color w:val="auto"/>
          <w:highlight w:val="none"/>
        </w:rPr>
        <w:t>（1）生态保护红线</w:t>
      </w:r>
      <w:bookmarkEnd w:id="48"/>
      <w:bookmarkEnd w:id="49"/>
    </w:p>
    <w:p w14:paraId="195134E8">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根据</w:t>
      </w:r>
      <w:r>
        <w:rPr>
          <w:rFonts w:hint="default" w:ascii="Times New Roman" w:hAnsi="Times New Roman" w:eastAsia="宋体" w:cs="Times New Roman"/>
          <w:color w:val="auto"/>
          <w:sz w:val="24"/>
          <w:szCs w:val="24"/>
          <w:highlight w:val="none"/>
          <w:lang w:eastAsia="zh-CN"/>
        </w:rPr>
        <w:t>乌拉特前旗</w:t>
      </w:r>
      <w:r>
        <w:rPr>
          <w:rFonts w:hint="default" w:ascii="Times New Roman" w:hAnsi="Times New Roman" w:eastAsia="宋体" w:cs="Times New Roman"/>
          <w:bCs/>
          <w:color w:val="auto"/>
          <w:szCs w:val="21"/>
          <w:highlight w:val="none"/>
          <w:lang w:val="en-US" w:eastAsia="zh-CN"/>
        </w:rPr>
        <w:t>自然资源局于2022年10月14日出具的《关于核查大佘太中海禾牧养殖专业合作社新建肉牛养殖项目是否位于生态保护红线的复函》（</w:t>
      </w:r>
      <w:r>
        <w:rPr>
          <w:rFonts w:hint="default" w:ascii="Times New Roman" w:hAnsi="Times New Roman" w:eastAsia="宋体" w:cs="Times New Roman"/>
          <w:color w:val="auto"/>
          <w:sz w:val="24"/>
          <w:szCs w:val="24"/>
          <w:highlight w:val="none"/>
          <w:lang w:eastAsia="zh-CN"/>
        </w:rPr>
        <w:t>乌</w:t>
      </w:r>
      <w:r>
        <w:rPr>
          <w:rFonts w:hint="default" w:ascii="Times New Roman" w:hAnsi="Times New Roman" w:eastAsia="宋体" w:cs="Times New Roman"/>
          <w:bCs/>
          <w:color w:val="auto"/>
          <w:szCs w:val="21"/>
          <w:highlight w:val="none"/>
          <w:lang w:val="en-US" w:eastAsia="zh-CN"/>
        </w:rPr>
        <w:t>自然资函发〔2022〕291号），本项目用地不在</w:t>
      </w:r>
      <w:r>
        <w:rPr>
          <w:rFonts w:hint="default" w:ascii="Times New Roman" w:hAnsi="Times New Roman" w:eastAsia="宋体" w:cs="Times New Roman"/>
          <w:color w:val="auto"/>
          <w:sz w:val="24"/>
          <w:szCs w:val="24"/>
          <w:highlight w:val="none"/>
          <w:lang w:eastAsia="zh-CN"/>
        </w:rPr>
        <w:t>乌拉特前旗</w:t>
      </w:r>
      <w:r>
        <w:rPr>
          <w:rFonts w:hint="default" w:ascii="Times New Roman" w:hAnsi="Times New Roman" w:eastAsia="宋体" w:cs="Times New Roman"/>
          <w:bCs/>
          <w:color w:val="auto"/>
          <w:szCs w:val="21"/>
          <w:highlight w:val="none"/>
          <w:lang w:val="en-US" w:eastAsia="zh-CN"/>
        </w:rPr>
        <w:t>生态保护红线（2022年6月版）范围内</w:t>
      </w:r>
      <w:r>
        <w:rPr>
          <w:rFonts w:hint="default" w:ascii="Times New Roman" w:hAnsi="Times New Roman" w:eastAsia="宋体" w:cs="Times New Roman"/>
          <w:color w:val="auto"/>
          <w:highlight w:val="none"/>
        </w:rPr>
        <w:t>。</w:t>
      </w:r>
    </w:p>
    <w:p w14:paraId="60228EE2">
      <w:pPr>
        <w:pageBreakBefore w:val="0"/>
        <w:widowControl w:val="0"/>
        <w:kinsoku/>
        <w:wordWrap/>
        <w:topLinePunct/>
        <w:autoSpaceDN/>
        <w:bidi w:val="0"/>
        <w:adjustRightInd/>
        <w:snapToGrid w:val="0"/>
        <w:spacing w:line="360" w:lineRule="auto"/>
        <w:ind w:left="0" w:leftChars="0" w:right="0" w:rightChars="0" w:firstLine="480"/>
        <w:textAlignment w:val="auto"/>
        <w:outlineLvl w:val="2"/>
        <w:rPr>
          <w:rFonts w:hint="default" w:ascii="Times New Roman" w:hAnsi="Times New Roman" w:eastAsia="宋体" w:cs="Times New Roman"/>
          <w:color w:val="auto"/>
          <w:highlight w:val="none"/>
        </w:rPr>
      </w:pPr>
      <w:bookmarkStart w:id="51" w:name="_Toc6425"/>
      <w:bookmarkStart w:id="52" w:name="_Toc6542"/>
      <w:r>
        <w:rPr>
          <w:rFonts w:hint="default" w:ascii="Times New Roman" w:hAnsi="Times New Roman" w:eastAsia="宋体" w:cs="Times New Roman"/>
          <w:color w:val="auto"/>
          <w:highlight w:val="none"/>
        </w:rPr>
        <w:t>（2）环境质量底线</w:t>
      </w:r>
      <w:bookmarkEnd w:id="51"/>
      <w:bookmarkEnd w:id="52"/>
    </w:p>
    <w:p w14:paraId="5CCE763E">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FF0000"/>
          <w:sz w:val="24"/>
          <w:szCs w:val="24"/>
          <w:highlight w:val="none"/>
        </w:rPr>
        <w:t>根据</w:t>
      </w:r>
      <w:r>
        <w:rPr>
          <w:rFonts w:hint="default" w:ascii="Times New Roman" w:hAnsi="Times New Roman" w:eastAsia="宋体" w:cs="Times New Roman"/>
          <w:color w:val="FF0000"/>
          <w:kern w:val="0"/>
          <w:sz w:val="24"/>
          <w:szCs w:val="24"/>
          <w:highlight w:val="none"/>
          <w:lang w:eastAsia="zh-CN"/>
        </w:rPr>
        <w:t>《</w:t>
      </w:r>
      <w:r>
        <w:rPr>
          <w:rFonts w:hint="default" w:ascii="Times New Roman" w:hAnsi="Times New Roman" w:eastAsia="宋体" w:cs="Times New Roman"/>
          <w:color w:val="FF0000"/>
          <w:kern w:val="0"/>
          <w:sz w:val="24"/>
          <w:szCs w:val="24"/>
          <w:highlight w:val="none"/>
          <w:lang w:eastAsia="zh-CN"/>
        </w:rPr>
        <w:t>巴彦淖尔市环境质量状况公报（2022年）</w:t>
      </w:r>
      <w:r>
        <w:rPr>
          <w:rFonts w:hint="default" w:ascii="Times New Roman" w:hAnsi="Times New Roman" w:eastAsia="宋体" w:cs="Times New Roman"/>
          <w:color w:val="FF0000"/>
          <w:kern w:val="0"/>
          <w:sz w:val="24"/>
          <w:szCs w:val="24"/>
          <w:highlight w:val="none"/>
          <w:lang w:eastAsia="zh-CN"/>
        </w:rPr>
        <w:t>》，本项目所在地巴彦淖尔市</w:t>
      </w:r>
      <w:r>
        <w:rPr>
          <w:rFonts w:hint="default" w:ascii="Times New Roman" w:hAnsi="Times New Roman" w:eastAsia="宋体" w:cs="Times New Roman"/>
          <w:color w:val="FF0000"/>
          <w:sz w:val="24"/>
          <w:szCs w:val="24"/>
          <w:highlight w:val="none"/>
          <w:lang w:eastAsia="zh-CN"/>
        </w:rPr>
        <w:t>乌拉特前旗</w:t>
      </w:r>
      <w:r>
        <w:rPr>
          <w:rFonts w:hint="default" w:ascii="Times New Roman" w:hAnsi="Times New Roman" w:eastAsia="宋体" w:cs="Times New Roman"/>
          <w:color w:val="FF0000"/>
          <w:kern w:val="0"/>
          <w:sz w:val="24"/>
          <w:szCs w:val="24"/>
          <w:highlight w:val="none"/>
          <w:lang w:val="en-US" w:eastAsia="zh-CN"/>
        </w:rPr>
        <w:t>202</w:t>
      </w:r>
      <w:r>
        <w:rPr>
          <w:rFonts w:hint="default" w:ascii="Times New Roman" w:hAnsi="Times New Roman" w:eastAsia="宋体" w:cs="Times New Roman"/>
          <w:color w:val="FF0000"/>
          <w:kern w:val="0"/>
          <w:sz w:val="24"/>
          <w:szCs w:val="24"/>
          <w:highlight w:val="none"/>
          <w:lang w:val="en-US" w:eastAsia="zh-CN"/>
        </w:rPr>
        <w:t>2</w:t>
      </w:r>
      <w:r>
        <w:rPr>
          <w:rFonts w:hint="default" w:ascii="Times New Roman" w:hAnsi="Times New Roman" w:eastAsia="宋体" w:cs="Times New Roman"/>
          <w:color w:val="FF0000"/>
          <w:kern w:val="0"/>
          <w:sz w:val="24"/>
          <w:szCs w:val="24"/>
          <w:highlight w:val="none"/>
          <w:lang w:val="en-US" w:eastAsia="zh-CN"/>
        </w:rPr>
        <w:t>年大气环境中6项</w:t>
      </w:r>
      <w:r>
        <w:rPr>
          <w:rFonts w:hint="default" w:ascii="Times New Roman" w:hAnsi="Times New Roman" w:eastAsia="宋体" w:cs="Times New Roman"/>
          <w:color w:val="FF0000"/>
          <w:kern w:val="0"/>
          <w:sz w:val="24"/>
          <w:szCs w:val="24"/>
          <w:highlight w:val="none"/>
        </w:rPr>
        <w:t>污染物</w:t>
      </w:r>
      <w:r>
        <w:rPr>
          <w:rFonts w:hint="default" w:ascii="Times New Roman" w:hAnsi="Times New Roman" w:eastAsia="宋体" w:cs="Times New Roman"/>
          <w:color w:val="FF0000"/>
          <w:kern w:val="0"/>
          <w:sz w:val="24"/>
          <w:szCs w:val="24"/>
          <w:highlight w:val="none"/>
          <w:lang w:eastAsia="zh-CN"/>
        </w:rPr>
        <w:t>中</w:t>
      </w:r>
      <w:r>
        <w:rPr>
          <w:rFonts w:hint="default" w:ascii="Times New Roman" w:hAnsi="Times New Roman" w:eastAsia="宋体" w:cs="Times New Roman"/>
          <w:color w:val="FF0000"/>
          <w:kern w:val="0"/>
          <w:sz w:val="24"/>
          <w:szCs w:val="24"/>
          <w:highlight w:val="none"/>
        </w:rPr>
        <w:t>SO</w:t>
      </w:r>
      <w:r>
        <w:rPr>
          <w:rFonts w:hint="default" w:ascii="Times New Roman" w:hAnsi="Times New Roman" w:eastAsia="宋体" w:cs="Times New Roman"/>
          <w:color w:val="FF0000"/>
          <w:kern w:val="0"/>
          <w:sz w:val="24"/>
          <w:szCs w:val="24"/>
          <w:highlight w:val="none"/>
          <w:vertAlign w:val="subscript"/>
        </w:rPr>
        <w:t>2</w:t>
      </w:r>
      <w:r>
        <w:rPr>
          <w:rFonts w:hint="default" w:ascii="Times New Roman" w:hAnsi="Times New Roman" w:eastAsia="宋体" w:cs="Times New Roman"/>
          <w:color w:val="FF0000"/>
          <w:kern w:val="0"/>
          <w:sz w:val="24"/>
          <w:szCs w:val="24"/>
          <w:highlight w:val="none"/>
        </w:rPr>
        <w:t>、NO</w:t>
      </w:r>
      <w:r>
        <w:rPr>
          <w:rFonts w:hint="default" w:ascii="Times New Roman" w:hAnsi="Times New Roman" w:eastAsia="宋体" w:cs="Times New Roman"/>
          <w:color w:val="FF0000"/>
          <w:kern w:val="0"/>
          <w:sz w:val="24"/>
          <w:szCs w:val="24"/>
          <w:highlight w:val="none"/>
          <w:vertAlign w:val="subscript"/>
        </w:rPr>
        <w:t>2</w:t>
      </w:r>
      <w:r>
        <w:rPr>
          <w:rFonts w:hint="default" w:ascii="Times New Roman" w:hAnsi="Times New Roman" w:eastAsia="宋体" w:cs="Times New Roman"/>
          <w:color w:val="FF0000"/>
          <w:kern w:val="0"/>
          <w:sz w:val="24"/>
          <w:szCs w:val="24"/>
          <w:highlight w:val="none"/>
        </w:rPr>
        <w:t>、PM</w:t>
      </w:r>
      <w:r>
        <w:rPr>
          <w:rFonts w:hint="default" w:ascii="Times New Roman" w:hAnsi="Times New Roman" w:eastAsia="宋体" w:cs="Times New Roman"/>
          <w:color w:val="FF0000"/>
          <w:kern w:val="0"/>
          <w:sz w:val="24"/>
          <w:szCs w:val="24"/>
          <w:highlight w:val="none"/>
          <w:vertAlign w:val="subscript"/>
        </w:rPr>
        <w:t>10</w:t>
      </w:r>
      <w:r>
        <w:rPr>
          <w:rFonts w:hint="default" w:ascii="Times New Roman" w:hAnsi="Times New Roman" w:eastAsia="宋体" w:cs="Times New Roman"/>
          <w:color w:val="FF0000"/>
          <w:kern w:val="0"/>
          <w:sz w:val="24"/>
          <w:szCs w:val="24"/>
          <w:highlight w:val="none"/>
        </w:rPr>
        <w:t>、PM</w:t>
      </w:r>
      <w:r>
        <w:rPr>
          <w:rFonts w:hint="default" w:ascii="Times New Roman" w:hAnsi="Times New Roman" w:eastAsia="宋体" w:cs="Times New Roman"/>
          <w:color w:val="FF0000"/>
          <w:kern w:val="0"/>
          <w:sz w:val="24"/>
          <w:szCs w:val="24"/>
          <w:highlight w:val="none"/>
          <w:vertAlign w:val="subscript"/>
        </w:rPr>
        <w:t>2.5</w:t>
      </w:r>
      <w:r>
        <w:rPr>
          <w:rFonts w:hint="default" w:ascii="Times New Roman" w:hAnsi="Times New Roman" w:eastAsia="宋体" w:cs="Times New Roman"/>
          <w:color w:val="FF0000"/>
          <w:kern w:val="0"/>
          <w:sz w:val="24"/>
          <w:szCs w:val="24"/>
          <w:highlight w:val="none"/>
        </w:rPr>
        <w:t>、CO和O</w:t>
      </w:r>
      <w:r>
        <w:rPr>
          <w:rFonts w:hint="default" w:ascii="Times New Roman" w:hAnsi="Times New Roman" w:eastAsia="宋体" w:cs="Times New Roman"/>
          <w:color w:val="FF0000"/>
          <w:kern w:val="0"/>
          <w:sz w:val="24"/>
          <w:szCs w:val="24"/>
          <w:highlight w:val="none"/>
          <w:vertAlign w:val="subscript"/>
        </w:rPr>
        <w:t>3</w:t>
      </w:r>
      <w:r>
        <w:rPr>
          <w:rFonts w:hint="default" w:ascii="Times New Roman" w:hAnsi="Times New Roman" w:eastAsia="宋体" w:cs="Times New Roman"/>
          <w:color w:val="FF0000"/>
          <w:kern w:val="0"/>
          <w:sz w:val="24"/>
          <w:szCs w:val="24"/>
          <w:highlight w:val="none"/>
        </w:rPr>
        <w:t>质量浓度</w:t>
      </w:r>
      <w:r>
        <w:rPr>
          <w:rFonts w:hint="default" w:ascii="Times New Roman" w:hAnsi="Times New Roman" w:eastAsia="宋体" w:cs="Times New Roman"/>
          <w:color w:val="FF0000"/>
          <w:kern w:val="0"/>
          <w:sz w:val="24"/>
          <w:szCs w:val="24"/>
          <w:highlight w:val="none"/>
          <w:lang w:eastAsia="zh-CN"/>
        </w:rPr>
        <w:t>均满足</w:t>
      </w:r>
      <w:r>
        <w:rPr>
          <w:rFonts w:hint="default" w:ascii="Times New Roman" w:hAnsi="Times New Roman" w:eastAsia="宋体" w:cs="Times New Roman"/>
          <w:color w:val="FF0000"/>
          <w:kern w:val="0"/>
          <w:sz w:val="24"/>
          <w:szCs w:val="24"/>
          <w:highlight w:val="none"/>
        </w:rPr>
        <w:t>《环境空气质量标准》（GB3095-2012）二级标准</w:t>
      </w:r>
      <w:r>
        <w:rPr>
          <w:rFonts w:hint="default" w:ascii="Times New Roman" w:hAnsi="Times New Roman" w:eastAsia="宋体" w:cs="Times New Roman"/>
          <w:color w:val="FF0000"/>
          <w:kern w:val="0"/>
          <w:sz w:val="24"/>
          <w:szCs w:val="24"/>
          <w:highlight w:val="none"/>
          <w:vertAlign w:val="baseline"/>
        </w:rPr>
        <w:t>限值</w:t>
      </w:r>
      <w:r>
        <w:rPr>
          <w:rFonts w:hint="default" w:ascii="Times New Roman" w:hAnsi="Times New Roman" w:eastAsia="宋体" w:cs="Times New Roman"/>
          <w:color w:val="FF0000"/>
          <w:kern w:val="0"/>
          <w:sz w:val="24"/>
          <w:szCs w:val="24"/>
          <w:highlight w:val="none"/>
          <w:lang w:eastAsia="zh-CN"/>
        </w:rPr>
        <w:t>，</w:t>
      </w:r>
      <w:r>
        <w:rPr>
          <w:rFonts w:hint="default" w:ascii="Times New Roman" w:hAnsi="Times New Roman" w:eastAsia="宋体" w:cs="Times New Roman"/>
          <w:color w:val="FF0000"/>
          <w:kern w:val="0"/>
          <w:sz w:val="24"/>
          <w:szCs w:val="24"/>
          <w:highlight w:val="none"/>
        </w:rPr>
        <w:t>由此可判断</w:t>
      </w:r>
      <w:r>
        <w:rPr>
          <w:rFonts w:hint="default" w:ascii="Times New Roman" w:hAnsi="Times New Roman" w:eastAsia="宋体" w:cs="Times New Roman"/>
          <w:color w:val="FF0000"/>
          <w:kern w:val="0"/>
          <w:sz w:val="24"/>
          <w:szCs w:val="24"/>
          <w:highlight w:val="none"/>
          <w:lang w:eastAsia="zh-CN"/>
        </w:rPr>
        <w:t>本项目所在地为</w:t>
      </w:r>
      <w:r>
        <w:rPr>
          <w:rFonts w:hint="default" w:ascii="Times New Roman" w:hAnsi="Times New Roman" w:eastAsia="宋体" w:cs="Times New Roman"/>
          <w:color w:val="FF0000"/>
          <w:kern w:val="0"/>
          <w:sz w:val="24"/>
          <w:szCs w:val="24"/>
          <w:highlight w:val="none"/>
        </w:rPr>
        <w:t>达标区</w:t>
      </w:r>
      <w:r>
        <w:rPr>
          <w:rFonts w:hint="default" w:ascii="Times New Roman" w:hAnsi="Times New Roman" w:eastAsia="宋体" w:cs="Times New Roman"/>
          <w:color w:val="FF0000"/>
          <w:kern w:val="0"/>
          <w:sz w:val="24"/>
          <w:szCs w:val="24"/>
          <w:highlight w:val="none"/>
          <w:lang w:eastAsia="zh-CN"/>
        </w:rPr>
        <w:t>；</w:t>
      </w:r>
      <w:r>
        <w:rPr>
          <w:rFonts w:hint="default" w:ascii="Times New Roman" w:hAnsi="Times New Roman" w:eastAsia="宋体" w:cs="Times New Roman"/>
          <w:color w:val="auto"/>
          <w:kern w:val="0"/>
          <w:sz w:val="24"/>
          <w:szCs w:val="24"/>
          <w:highlight w:val="none"/>
          <w:lang w:eastAsia="zh-CN"/>
        </w:rPr>
        <w:t>根据</w:t>
      </w:r>
      <w:r>
        <w:rPr>
          <w:rFonts w:hint="default" w:ascii="Times New Roman" w:hAnsi="Times New Roman" w:eastAsia="宋体" w:cs="Times New Roman"/>
          <w:color w:val="auto"/>
          <w:sz w:val="24"/>
          <w:highlight w:val="none"/>
        </w:rPr>
        <w:t>特征因子</w:t>
      </w:r>
      <w:r>
        <w:rPr>
          <w:rFonts w:hint="default" w:ascii="Times New Roman" w:hAnsi="Times New Roman" w:eastAsia="宋体" w:cs="Times New Roman"/>
          <w:color w:val="auto"/>
          <w:kern w:val="0"/>
          <w:sz w:val="24"/>
          <w:szCs w:val="24"/>
          <w:highlight w:val="none"/>
          <w:lang w:eastAsia="zh-CN"/>
        </w:rPr>
        <w:t>监测结果可知，</w:t>
      </w:r>
      <w:r>
        <w:rPr>
          <w:rFonts w:hint="default" w:ascii="Times New Roman" w:hAnsi="Times New Roman" w:eastAsia="宋体" w:cs="Times New Roman"/>
          <w:color w:val="auto"/>
          <w:kern w:val="0"/>
          <w:sz w:val="24"/>
          <w:szCs w:val="24"/>
          <w:highlight w:val="none"/>
          <w:lang w:val="en-US" w:eastAsia="zh-CN"/>
        </w:rPr>
        <w:t>TSP</w:t>
      </w:r>
      <w:r>
        <w:rPr>
          <w:rFonts w:hint="default" w:ascii="Times New Roman" w:hAnsi="Times New Roman" w:eastAsia="宋体" w:cs="Times New Roman"/>
          <w:color w:val="auto"/>
          <w:kern w:val="0"/>
          <w:sz w:val="24"/>
          <w:szCs w:val="24"/>
          <w:highlight w:val="none"/>
        </w:rPr>
        <w:t>质量浓度</w:t>
      </w:r>
      <w:r>
        <w:rPr>
          <w:rFonts w:hint="default" w:ascii="Times New Roman" w:hAnsi="Times New Roman" w:eastAsia="宋体" w:cs="Times New Roman"/>
          <w:color w:val="auto"/>
          <w:kern w:val="0"/>
          <w:sz w:val="24"/>
          <w:szCs w:val="24"/>
          <w:highlight w:val="none"/>
          <w:lang w:eastAsia="zh-CN"/>
        </w:rPr>
        <w:t>满足</w:t>
      </w:r>
      <w:r>
        <w:rPr>
          <w:rFonts w:hint="default" w:ascii="Times New Roman" w:hAnsi="Times New Roman" w:eastAsia="宋体" w:cs="Times New Roman"/>
          <w:color w:val="auto"/>
          <w:kern w:val="0"/>
          <w:sz w:val="24"/>
          <w:szCs w:val="24"/>
          <w:highlight w:val="none"/>
        </w:rPr>
        <w:t>《环境空气质量标准》（GB3095-2012）二级标准</w:t>
      </w:r>
      <w:r>
        <w:rPr>
          <w:rFonts w:hint="default" w:ascii="Times New Roman" w:hAnsi="Times New Roman" w:eastAsia="宋体" w:cs="Times New Roman"/>
          <w:color w:val="auto"/>
          <w:kern w:val="0"/>
          <w:sz w:val="24"/>
          <w:szCs w:val="24"/>
          <w:highlight w:val="none"/>
          <w:vertAlign w:val="baseline"/>
        </w:rPr>
        <w:t>限值</w:t>
      </w:r>
      <w:r>
        <w:rPr>
          <w:rFonts w:hint="default" w:ascii="Times New Roman" w:hAnsi="Times New Roman" w:eastAsia="宋体" w:cs="Times New Roman"/>
          <w:color w:val="auto"/>
          <w:kern w:val="0"/>
          <w:sz w:val="24"/>
          <w:szCs w:val="24"/>
          <w:highlight w:val="none"/>
          <w:vertAlign w:val="baseline"/>
          <w:lang w:eastAsia="zh-CN"/>
        </w:rPr>
        <w:t>；</w:t>
      </w:r>
      <w:r>
        <w:rPr>
          <w:rFonts w:hint="default" w:ascii="Times New Roman" w:hAnsi="Times New Roman" w:eastAsia="宋体" w:cs="Times New Roman"/>
          <w:color w:val="auto"/>
          <w:kern w:val="0"/>
          <w:sz w:val="24"/>
          <w:szCs w:val="24"/>
          <w:highlight w:val="none"/>
        </w:rPr>
        <w:t>H</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S、NH</w:t>
      </w:r>
      <w:r>
        <w:rPr>
          <w:rFonts w:hint="default" w:ascii="Times New Roman" w:hAnsi="Times New Roman" w:eastAsia="宋体" w:cs="Times New Roman"/>
          <w:color w:val="auto"/>
          <w:kern w:val="0"/>
          <w:sz w:val="24"/>
          <w:szCs w:val="24"/>
          <w:highlight w:val="none"/>
          <w:vertAlign w:val="subscript"/>
        </w:rPr>
        <w:t>3</w:t>
      </w:r>
      <w:r>
        <w:rPr>
          <w:rFonts w:hint="default" w:ascii="Times New Roman" w:hAnsi="Times New Roman" w:eastAsia="宋体" w:cs="Times New Roman"/>
          <w:color w:val="auto"/>
          <w:kern w:val="0"/>
          <w:sz w:val="24"/>
          <w:szCs w:val="24"/>
          <w:highlight w:val="none"/>
        </w:rPr>
        <w:t>质量浓度</w:t>
      </w:r>
      <w:r>
        <w:rPr>
          <w:rFonts w:hint="default" w:ascii="Times New Roman" w:hAnsi="Times New Roman" w:eastAsia="宋体" w:cs="Times New Roman"/>
          <w:color w:val="auto"/>
          <w:kern w:val="0"/>
          <w:sz w:val="24"/>
          <w:szCs w:val="24"/>
          <w:highlight w:val="none"/>
          <w:lang w:eastAsia="zh-CN"/>
        </w:rPr>
        <w:t>满足</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eastAsia="zh-CN"/>
        </w:rPr>
        <w:t>环境影响评价技术导则</w:t>
      </w:r>
      <w:r>
        <w:rPr>
          <w:rFonts w:hint="default" w:ascii="Times New Roman" w:hAnsi="Times New Roman" w:eastAsia="宋体" w:cs="Times New Roman"/>
          <w:color w:val="auto"/>
          <w:kern w:val="0"/>
          <w:sz w:val="24"/>
          <w:szCs w:val="24"/>
          <w:highlight w:val="none"/>
        </w:rPr>
        <w:t>大气环境》（HJ2.2-2018）附录D</w:t>
      </w:r>
      <w:r>
        <w:rPr>
          <w:rFonts w:hint="default" w:ascii="Times New Roman" w:hAnsi="Times New Roman" w:eastAsia="宋体" w:cs="Times New Roman"/>
          <w:color w:val="auto"/>
          <w:kern w:val="0"/>
          <w:sz w:val="24"/>
          <w:szCs w:val="24"/>
          <w:highlight w:val="none"/>
          <w:lang w:eastAsia="zh-CN"/>
        </w:rPr>
        <w:t>其他污染物空气质量浓度参考限值</w:t>
      </w:r>
      <w:r>
        <w:rPr>
          <w:rFonts w:hint="default" w:ascii="Times New Roman" w:hAnsi="Times New Roman" w:eastAsia="宋体" w:cs="Times New Roman"/>
          <w:color w:val="auto"/>
          <w:kern w:val="0"/>
          <w:sz w:val="24"/>
          <w:highlight w:val="none"/>
        </w:rPr>
        <w:t>；</w:t>
      </w:r>
      <w:r>
        <w:rPr>
          <w:rFonts w:hint="default" w:ascii="Times New Roman" w:hAnsi="Times New Roman" w:eastAsia="宋体" w:cs="Times New Roman"/>
          <w:color w:val="auto"/>
          <w:kern w:val="0"/>
          <w:sz w:val="24"/>
          <w:szCs w:val="24"/>
          <w:highlight w:val="none"/>
          <w:lang w:eastAsia="zh-CN"/>
        </w:rPr>
        <w:t>根据</w:t>
      </w:r>
      <w:r>
        <w:rPr>
          <w:rFonts w:hint="default" w:ascii="Times New Roman" w:hAnsi="Times New Roman" w:eastAsia="宋体" w:cs="Times New Roman"/>
          <w:color w:val="auto"/>
          <w:sz w:val="24"/>
          <w:highlight w:val="none"/>
          <w:lang w:eastAsia="zh-CN"/>
        </w:rPr>
        <w:t>土壤环境</w:t>
      </w:r>
      <w:r>
        <w:rPr>
          <w:rFonts w:hint="default" w:ascii="Times New Roman" w:hAnsi="Times New Roman" w:eastAsia="宋体" w:cs="Times New Roman"/>
          <w:color w:val="auto"/>
          <w:kern w:val="0"/>
          <w:sz w:val="24"/>
          <w:szCs w:val="24"/>
          <w:highlight w:val="none"/>
          <w:lang w:eastAsia="zh-CN"/>
        </w:rPr>
        <w:t>监测结果可知，</w:t>
      </w:r>
      <w:r>
        <w:rPr>
          <w:rFonts w:hint="default" w:ascii="Times New Roman" w:hAnsi="Times New Roman" w:eastAsia="宋体" w:cs="Times New Roman"/>
          <w:color w:val="auto"/>
          <w:sz w:val="24"/>
          <w:highlight w:val="none"/>
        </w:rPr>
        <w:t>各</w:t>
      </w:r>
      <w:r>
        <w:rPr>
          <w:rFonts w:hint="default" w:ascii="Times New Roman" w:hAnsi="Times New Roman" w:eastAsia="宋体" w:cs="Times New Roman"/>
          <w:color w:val="auto"/>
          <w:sz w:val="24"/>
          <w:highlight w:val="none"/>
          <w:lang w:eastAsia="zh-CN"/>
        </w:rPr>
        <w:t>监测</w:t>
      </w:r>
      <w:r>
        <w:rPr>
          <w:rFonts w:hint="default" w:ascii="Times New Roman" w:hAnsi="Times New Roman" w:eastAsia="宋体" w:cs="Times New Roman"/>
          <w:color w:val="auto"/>
          <w:sz w:val="24"/>
          <w:highlight w:val="none"/>
        </w:rPr>
        <w:t>因子均满足土壤环境质量满足《</w:t>
      </w:r>
      <w:r>
        <w:rPr>
          <w:rFonts w:hint="default" w:ascii="Times New Roman" w:hAnsi="Times New Roman" w:eastAsia="宋体" w:cs="Times New Roman"/>
          <w:color w:val="auto"/>
          <w:sz w:val="24"/>
          <w:highlight w:val="none"/>
          <w:lang w:eastAsia="zh-CN"/>
        </w:rPr>
        <w:t>土壤环境质量农用地土壤污染风险管控标准</w:t>
      </w:r>
      <w:r>
        <w:rPr>
          <w:rFonts w:hint="default" w:ascii="Times New Roman" w:hAnsi="Times New Roman" w:eastAsia="宋体" w:cs="Times New Roman"/>
          <w:color w:val="auto"/>
          <w:sz w:val="24"/>
          <w:highlight w:val="none"/>
        </w:rPr>
        <w:t>（试行）》（</w:t>
      </w:r>
      <w:r>
        <w:rPr>
          <w:rFonts w:hint="default" w:ascii="Times New Roman" w:hAnsi="Times New Roman" w:eastAsia="宋体" w:cs="Times New Roman"/>
          <w:color w:val="auto"/>
          <w:sz w:val="24"/>
          <w:highlight w:val="none"/>
          <w:lang w:eastAsia="zh-CN"/>
        </w:rPr>
        <w:t>GB15618</w:t>
      </w:r>
      <w:r>
        <w:rPr>
          <w:rFonts w:hint="default" w:ascii="Times New Roman" w:hAnsi="Times New Roman" w:eastAsia="宋体" w:cs="Times New Roman"/>
          <w:color w:val="auto"/>
          <w:sz w:val="24"/>
          <w:highlight w:val="none"/>
        </w:rPr>
        <w:t>-2018）表1农用地土壤污染风险筛选值（基本项目）--“其他”标准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FFC000"/>
          <w:sz w:val="24"/>
          <w:highlight w:val="none"/>
          <w:lang w:eastAsia="zh-CN"/>
        </w:rPr>
        <w:t>项目厂区四周噪声监测值</w:t>
      </w:r>
      <w:r>
        <w:rPr>
          <w:rFonts w:hint="default" w:ascii="Times New Roman" w:hAnsi="Times New Roman" w:eastAsia="宋体" w:cs="Times New Roman"/>
          <w:color w:val="FFC000"/>
          <w:sz w:val="24"/>
          <w:highlight w:val="none"/>
        </w:rPr>
        <w:t>均满足《声环境质量标准》（GB3096-2008）</w:t>
      </w:r>
      <w:r>
        <w:rPr>
          <w:rFonts w:hint="default" w:ascii="Times New Roman" w:hAnsi="Times New Roman" w:eastAsia="宋体" w:cs="Times New Roman"/>
          <w:color w:val="FFC000"/>
          <w:sz w:val="24"/>
          <w:highlight w:val="none"/>
          <w:lang w:val="en-US" w:eastAsia="zh-CN"/>
        </w:rPr>
        <w:t>1</w:t>
      </w:r>
      <w:r>
        <w:rPr>
          <w:rFonts w:hint="default" w:ascii="Times New Roman" w:hAnsi="Times New Roman" w:eastAsia="宋体" w:cs="Times New Roman"/>
          <w:color w:val="FFC000"/>
          <w:sz w:val="24"/>
          <w:highlight w:val="none"/>
        </w:rPr>
        <w:t>类标准要求</w:t>
      </w:r>
      <w:r>
        <w:rPr>
          <w:rFonts w:hint="default" w:ascii="Times New Roman" w:hAnsi="Times New Roman" w:eastAsia="宋体" w:cs="Times New Roman"/>
          <w:color w:val="FFC000"/>
          <w:highlight w:val="none"/>
        </w:rPr>
        <w:t>。</w:t>
      </w:r>
    </w:p>
    <w:p w14:paraId="3ED366B7">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default" w:ascii="Times New Roman" w:hAnsi="Times New Roman" w:eastAsia="宋体" w:cs="Times New Roman"/>
          <w:color w:val="auto"/>
          <w:highlight w:val="none"/>
          <w:lang w:eastAsia="zh-CN"/>
        </w:rPr>
        <w:t>实施后，</w:t>
      </w:r>
      <w:r>
        <w:rPr>
          <w:rFonts w:hint="default" w:ascii="Times New Roman" w:hAnsi="Times New Roman" w:eastAsia="宋体" w:cs="Times New Roman"/>
          <w:color w:val="auto"/>
          <w:highlight w:val="none"/>
        </w:rPr>
        <w:t>在严格落实本次评价中提出的各项环保措施后，对</w:t>
      </w:r>
      <w:r>
        <w:rPr>
          <w:rFonts w:hint="default" w:ascii="Times New Roman" w:hAnsi="Times New Roman" w:eastAsia="宋体" w:cs="Times New Roman"/>
          <w:color w:val="auto"/>
          <w:highlight w:val="none"/>
          <w:lang w:eastAsia="zh-CN"/>
        </w:rPr>
        <w:t>周围</w:t>
      </w:r>
      <w:r>
        <w:rPr>
          <w:rFonts w:hint="default" w:ascii="Times New Roman" w:hAnsi="Times New Roman" w:eastAsia="宋体" w:cs="Times New Roman"/>
          <w:color w:val="auto"/>
          <w:highlight w:val="none"/>
        </w:rPr>
        <w:t>各环境要素的影响较小，不会改变各环境要素的环境质量现状级别，因此</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本项目符合环境质量底线要求。</w:t>
      </w:r>
    </w:p>
    <w:p w14:paraId="0FBB1C34">
      <w:pPr>
        <w:pageBreakBefore w:val="0"/>
        <w:widowControl w:val="0"/>
        <w:kinsoku/>
        <w:wordWrap/>
        <w:overflowPunct w:val="0"/>
        <w:topLinePunct/>
        <w:autoSpaceDE/>
        <w:autoSpaceDN/>
        <w:bidi w:val="0"/>
        <w:adjustRightInd/>
        <w:snapToGrid w:val="0"/>
        <w:spacing w:line="360" w:lineRule="auto"/>
        <w:ind w:left="0" w:leftChars="0" w:right="0" w:rightChars="0" w:firstLine="480"/>
        <w:textAlignment w:val="auto"/>
        <w:outlineLvl w:val="2"/>
        <w:rPr>
          <w:rFonts w:hint="default" w:ascii="Times New Roman" w:hAnsi="Times New Roman" w:eastAsia="宋体" w:cs="Times New Roman"/>
          <w:color w:val="auto"/>
          <w:highlight w:val="none"/>
        </w:rPr>
      </w:pPr>
      <w:bookmarkStart w:id="53" w:name="_Toc23534"/>
      <w:bookmarkStart w:id="54" w:name="_Toc7393"/>
      <w:r>
        <w:rPr>
          <w:rFonts w:hint="default" w:ascii="Times New Roman" w:hAnsi="Times New Roman" w:eastAsia="宋体" w:cs="Times New Roman"/>
          <w:color w:val="auto"/>
          <w:highlight w:val="none"/>
        </w:rPr>
        <w:t>（3）资源利用上线</w:t>
      </w:r>
      <w:bookmarkEnd w:id="53"/>
      <w:bookmarkEnd w:id="54"/>
    </w:p>
    <w:p w14:paraId="2E68D76B">
      <w:pPr>
        <w:keepNext w:val="0"/>
        <w:keepLines w:val="0"/>
        <w:pageBreakBefore w:val="0"/>
        <w:widowControl w:val="0"/>
        <w:kinsoku/>
        <w:wordWrap/>
        <w:overflowPunct/>
        <w:topLinePunct/>
        <w:autoSpaceDE/>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本项目不属于高能耗、高污染、</w:t>
      </w:r>
      <w:r>
        <w:rPr>
          <w:rFonts w:hint="default" w:ascii="Times New Roman" w:hAnsi="Times New Roman" w:eastAsia="宋体" w:cs="Times New Roman"/>
          <w:color w:val="auto"/>
          <w:sz w:val="24"/>
          <w:highlight w:val="none"/>
          <w:lang w:eastAsia="zh-CN"/>
        </w:rPr>
        <w:t>资源型</w:t>
      </w:r>
      <w:r>
        <w:rPr>
          <w:rFonts w:hint="default" w:ascii="Times New Roman" w:hAnsi="Times New Roman" w:eastAsia="宋体" w:cs="Times New Roman"/>
          <w:color w:val="auto"/>
          <w:sz w:val="24"/>
          <w:highlight w:val="none"/>
        </w:rPr>
        <w:t>项目，用水来源为自备水井</w:t>
      </w:r>
      <w:r>
        <w:rPr>
          <w:rFonts w:hint="default" w:ascii="Times New Roman" w:hAnsi="Times New Roman" w:eastAsia="宋体" w:cs="Times New Roman"/>
          <w:color w:val="0000FF"/>
          <w:sz w:val="24"/>
          <w:highlight w:val="none"/>
          <w:lang w:eastAsia="zh-CN"/>
        </w:rPr>
        <w:t>（</w:t>
      </w:r>
      <w:r>
        <w:rPr>
          <w:rFonts w:hint="default" w:ascii="Times New Roman" w:hAnsi="Times New Roman" w:eastAsia="宋体" w:cs="Times New Roman"/>
          <w:color w:val="0000FF"/>
          <w:highlight w:val="none"/>
          <w:lang w:eastAsia="zh-CN"/>
        </w:rPr>
        <w:t>《取水许可证》</w:t>
      </w:r>
      <w:r>
        <w:rPr>
          <w:rFonts w:hint="default" w:ascii="Times New Roman" w:hAnsi="Times New Roman" w:eastAsia="宋体" w:cs="Times New Roman"/>
          <w:color w:val="0000FF"/>
          <w:highlight w:val="none"/>
          <w:lang w:val="en-US" w:eastAsia="zh-CN"/>
        </w:rPr>
        <w:t>取水乌前</w:t>
      </w:r>
      <w:r>
        <w:rPr>
          <w:rFonts w:hint="default" w:ascii="Times New Roman" w:hAnsi="Times New Roman" w:eastAsia="宋体" w:cs="Times New Roman"/>
          <w:color w:val="0000FF"/>
          <w:highlight w:val="none"/>
          <w:lang w:eastAsia="zh-CN"/>
        </w:rPr>
        <w:t>[20</w:t>
      </w:r>
      <w:r>
        <w:rPr>
          <w:rFonts w:hint="default" w:ascii="Times New Roman" w:hAnsi="Times New Roman" w:eastAsia="宋体" w:cs="Times New Roman"/>
          <w:color w:val="0000FF"/>
          <w:highlight w:val="none"/>
          <w:lang w:val="en-US" w:eastAsia="zh-CN"/>
        </w:rPr>
        <w:t>07</w:t>
      </w:r>
      <w:r>
        <w:rPr>
          <w:rFonts w:hint="default" w:ascii="Times New Roman" w:hAnsi="Times New Roman" w:eastAsia="宋体" w:cs="Times New Roman"/>
          <w:color w:val="0000FF"/>
          <w:highlight w:val="none"/>
          <w:lang w:eastAsia="zh-CN"/>
        </w:rPr>
        <w:t>]第</w:t>
      </w:r>
      <w:r>
        <w:rPr>
          <w:rFonts w:hint="default" w:ascii="Times New Roman" w:hAnsi="Times New Roman" w:eastAsia="宋体" w:cs="Times New Roman"/>
          <w:color w:val="0000FF"/>
          <w:highlight w:val="none"/>
          <w:lang w:val="en-US" w:eastAsia="zh-CN"/>
        </w:rPr>
        <w:t>01170</w:t>
      </w:r>
      <w:r>
        <w:rPr>
          <w:rFonts w:hint="default" w:ascii="Times New Roman" w:hAnsi="Times New Roman" w:eastAsia="宋体" w:cs="Times New Roman"/>
          <w:color w:val="0000FF"/>
          <w:highlight w:val="none"/>
          <w:lang w:eastAsia="zh-CN"/>
        </w:rPr>
        <w:t>号</w:t>
      </w:r>
      <w:r>
        <w:rPr>
          <w:rFonts w:hint="default" w:ascii="Times New Roman" w:hAnsi="Times New Roman" w:eastAsia="宋体" w:cs="Times New Roman"/>
          <w:color w:val="0000FF"/>
          <w:sz w:val="24"/>
          <w:highlight w:val="none"/>
          <w:lang w:eastAsia="zh-CN"/>
        </w:rPr>
        <w:t>）</w:t>
      </w:r>
      <w:r>
        <w:rPr>
          <w:rFonts w:hint="default" w:ascii="Times New Roman" w:hAnsi="Times New Roman" w:eastAsia="宋体" w:cs="Times New Roman"/>
          <w:color w:val="auto"/>
          <w:sz w:val="24"/>
          <w:highlight w:val="none"/>
        </w:rPr>
        <w:t>，主要用水环节为职工用水、牛群饮用水</w:t>
      </w:r>
      <w:r>
        <w:rPr>
          <w:rFonts w:hint="default" w:ascii="Times New Roman" w:hAnsi="Times New Roman" w:eastAsia="宋体" w:cs="Times New Roman"/>
          <w:color w:val="auto"/>
          <w:sz w:val="24"/>
          <w:highlight w:val="none"/>
          <w:lang w:eastAsia="zh-CN"/>
        </w:rPr>
        <w:t>、绿化用水</w:t>
      </w:r>
      <w:r>
        <w:rPr>
          <w:rFonts w:hint="default" w:ascii="Times New Roman" w:hAnsi="Times New Roman" w:eastAsia="宋体" w:cs="Times New Roman"/>
          <w:color w:val="auto"/>
          <w:sz w:val="24"/>
          <w:highlight w:val="none"/>
        </w:rPr>
        <w:t>等，新鲜用水量较少，能够满足本项目的新鲜水使用要求。本项目用电由市政电网供应，能够满足本项目的用电要求。项目产生的粪污经堆肥后，用作有机肥用于农田施肥，全部资源利用。</w:t>
      </w:r>
    </w:p>
    <w:p w14:paraId="56844F4D">
      <w:pPr>
        <w:keepNext w:val="0"/>
        <w:keepLines w:val="0"/>
        <w:pageBreakBefore w:val="0"/>
        <w:widowControl w:val="0"/>
        <w:kinsoku/>
        <w:wordWrap/>
        <w:overflowPunct/>
        <w:topLinePunct/>
        <w:autoSpaceDE/>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项目建设和营运过程中采用节能材料和节能设备，能源消耗较低，符合资源利用上线不能突破的原则。</w:t>
      </w:r>
    </w:p>
    <w:p w14:paraId="4AFAA4BE">
      <w:pPr>
        <w:keepNext w:val="0"/>
        <w:keepLines w:val="0"/>
        <w:pageBreakBefore w:val="0"/>
        <w:widowControl w:val="0"/>
        <w:kinsoku/>
        <w:wordWrap/>
        <w:overflowPunct/>
        <w:topLinePunct/>
        <w:autoSpaceDN/>
        <w:bidi w:val="0"/>
        <w:adjustRightInd/>
        <w:snapToGrid w:val="0"/>
        <w:spacing w:line="360" w:lineRule="auto"/>
        <w:ind w:left="0" w:leftChars="0" w:right="0" w:rightChars="0" w:firstLine="480"/>
        <w:textAlignment w:val="auto"/>
        <w:outlineLvl w:val="2"/>
        <w:rPr>
          <w:rFonts w:hint="default" w:ascii="Times New Roman" w:hAnsi="Times New Roman" w:eastAsia="宋体" w:cs="Times New Roman"/>
          <w:color w:val="FF0000"/>
          <w:highlight w:val="none"/>
        </w:rPr>
      </w:pPr>
      <w:bookmarkStart w:id="55" w:name="_Toc28263"/>
      <w:bookmarkStart w:id="56" w:name="_Toc5566"/>
      <w:r>
        <w:rPr>
          <w:rFonts w:hint="default" w:ascii="Times New Roman" w:hAnsi="Times New Roman" w:eastAsia="宋体" w:cs="Times New Roman"/>
          <w:color w:val="FF0000"/>
          <w:highlight w:val="none"/>
        </w:rPr>
        <w:t>（4）</w:t>
      </w:r>
      <w:r>
        <w:rPr>
          <w:rFonts w:hint="default" w:ascii="Times New Roman" w:hAnsi="Times New Roman" w:eastAsia="宋体" w:cs="Times New Roman"/>
          <w:color w:val="FF0000"/>
          <w:highlight w:val="none"/>
          <w:lang w:eastAsia="zh-CN"/>
        </w:rPr>
        <w:t>生态环境准入清单</w:t>
      </w:r>
      <w:bookmarkEnd w:id="55"/>
      <w:bookmarkEnd w:id="56"/>
    </w:p>
    <w:p w14:paraId="2C68DBA5">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0000"/>
          <w:sz w:val="24"/>
          <w:szCs w:val="24"/>
          <w:highlight w:val="none"/>
          <w:shd w:val="clear" w:color="auto" w:fill="auto"/>
          <w:lang w:eastAsia="zh-CN"/>
        </w:rPr>
      </w:pPr>
      <w:r>
        <w:rPr>
          <w:rFonts w:hint="default" w:ascii="Times New Roman" w:hAnsi="Times New Roman" w:eastAsia="宋体" w:cs="Times New Roman"/>
          <w:color w:val="FF0000"/>
          <w:sz w:val="24"/>
          <w:szCs w:val="24"/>
          <w:highlight w:val="none"/>
          <w:shd w:val="clear" w:color="auto" w:fill="auto"/>
          <w:lang w:eastAsia="zh-CN"/>
        </w:rPr>
        <w:t>本项目厂区位于巴彦淖尔市乌拉特前旗大佘太镇马卜子村，根据《巴彦淖尔市人民政府办公室关于巴彦淖尔市2023年生态环境分区管控成果动态更新的通知》（巴政办字〔2023〕106号），巴彦淖尔市全市共划定环境管控单元256个，包括优先保护单元、重点管控单元、一般管控单元三类，实施分类管控</w:t>
      </w:r>
      <w:r>
        <w:rPr>
          <w:rFonts w:hint="default" w:ascii="Times New Roman" w:hAnsi="Times New Roman" w:eastAsia="宋体" w:cs="Times New Roman"/>
          <w:color w:val="FF0000"/>
          <w:sz w:val="24"/>
          <w:szCs w:val="24"/>
          <w:highlight w:val="none"/>
          <w:shd w:val="clear" w:color="auto" w:fill="auto"/>
          <w:lang w:eastAsia="zh-CN"/>
        </w:rPr>
        <w:t>。</w:t>
      </w:r>
    </w:p>
    <w:p w14:paraId="5897C80E">
      <w:pPr>
        <w:keepNext w:val="0"/>
        <w:keepLines w:val="0"/>
        <w:pageBreakBefore w:val="0"/>
        <w:widowControl w:val="0"/>
        <w:kinsoku/>
        <w:wordWrap/>
        <w:overflowPunct/>
        <w:topLinePunct w:val="0"/>
        <w:autoSpaceDE/>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FF0000"/>
          <w:sz w:val="24"/>
          <w:szCs w:val="24"/>
          <w:highlight w:val="none"/>
          <w:lang w:eastAsia="zh-CN"/>
        </w:rPr>
        <w:t>根据查阅巴彦淖尔市环境管控单元图，本项目位于</w:t>
      </w:r>
      <w:r>
        <w:rPr>
          <w:rFonts w:hint="default" w:ascii="Times New Roman" w:hAnsi="Times New Roman" w:eastAsia="宋体" w:cs="Times New Roman"/>
          <w:color w:val="FF0000"/>
          <w:sz w:val="24"/>
          <w:szCs w:val="24"/>
          <w:highlight w:val="none"/>
          <w:lang w:eastAsia="zh-CN"/>
        </w:rPr>
        <w:t>大佘太镇采矿用地</w:t>
      </w:r>
      <w:r>
        <w:rPr>
          <w:rFonts w:hint="default" w:ascii="Times New Roman" w:hAnsi="Times New Roman" w:eastAsia="宋体" w:cs="Times New Roman"/>
          <w:color w:val="FF0000"/>
          <w:sz w:val="24"/>
          <w:szCs w:val="24"/>
          <w:highlight w:val="none"/>
          <w:lang w:eastAsia="zh-CN"/>
        </w:rPr>
        <w:t>环境管控单元，管控单元类别为</w:t>
      </w:r>
      <w:r>
        <w:rPr>
          <w:rFonts w:hint="default" w:ascii="Times New Roman" w:hAnsi="Times New Roman" w:eastAsia="宋体" w:cs="Times New Roman"/>
          <w:color w:val="FF0000"/>
          <w:sz w:val="24"/>
          <w:szCs w:val="24"/>
          <w:highlight w:val="none"/>
          <w:lang w:val="en-US" w:eastAsia="zh-CN"/>
        </w:rPr>
        <w:t>重点管控</w:t>
      </w:r>
      <w:r>
        <w:rPr>
          <w:rFonts w:hint="default" w:ascii="Times New Roman" w:hAnsi="Times New Roman" w:eastAsia="宋体" w:cs="Times New Roman"/>
          <w:color w:val="FF0000"/>
          <w:sz w:val="24"/>
          <w:szCs w:val="24"/>
          <w:highlight w:val="none"/>
          <w:lang w:eastAsia="zh-CN"/>
        </w:rPr>
        <w:t>单元，</w:t>
      </w:r>
      <w:r>
        <w:rPr>
          <w:rFonts w:hint="default" w:ascii="Times New Roman" w:hAnsi="Times New Roman" w:eastAsia="宋体" w:cs="Times New Roman"/>
          <w:color w:val="FF0000"/>
          <w:highlight w:val="none"/>
          <w:lang w:eastAsia="zh-CN"/>
        </w:rPr>
        <w:t>环境管控单元编码ZH15082320009，</w:t>
      </w:r>
      <w:r>
        <w:rPr>
          <w:rFonts w:hint="default" w:ascii="Times New Roman" w:hAnsi="Times New Roman" w:eastAsia="宋体" w:cs="Times New Roman"/>
          <w:color w:val="FF0000"/>
          <w:sz w:val="24"/>
          <w:szCs w:val="24"/>
          <w:highlight w:val="none"/>
          <w:lang w:eastAsia="zh-CN"/>
        </w:rPr>
        <w:t>本项目生态环境准入清单符合性见下表。</w:t>
      </w:r>
    </w:p>
    <w:p w14:paraId="230F38A1">
      <w:pPr>
        <w:keepNext w:val="0"/>
        <w:keepLines w:val="0"/>
        <w:pageBreakBefore w:val="0"/>
        <w:widowControl w:val="0"/>
        <w:kinsoku/>
        <w:wordWrap/>
        <w:overflowPunct/>
        <w:topLinePunct w:val="0"/>
        <w:autoSpaceDE/>
        <w:autoSpaceDN/>
        <w:bidi w:val="0"/>
        <w:adjustRightInd/>
        <w:snapToGrid w:val="0"/>
        <w:spacing w:line="36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drawing>
          <wp:inline distT="0" distB="0" distL="114300" distR="114300">
            <wp:extent cx="5255895" cy="3310890"/>
            <wp:effectExtent l="0" t="0" r="1905" b="3810"/>
            <wp:docPr id="69" name="图片 69" descr="ff8db89fd53360386be3d80d2f7db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ff8db89fd53360386be3d80d2f7dbc0"/>
                    <pic:cNvPicPr>
                      <a:picLocks noChangeAspect="1"/>
                    </pic:cNvPicPr>
                  </pic:nvPicPr>
                  <pic:blipFill>
                    <a:blip r:embed="rId13"/>
                    <a:stretch>
                      <a:fillRect/>
                    </a:stretch>
                  </pic:blipFill>
                  <pic:spPr>
                    <a:xfrm>
                      <a:off x="0" y="0"/>
                      <a:ext cx="5255895" cy="3310890"/>
                    </a:xfrm>
                    <a:prstGeom prst="rect">
                      <a:avLst/>
                    </a:prstGeom>
                  </pic:spPr>
                </pic:pic>
              </a:graphicData>
            </a:graphic>
          </wp:inline>
        </w:drawing>
      </w:r>
    </w:p>
    <w:p w14:paraId="6EF087B0">
      <w:pPr>
        <w:keepNext w:val="0"/>
        <w:keepLines w:val="0"/>
        <w:pageBreakBefore w:val="0"/>
        <w:widowControl w:val="0"/>
        <w:tabs>
          <w:tab w:val="left" w:pos="4252"/>
          <w:tab w:val="left" w:pos="6271"/>
        </w:tabs>
        <w:kinsoku/>
        <w:wordWrap/>
        <w:overflowPunct/>
        <w:topLinePunct w:val="0"/>
        <w:autoSpaceDE/>
        <w:autoSpaceDN/>
        <w:bidi w:val="0"/>
        <w:adjustRightInd/>
        <w:snapToGrid w:val="0"/>
        <w:spacing w:line="360" w:lineRule="auto"/>
        <w:ind w:left="0" w:leftChars="0" w:right="0" w:right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1.4-1</w:t>
      </w:r>
      <w:r>
        <w:rPr>
          <w:rFonts w:hint="default" w:ascii="Times New Roman" w:hAnsi="Times New Roman" w:eastAsia="宋体" w:cs="Times New Roman"/>
          <w:b/>
          <w:bCs/>
          <w:color w:val="auto"/>
          <w:sz w:val="24"/>
          <w:szCs w:val="24"/>
          <w:highlight w:val="none"/>
        </w:rPr>
        <w:t>巴彦淖尔市总体准入要求</w:t>
      </w:r>
      <w:r>
        <w:rPr>
          <w:rFonts w:hint="default" w:ascii="Times New Roman" w:hAnsi="Times New Roman" w:eastAsia="宋体" w:cs="Times New Roman"/>
          <w:b/>
          <w:bCs/>
          <w:color w:val="auto"/>
          <w:sz w:val="24"/>
          <w:szCs w:val="24"/>
          <w:highlight w:val="none"/>
          <w:lang w:eastAsia="zh-CN"/>
        </w:rPr>
        <w:t>符合性分析</w:t>
      </w:r>
      <w:r>
        <w:rPr>
          <w:rFonts w:hint="default" w:ascii="Times New Roman" w:hAnsi="Times New Roman" w:eastAsia="宋体" w:cs="Times New Roman"/>
          <w:b/>
          <w:bCs/>
          <w:color w:val="auto"/>
          <w:sz w:val="24"/>
          <w:szCs w:val="24"/>
          <w:highlight w:val="none"/>
        </w:rPr>
        <w:t>表</w:t>
      </w:r>
    </w:p>
    <w:tbl>
      <w:tblPr>
        <w:tblStyle w:val="40"/>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8"/>
        <w:gridCol w:w="4423"/>
        <w:gridCol w:w="2497"/>
        <w:gridCol w:w="679"/>
      </w:tblGrid>
      <w:tr w14:paraId="3BFEE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8" w:type="dxa"/>
            <w:noWrap w:val="0"/>
            <w:vAlign w:val="center"/>
          </w:tcPr>
          <w:p w14:paraId="4FC70D6C">
            <w:pPr>
              <w:keepNext w:val="0"/>
              <w:keepLines w:val="0"/>
              <w:pageBreakBefore w:val="0"/>
              <w:widowControl/>
              <w:suppressLineNumbers w:val="0"/>
              <w:kinsoku/>
              <w:wordWrap/>
              <w:overflowPunct/>
              <w:topLinePunct w:val="0"/>
              <w:autoSpaceDE/>
              <w:autoSpaceDN/>
              <w:bidi w:val="0"/>
              <w:adjustRightInd/>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FF"/>
                <w:kern w:val="0"/>
                <w:sz w:val="21"/>
                <w:szCs w:val="21"/>
                <w:highlight w:val="none"/>
                <w:lang w:val="en-US" w:eastAsia="zh-CN"/>
              </w:rPr>
            </w:pPr>
            <w:r>
              <w:rPr>
                <w:rFonts w:hint="default" w:ascii="Times New Roman" w:hAnsi="Times New Roman" w:eastAsia="宋体" w:cs="Times New Roman"/>
                <w:b/>
                <w:bCs/>
                <w:color w:val="0000FF"/>
                <w:kern w:val="0"/>
                <w:sz w:val="21"/>
                <w:szCs w:val="21"/>
                <w:highlight w:val="none"/>
                <w:lang w:val="en-US" w:eastAsia="zh-CN"/>
              </w:rPr>
              <w:t>管控类型</w:t>
            </w:r>
          </w:p>
        </w:tc>
        <w:tc>
          <w:tcPr>
            <w:tcW w:w="4423" w:type="dxa"/>
            <w:noWrap w:val="0"/>
            <w:vAlign w:val="center"/>
          </w:tcPr>
          <w:p w14:paraId="14A90087">
            <w:pPr>
              <w:keepNext w:val="0"/>
              <w:keepLines w:val="0"/>
              <w:pageBreakBefore w:val="0"/>
              <w:widowControl/>
              <w:suppressLineNumbers w:val="0"/>
              <w:kinsoku/>
              <w:wordWrap/>
              <w:overflowPunct/>
              <w:topLinePunct w:val="0"/>
              <w:autoSpaceDE/>
              <w:autoSpaceDN/>
              <w:bidi w:val="0"/>
              <w:adjustRightInd/>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FF"/>
                <w:kern w:val="0"/>
                <w:sz w:val="21"/>
                <w:szCs w:val="21"/>
                <w:highlight w:val="none"/>
                <w:lang w:val="en-US" w:eastAsia="zh-CN"/>
              </w:rPr>
            </w:pPr>
            <w:r>
              <w:rPr>
                <w:rFonts w:hint="default" w:ascii="Times New Roman" w:hAnsi="Times New Roman" w:eastAsia="宋体" w:cs="Times New Roman"/>
                <w:b/>
                <w:bCs/>
                <w:color w:val="0000FF"/>
                <w:kern w:val="0"/>
                <w:sz w:val="21"/>
                <w:szCs w:val="21"/>
                <w:highlight w:val="none"/>
                <w:lang w:val="en-US" w:eastAsia="zh-CN"/>
              </w:rPr>
              <w:t>管控要求</w:t>
            </w:r>
          </w:p>
        </w:tc>
        <w:tc>
          <w:tcPr>
            <w:tcW w:w="2497" w:type="dxa"/>
            <w:noWrap w:val="0"/>
            <w:vAlign w:val="center"/>
          </w:tcPr>
          <w:p w14:paraId="20E4F603">
            <w:pPr>
              <w:keepNext w:val="0"/>
              <w:keepLines w:val="0"/>
              <w:pageBreakBefore w:val="0"/>
              <w:widowControl/>
              <w:suppressLineNumbers w:val="0"/>
              <w:kinsoku/>
              <w:wordWrap/>
              <w:overflowPunct/>
              <w:topLinePunct w:val="0"/>
              <w:autoSpaceDE/>
              <w:autoSpaceDN/>
              <w:bidi w:val="0"/>
              <w:adjustRightInd/>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FF"/>
                <w:kern w:val="0"/>
                <w:sz w:val="21"/>
                <w:szCs w:val="21"/>
                <w:highlight w:val="none"/>
                <w:lang w:val="en-US" w:eastAsia="zh-CN"/>
              </w:rPr>
            </w:pPr>
            <w:r>
              <w:rPr>
                <w:rFonts w:hint="default" w:ascii="Times New Roman" w:hAnsi="Times New Roman" w:eastAsia="宋体" w:cs="Times New Roman"/>
                <w:b/>
                <w:bCs/>
                <w:color w:val="0000FF"/>
                <w:kern w:val="0"/>
                <w:sz w:val="21"/>
                <w:szCs w:val="21"/>
                <w:highlight w:val="none"/>
                <w:lang w:val="en-US" w:eastAsia="zh-CN"/>
              </w:rPr>
              <w:t>本项目情况</w:t>
            </w:r>
          </w:p>
        </w:tc>
        <w:tc>
          <w:tcPr>
            <w:tcW w:w="679" w:type="dxa"/>
            <w:noWrap w:val="0"/>
            <w:vAlign w:val="center"/>
          </w:tcPr>
          <w:p w14:paraId="65D8442D">
            <w:pPr>
              <w:keepNext w:val="0"/>
              <w:keepLines w:val="0"/>
              <w:pageBreakBefore w:val="0"/>
              <w:widowControl/>
              <w:suppressLineNumbers w:val="0"/>
              <w:kinsoku/>
              <w:wordWrap/>
              <w:overflowPunct/>
              <w:topLinePunct w:val="0"/>
              <w:autoSpaceDE/>
              <w:autoSpaceDN/>
              <w:bidi w:val="0"/>
              <w:adjustRightInd/>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FF"/>
                <w:kern w:val="0"/>
                <w:sz w:val="21"/>
                <w:szCs w:val="21"/>
                <w:highlight w:val="none"/>
                <w:lang w:val="en-US" w:eastAsia="zh-CN"/>
              </w:rPr>
            </w:pPr>
            <w:r>
              <w:rPr>
                <w:rFonts w:hint="default" w:ascii="Times New Roman" w:hAnsi="Times New Roman" w:eastAsia="宋体" w:cs="Times New Roman"/>
                <w:b/>
                <w:bCs/>
                <w:color w:val="0000FF"/>
                <w:kern w:val="0"/>
                <w:sz w:val="21"/>
                <w:szCs w:val="21"/>
                <w:highlight w:val="none"/>
                <w:lang w:val="en-US" w:eastAsia="zh-CN"/>
              </w:rPr>
              <w:t>符合性</w:t>
            </w:r>
          </w:p>
        </w:tc>
      </w:tr>
      <w:tr w14:paraId="6E094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8" w:type="dxa"/>
            <w:noWrap w:val="0"/>
            <w:vAlign w:val="center"/>
          </w:tcPr>
          <w:p w14:paraId="5FEE795A">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FF"/>
                <w:kern w:val="0"/>
                <w:sz w:val="21"/>
                <w:szCs w:val="21"/>
                <w:highlight w:val="none"/>
                <w:lang w:val="en-US" w:eastAsia="zh-CN" w:bidi="ar-SA"/>
              </w:rPr>
            </w:pPr>
            <w:r>
              <w:rPr>
                <w:rFonts w:hint="default" w:ascii="Times New Roman" w:hAnsi="Times New Roman" w:eastAsia="宋体" w:cs="Times New Roman"/>
                <w:b w:val="0"/>
                <w:bCs w:val="0"/>
                <w:color w:val="0000FF"/>
                <w:kern w:val="0"/>
                <w:sz w:val="21"/>
                <w:szCs w:val="21"/>
                <w:highlight w:val="none"/>
                <w:lang w:val="en-US" w:eastAsia="zh-CN"/>
              </w:rPr>
              <w:t>总体要求</w:t>
            </w:r>
          </w:p>
        </w:tc>
        <w:tc>
          <w:tcPr>
            <w:tcW w:w="4423" w:type="dxa"/>
            <w:noWrap w:val="0"/>
            <w:vAlign w:val="center"/>
          </w:tcPr>
          <w:p w14:paraId="21BA356A">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b w:val="0"/>
                <w:bCs w:val="0"/>
                <w:color w:val="0000FF"/>
                <w:kern w:val="0"/>
                <w:sz w:val="21"/>
                <w:szCs w:val="21"/>
                <w:highlight w:val="none"/>
                <w:lang w:val="en-US" w:eastAsia="zh-CN"/>
              </w:rPr>
            </w:pPr>
            <w:r>
              <w:rPr>
                <w:rFonts w:hint="default" w:ascii="Times New Roman" w:hAnsi="Times New Roman" w:eastAsia="宋体" w:cs="Times New Roman"/>
                <w:b w:val="0"/>
                <w:bCs w:val="0"/>
                <w:color w:val="0000FF"/>
                <w:kern w:val="0"/>
                <w:sz w:val="21"/>
                <w:szCs w:val="21"/>
                <w:highlight w:val="none"/>
                <w:lang w:val="en-US" w:eastAsia="zh-CN"/>
              </w:rPr>
              <w:t>1、根据《内蒙古自治区进一步规范化工行业项目建设的若干规定》，现有园区扩大面积的，要与黄河中上游流域巴彦淖尔段及主要支流岸线至少保持1公里距离。</w:t>
            </w:r>
          </w:p>
          <w:p w14:paraId="7C183289">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b w:val="0"/>
                <w:bCs w:val="0"/>
                <w:color w:val="0000FF"/>
                <w:kern w:val="0"/>
                <w:sz w:val="21"/>
                <w:szCs w:val="21"/>
                <w:highlight w:val="none"/>
                <w:lang w:val="en-US" w:eastAsia="zh-CN"/>
              </w:rPr>
            </w:pPr>
            <w:r>
              <w:rPr>
                <w:rFonts w:hint="default" w:ascii="Times New Roman" w:hAnsi="Times New Roman" w:eastAsia="宋体" w:cs="Times New Roman"/>
                <w:b w:val="0"/>
                <w:bCs w:val="0"/>
                <w:color w:val="0000FF"/>
                <w:kern w:val="0"/>
                <w:sz w:val="21"/>
                <w:szCs w:val="21"/>
                <w:highlight w:val="none"/>
                <w:lang w:val="en-US" w:eastAsia="zh-CN"/>
              </w:rPr>
              <w:t>2、新建、改建、扩建“两高”项目须符合生态环境保护法律法规和相关法定规划，满足重点污染物排放总量控制、碳排放达峰目标、生态环境准入清单、相关规划环评和相应行业建设项目环境准入条件、环评文件审批要求。新建、扩建石化、化工、焦化、有色金属冶炼、平板玻璃项目应布设在依法合规设立并经规划环评的产业园区。化工园区（集中区）外已认定为化工重点监控点的企业，在项目审批、建设和管理方面参照化工园区内企业执行。企业可按照化工项目建设管理有关规定，依法依规在厂区内或紧邻厂区新建、改扩建现有装备同类产品、产业链延链补链、循环经济利用、安全环保节能项目，但原则上不能新建上游产业。</w:t>
            </w:r>
          </w:p>
          <w:p w14:paraId="31DD400B">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b w:val="0"/>
                <w:bCs w:val="0"/>
                <w:color w:val="0000FF"/>
                <w:kern w:val="0"/>
                <w:sz w:val="21"/>
                <w:szCs w:val="21"/>
                <w:highlight w:val="none"/>
                <w:lang w:val="en-US" w:eastAsia="zh-CN"/>
              </w:rPr>
            </w:pPr>
            <w:r>
              <w:rPr>
                <w:rFonts w:hint="default" w:ascii="Times New Roman" w:hAnsi="Times New Roman" w:eastAsia="宋体" w:cs="Times New Roman"/>
                <w:b w:val="0"/>
                <w:bCs w:val="0"/>
                <w:color w:val="0000FF"/>
                <w:kern w:val="0"/>
                <w:sz w:val="21"/>
                <w:szCs w:val="21"/>
                <w:highlight w:val="none"/>
                <w:lang w:val="en-US" w:eastAsia="zh-CN"/>
              </w:rPr>
              <w:t>3、为改善区域环境质量，严格控制“两高”项目新增主要污染物排放，确保环境影响报告书及其批复文件要求的主要污染物排放量区域削减措施落实到位。建设项目应满足区域、流域控制单元环境质量改善目标管理要求。所在区域、流域控制单元环境质量未达到国家或者地方环境质量标准的，建设项目应提出有效的区域削减方案，主要污染物实行区域倍量削减，确保项目投产后区域环境质量有改善。所在区域、流域控制单元环境质量达到国家或者地方环境质量标准的，原则上建设项目主要污染物实行区域等量削减，确保项目投产后区域环境质量不恶化。</w:t>
            </w:r>
          </w:p>
          <w:p w14:paraId="15A7B248">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b w:val="0"/>
                <w:bCs w:val="0"/>
                <w:color w:val="0000FF"/>
                <w:kern w:val="0"/>
                <w:sz w:val="21"/>
                <w:szCs w:val="21"/>
                <w:highlight w:val="none"/>
                <w:lang w:val="en-US" w:eastAsia="zh-CN"/>
              </w:rPr>
            </w:pPr>
            <w:r>
              <w:rPr>
                <w:rFonts w:hint="default" w:ascii="Times New Roman" w:hAnsi="Times New Roman" w:eastAsia="宋体" w:cs="Times New Roman"/>
                <w:b w:val="0"/>
                <w:bCs w:val="0"/>
                <w:color w:val="0000FF"/>
                <w:kern w:val="0"/>
                <w:sz w:val="21"/>
                <w:szCs w:val="21"/>
                <w:highlight w:val="none"/>
                <w:lang w:val="en-US" w:eastAsia="zh-CN"/>
              </w:rPr>
              <w:t>4、各类园区及建设项目选址应当符合当地国土空间规划。</w:t>
            </w:r>
          </w:p>
          <w:p w14:paraId="59693CF7">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b w:val="0"/>
                <w:bCs w:val="0"/>
                <w:color w:val="0000FF"/>
                <w:kern w:val="0"/>
                <w:sz w:val="21"/>
                <w:szCs w:val="21"/>
                <w:highlight w:val="none"/>
                <w:lang w:val="en-US" w:eastAsia="zh-CN"/>
              </w:rPr>
            </w:pPr>
            <w:r>
              <w:rPr>
                <w:rFonts w:hint="default" w:ascii="Times New Roman" w:hAnsi="Times New Roman" w:eastAsia="宋体" w:cs="Times New Roman"/>
                <w:b w:val="0"/>
                <w:bCs w:val="0"/>
                <w:color w:val="0000FF"/>
                <w:kern w:val="0"/>
                <w:sz w:val="21"/>
                <w:szCs w:val="21"/>
                <w:highlight w:val="none"/>
                <w:lang w:val="en-US" w:eastAsia="zh-CN"/>
              </w:rPr>
              <w:t>5、畜禽养殖禁养区内不得新建、扩建和改建各类畜禽养殖场，限养区内严格限制新建和扩建各类规模化畜禽养殖场。适养区内现有的各类畜禽养殖场必须落实污染防治措施，对污水、废渣和恶臭应进行定期监测，确保排放的污染物达到《畜禽养殖业污染物排放标准》（GB18596）的限值要求，并符合污染物排放总量控制要求。禁养区范围内的已建成的畜禽养殖场（小区）和养殖专业户，由所在地人民政府负责责令限期搬迁、关闭或取缔。</w:t>
            </w:r>
          </w:p>
          <w:p w14:paraId="20418C8E">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b w:val="0"/>
                <w:bCs w:val="0"/>
                <w:color w:val="0000FF"/>
                <w:kern w:val="0"/>
                <w:sz w:val="21"/>
                <w:szCs w:val="21"/>
                <w:highlight w:val="none"/>
                <w:lang w:val="en-US" w:eastAsia="zh-CN"/>
              </w:rPr>
            </w:pPr>
            <w:r>
              <w:rPr>
                <w:rFonts w:hint="default" w:ascii="Times New Roman" w:hAnsi="Times New Roman" w:eastAsia="宋体" w:cs="Times New Roman"/>
                <w:b w:val="0"/>
                <w:bCs w:val="0"/>
                <w:color w:val="0000FF"/>
                <w:kern w:val="0"/>
                <w:sz w:val="21"/>
                <w:szCs w:val="21"/>
                <w:highlight w:val="none"/>
                <w:lang w:val="en-US" w:eastAsia="zh-CN"/>
              </w:rPr>
              <w:t>6、建设对环境有影响的项目，建设单位应当根据国家关于建设项目环境保护分类管理的规定，按照对环境造成影响的程度，组织编制环境影响报告书、环境影响报告表或者填写环境影响登记表。严格落实排污许可管理要求，加强排污许可证实施监管，督促企业采取有效措施控制污染物排放，达到排污许可证规定的许可排放量要求。</w:t>
            </w:r>
          </w:p>
          <w:p w14:paraId="12219FE8">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b w:val="0"/>
                <w:bCs w:val="0"/>
                <w:color w:val="0000FF"/>
                <w:kern w:val="0"/>
                <w:sz w:val="21"/>
                <w:szCs w:val="21"/>
                <w:highlight w:val="none"/>
                <w:lang w:val="en-US" w:eastAsia="zh-CN" w:bidi="ar-SA"/>
              </w:rPr>
            </w:pPr>
            <w:r>
              <w:rPr>
                <w:rFonts w:hint="default" w:ascii="Times New Roman" w:hAnsi="Times New Roman" w:eastAsia="宋体" w:cs="Times New Roman"/>
                <w:b w:val="0"/>
                <w:bCs w:val="0"/>
                <w:color w:val="0000FF"/>
                <w:kern w:val="0"/>
                <w:sz w:val="21"/>
                <w:szCs w:val="21"/>
                <w:highlight w:val="none"/>
                <w:lang w:val="en-US" w:eastAsia="zh-CN"/>
              </w:rPr>
              <w:t>7、入园项目需符合园区产业定位、布局、规划环评等；根据《内蒙古自治区“十四五”危险废物集中处置设施建设规划》，原则上限制新建、扩建危险废物焚烧、填埋、水泥窑协同等集中处置设施。</w:t>
            </w:r>
          </w:p>
        </w:tc>
        <w:tc>
          <w:tcPr>
            <w:tcW w:w="2497" w:type="dxa"/>
            <w:noWrap w:val="0"/>
            <w:vAlign w:val="center"/>
          </w:tcPr>
          <w:p w14:paraId="3118EC3C">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both"/>
              <w:textAlignment w:val="auto"/>
              <w:rPr>
                <w:rFonts w:hint="default" w:ascii="Times New Roman" w:hAnsi="Times New Roman" w:eastAsia="宋体" w:cs="Times New Roman"/>
                <w:b w:val="0"/>
                <w:bCs w:val="0"/>
                <w:color w:val="0000FF"/>
                <w:kern w:val="0"/>
                <w:sz w:val="21"/>
                <w:szCs w:val="21"/>
                <w:highlight w:val="none"/>
                <w:lang w:val="en-US" w:eastAsia="zh-CN"/>
              </w:rPr>
            </w:pPr>
            <w:r>
              <w:rPr>
                <w:rFonts w:hint="default" w:ascii="Times New Roman" w:hAnsi="Times New Roman" w:eastAsia="宋体" w:cs="Times New Roman"/>
                <w:b w:val="0"/>
                <w:bCs w:val="0"/>
                <w:color w:val="0000FF"/>
                <w:kern w:val="0"/>
                <w:sz w:val="21"/>
                <w:szCs w:val="21"/>
                <w:highlight w:val="none"/>
                <w:lang w:val="en-US" w:eastAsia="zh-CN"/>
              </w:rPr>
              <w:t>1、本项目为规模化肉牛养殖项目，不在化工园区范围内，同时也不涉及新化工园区的布局。</w:t>
            </w:r>
          </w:p>
          <w:p w14:paraId="7282AD91">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both"/>
              <w:textAlignment w:val="auto"/>
              <w:rPr>
                <w:rFonts w:hint="default" w:ascii="Times New Roman" w:hAnsi="Times New Roman" w:eastAsia="宋体" w:cs="Times New Roman"/>
                <w:b w:val="0"/>
                <w:bCs w:val="0"/>
                <w:color w:val="0000FF"/>
                <w:kern w:val="0"/>
                <w:sz w:val="21"/>
                <w:szCs w:val="21"/>
                <w:highlight w:val="none"/>
                <w:lang w:val="en-US" w:eastAsia="zh-CN"/>
              </w:rPr>
            </w:pPr>
            <w:r>
              <w:rPr>
                <w:rFonts w:hint="default" w:ascii="Times New Roman" w:hAnsi="Times New Roman" w:eastAsia="宋体" w:cs="Times New Roman"/>
                <w:b w:val="0"/>
                <w:bCs w:val="0"/>
                <w:color w:val="0000FF"/>
                <w:kern w:val="0"/>
                <w:sz w:val="21"/>
                <w:szCs w:val="21"/>
                <w:highlight w:val="none"/>
                <w:lang w:val="en-US" w:eastAsia="zh-CN"/>
              </w:rPr>
              <w:t>2、本项目为规模化肉牛养殖项目，不属于“两高”项目；不属于石化、化工、焦化、有色金属冶炼、平板玻璃项目。</w:t>
            </w:r>
          </w:p>
          <w:p w14:paraId="31232B85">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both"/>
              <w:textAlignment w:val="auto"/>
              <w:rPr>
                <w:rFonts w:hint="default" w:ascii="Times New Roman" w:hAnsi="Times New Roman" w:eastAsia="宋体" w:cs="Times New Roman"/>
                <w:b w:val="0"/>
                <w:bCs w:val="0"/>
                <w:color w:val="0000FF"/>
                <w:kern w:val="0"/>
                <w:sz w:val="21"/>
                <w:szCs w:val="21"/>
                <w:highlight w:val="none"/>
                <w:lang w:val="en-US" w:eastAsia="zh-CN"/>
              </w:rPr>
            </w:pPr>
            <w:r>
              <w:rPr>
                <w:rFonts w:hint="default" w:ascii="Times New Roman" w:hAnsi="Times New Roman" w:eastAsia="宋体" w:cs="Times New Roman"/>
                <w:b w:val="0"/>
                <w:bCs w:val="0"/>
                <w:color w:val="0000FF"/>
                <w:kern w:val="0"/>
                <w:sz w:val="21"/>
                <w:szCs w:val="21"/>
                <w:highlight w:val="none"/>
                <w:lang w:val="en-US" w:eastAsia="zh-CN"/>
              </w:rPr>
              <w:t>3、根据《巴彦淖尔市环境质量状况公报（2022年）》，本项目所在地巴彦淖尔市乌拉特前旗为达标区；各污染物排放量较小，并且在采取相应环保措施后，各污染物均可达标排放，不会造成区域环境质量恶化。</w:t>
            </w:r>
          </w:p>
          <w:p w14:paraId="3763D27E">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both"/>
              <w:textAlignment w:val="auto"/>
              <w:rPr>
                <w:rFonts w:hint="default" w:ascii="Times New Roman" w:hAnsi="Times New Roman" w:eastAsia="宋体" w:cs="Times New Roman"/>
                <w:b w:val="0"/>
                <w:bCs w:val="0"/>
                <w:color w:val="0000FF"/>
                <w:kern w:val="0"/>
                <w:sz w:val="21"/>
                <w:szCs w:val="21"/>
                <w:highlight w:val="none"/>
                <w:lang w:val="en-US" w:eastAsia="zh-CN"/>
              </w:rPr>
            </w:pPr>
            <w:r>
              <w:rPr>
                <w:rFonts w:hint="default" w:ascii="Times New Roman" w:hAnsi="Times New Roman" w:eastAsia="宋体" w:cs="Times New Roman"/>
                <w:b w:val="0"/>
                <w:bCs w:val="0"/>
                <w:color w:val="0000FF"/>
                <w:kern w:val="0"/>
                <w:sz w:val="21"/>
                <w:szCs w:val="21"/>
                <w:highlight w:val="none"/>
                <w:lang w:val="en-US" w:eastAsia="zh-CN"/>
              </w:rPr>
              <w:t>4、本项目位于内蒙古自治区巴彦淖尔市乌拉特前旗大佘太镇马卜子村，不占用基本农田</w:t>
            </w:r>
            <w:r>
              <w:rPr>
                <w:rFonts w:hint="default" w:ascii="Times New Roman" w:hAnsi="Times New Roman" w:eastAsia="宋体" w:cs="Times New Roman"/>
                <w:b w:val="0"/>
                <w:bCs w:val="0"/>
                <w:color w:val="0000FF"/>
                <w:kern w:val="0"/>
                <w:sz w:val="21"/>
                <w:szCs w:val="21"/>
                <w:highlight w:val="none"/>
                <w:lang w:val="en-US" w:eastAsia="zh-CN"/>
              </w:rPr>
              <w:t>。</w:t>
            </w:r>
          </w:p>
          <w:p w14:paraId="3E7A8937">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both"/>
              <w:textAlignment w:val="auto"/>
              <w:rPr>
                <w:rFonts w:hint="default" w:ascii="Times New Roman" w:hAnsi="Times New Roman" w:eastAsia="宋体" w:cs="Times New Roman"/>
                <w:b w:val="0"/>
                <w:bCs w:val="0"/>
                <w:color w:val="0000FF"/>
                <w:kern w:val="0"/>
                <w:sz w:val="21"/>
                <w:szCs w:val="21"/>
                <w:highlight w:val="none"/>
                <w:lang w:val="en-US" w:eastAsia="zh-CN"/>
              </w:rPr>
            </w:pPr>
            <w:r>
              <w:rPr>
                <w:rFonts w:hint="default" w:ascii="Times New Roman" w:hAnsi="Times New Roman" w:eastAsia="宋体" w:cs="Times New Roman"/>
                <w:b w:val="0"/>
                <w:bCs w:val="0"/>
                <w:color w:val="0000FF"/>
                <w:kern w:val="0"/>
                <w:sz w:val="21"/>
                <w:szCs w:val="21"/>
                <w:highlight w:val="none"/>
                <w:lang w:val="en-US" w:eastAsia="zh-CN"/>
              </w:rPr>
              <w:t>5、根据巴彦淖尔市生态环境局乌拉特前旗分局出具的《关于核实乌拉特前旗大佘太中海禾牧养殖专业合作社新建肉牛养殖项目是否位于禁养区的复函》（乌环字〔2023〕196号），本项目不在乌拉特前旗已调整的禁养区内；项目拟定的各项环保措施可行有效，项目所产生的污染物均能合规利用或达标排放并满足总量控制要求，对周边环境影响较小。</w:t>
            </w:r>
          </w:p>
          <w:p w14:paraId="1606785B">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both"/>
              <w:textAlignment w:val="auto"/>
              <w:rPr>
                <w:rFonts w:hint="default" w:ascii="Times New Roman" w:hAnsi="Times New Roman" w:eastAsia="宋体" w:cs="Times New Roman"/>
                <w:b w:val="0"/>
                <w:bCs w:val="0"/>
                <w:color w:val="0000FF"/>
                <w:kern w:val="0"/>
                <w:sz w:val="21"/>
                <w:szCs w:val="21"/>
                <w:highlight w:val="none"/>
                <w:lang w:val="en-US" w:eastAsia="zh-CN"/>
              </w:rPr>
            </w:pPr>
            <w:r>
              <w:rPr>
                <w:rFonts w:hint="default" w:ascii="Times New Roman" w:hAnsi="Times New Roman" w:eastAsia="宋体" w:cs="Times New Roman"/>
                <w:b w:val="0"/>
                <w:bCs w:val="0"/>
                <w:color w:val="0000FF"/>
                <w:kern w:val="0"/>
                <w:sz w:val="21"/>
                <w:szCs w:val="21"/>
                <w:highlight w:val="none"/>
                <w:lang w:val="en-US" w:eastAsia="zh-CN"/>
              </w:rPr>
              <w:t>6、</w:t>
            </w:r>
            <w:r>
              <w:rPr>
                <w:rFonts w:hint="default" w:ascii="Times New Roman" w:hAnsi="Times New Roman" w:eastAsia="宋体" w:cs="Times New Roman"/>
                <w:b w:val="0"/>
                <w:bCs w:val="0"/>
                <w:color w:val="0000FF"/>
                <w:kern w:val="0"/>
                <w:sz w:val="21"/>
                <w:szCs w:val="21"/>
                <w:highlight w:val="none"/>
                <w:lang w:val="en-US" w:eastAsia="zh-CN"/>
              </w:rPr>
              <w:t>根据《建设项目环境影响评价分类管理名录（2021年版）》，本项目应编制环境影响报告</w:t>
            </w:r>
            <w:r>
              <w:rPr>
                <w:rFonts w:hint="default" w:ascii="Times New Roman" w:hAnsi="Times New Roman" w:eastAsia="宋体" w:cs="Times New Roman"/>
                <w:b w:val="0"/>
                <w:bCs w:val="0"/>
                <w:color w:val="0000FF"/>
                <w:kern w:val="0"/>
                <w:sz w:val="21"/>
                <w:szCs w:val="21"/>
                <w:highlight w:val="none"/>
                <w:lang w:val="en-US" w:eastAsia="zh-CN"/>
              </w:rPr>
              <w:t>书</w:t>
            </w:r>
            <w:r>
              <w:rPr>
                <w:rFonts w:hint="default" w:ascii="Times New Roman" w:hAnsi="Times New Roman" w:eastAsia="宋体" w:cs="Times New Roman"/>
                <w:b w:val="0"/>
                <w:bCs w:val="0"/>
                <w:color w:val="0000FF"/>
                <w:kern w:val="0"/>
                <w:sz w:val="21"/>
                <w:szCs w:val="21"/>
                <w:highlight w:val="none"/>
                <w:lang w:val="en-US" w:eastAsia="zh-CN"/>
              </w:rPr>
              <w:t>，根据预测，本项目各污染物均可达标排放</w:t>
            </w:r>
            <w:r>
              <w:rPr>
                <w:rFonts w:hint="default" w:ascii="Times New Roman" w:hAnsi="Times New Roman" w:eastAsia="宋体" w:cs="Times New Roman"/>
                <w:b w:val="0"/>
                <w:bCs w:val="0"/>
                <w:color w:val="0000FF"/>
                <w:kern w:val="0"/>
                <w:sz w:val="21"/>
                <w:szCs w:val="21"/>
                <w:highlight w:val="none"/>
                <w:lang w:val="en-US" w:eastAsia="zh-CN"/>
              </w:rPr>
              <w:t>。</w:t>
            </w:r>
          </w:p>
          <w:p w14:paraId="78C1DDB1">
            <w:pPr>
              <w:keepNext w:val="0"/>
              <w:keepLines w:val="0"/>
              <w:pageBreakBefore w:val="0"/>
              <w:widowControl/>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both"/>
              <w:textAlignment w:val="auto"/>
              <w:rPr>
                <w:rFonts w:hint="default" w:ascii="Times New Roman" w:hAnsi="Times New Roman" w:eastAsia="宋体" w:cs="Times New Roman"/>
                <w:b w:val="0"/>
                <w:bCs w:val="0"/>
                <w:color w:val="0000FF"/>
                <w:kern w:val="0"/>
                <w:sz w:val="21"/>
                <w:szCs w:val="21"/>
                <w:highlight w:val="none"/>
                <w:lang w:val="en-US" w:eastAsia="zh-CN" w:bidi="ar-SA"/>
              </w:rPr>
            </w:pPr>
            <w:r>
              <w:rPr>
                <w:rFonts w:hint="default" w:ascii="Times New Roman" w:hAnsi="Times New Roman" w:eastAsia="宋体" w:cs="Times New Roman"/>
                <w:b w:val="0"/>
                <w:bCs w:val="0"/>
                <w:color w:val="0000FF"/>
                <w:kern w:val="0"/>
                <w:sz w:val="21"/>
                <w:szCs w:val="21"/>
                <w:highlight w:val="none"/>
                <w:lang w:val="en-US" w:eastAsia="zh-CN"/>
              </w:rPr>
              <w:t>7、本项目不在工业园区范围内。</w:t>
            </w:r>
          </w:p>
        </w:tc>
        <w:tc>
          <w:tcPr>
            <w:tcW w:w="679" w:type="dxa"/>
            <w:noWrap w:val="0"/>
            <w:vAlign w:val="center"/>
          </w:tcPr>
          <w:p w14:paraId="026E469C">
            <w:pPr>
              <w:keepNext w:val="0"/>
              <w:keepLines w:val="0"/>
              <w:pageBreakBefore w:val="0"/>
              <w:widowControl/>
              <w:suppressLineNumbers w:val="0"/>
              <w:kinsoku/>
              <w:wordWrap/>
              <w:overflowPunct/>
              <w:topLinePunct w:val="0"/>
              <w:autoSpaceDE/>
              <w:autoSpaceDN/>
              <w:bidi w:val="0"/>
              <w:adjustRightInd/>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FF"/>
                <w:kern w:val="0"/>
                <w:sz w:val="21"/>
                <w:szCs w:val="21"/>
                <w:highlight w:val="none"/>
                <w:lang w:val="en-US" w:eastAsia="zh-CN"/>
              </w:rPr>
            </w:pPr>
            <w:r>
              <w:rPr>
                <w:rFonts w:hint="default" w:ascii="Times New Roman" w:hAnsi="Times New Roman" w:eastAsia="宋体" w:cs="Times New Roman"/>
                <w:b w:val="0"/>
                <w:bCs w:val="0"/>
                <w:color w:val="0000FF"/>
                <w:kern w:val="0"/>
                <w:sz w:val="21"/>
                <w:szCs w:val="21"/>
                <w:highlight w:val="none"/>
                <w:lang w:val="en-US" w:eastAsia="zh-CN"/>
              </w:rPr>
              <w:t>符合</w:t>
            </w:r>
          </w:p>
        </w:tc>
      </w:tr>
    </w:tbl>
    <w:p w14:paraId="1FF44ADE">
      <w:pPr>
        <w:keepNext w:val="0"/>
        <w:keepLines w:val="0"/>
        <w:pageBreakBefore w:val="0"/>
        <w:widowControl w:val="0"/>
        <w:tabs>
          <w:tab w:val="left" w:pos="4252"/>
          <w:tab w:val="left" w:pos="6271"/>
        </w:tabs>
        <w:kinsoku/>
        <w:wordWrap/>
        <w:overflowPunct/>
        <w:topLinePunct w:val="0"/>
        <w:autoSpaceDE/>
        <w:autoSpaceDN/>
        <w:bidi w:val="0"/>
        <w:adjustRightInd/>
        <w:snapToGrid w:val="0"/>
        <w:spacing w:line="36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1.4-2大佘太镇采矿用地环境管控单元</w:t>
      </w:r>
      <w:r>
        <w:rPr>
          <w:rFonts w:hint="default" w:ascii="Times New Roman" w:hAnsi="Times New Roman" w:eastAsia="宋体" w:cs="Times New Roman"/>
          <w:b/>
          <w:bCs/>
          <w:color w:val="auto"/>
          <w:sz w:val="24"/>
          <w:szCs w:val="24"/>
          <w:highlight w:val="none"/>
        </w:rPr>
        <w:t>生态环境准入清单</w:t>
      </w:r>
      <w:r>
        <w:rPr>
          <w:rFonts w:hint="default" w:ascii="Times New Roman" w:hAnsi="Times New Roman" w:eastAsia="宋体" w:cs="Times New Roman"/>
          <w:b/>
          <w:bCs/>
          <w:color w:val="auto"/>
          <w:sz w:val="24"/>
          <w:szCs w:val="24"/>
          <w:highlight w:val="none"/>
          <w:lang w:eastAsia="zh-CN"/>
        </w:rPr>
        <w:t>符合性分析</w:t>
      </w:r>
      <w:r>
        <w:rPr>
          <w:rFonts w:hint="default" w:ascii="Times New Roman" w:hAnsi="Times New Roman" w:eastAsia="宋体" w:cs="Times New Roman"/>
          <w:b/>
          <w:bCs/>
          <w:color w:val="auto"/>
          <w:sz w:val="24"/>
          <w:szCs w:val="24"/>
          <w:highlight w:val="none"/>
        </w:rPr>
        <w:t>表</w:t>
      </w:r>
    </w:p>
    <w:tbl>
      <w:tblPr>
        <w:tblStyle w:val="40"/>
        <w:tblW w:w="8277" w:type="dxa"/>
        <w:jc w:val="center"/>
        <w:tblLayout w:type="fixed"/>
        <w:tblCellMar>
          <w:top w:w="0" w:type="dxa"/>
          <w:left w:w="108" w:type="dxa"/>
          <w:bottom w:w="0" w:type="dxa"/>
          <w:right w:w="108" w:type="dxa"/>
        </w:tblCellMar>
      </w:tblPr>
      <w:tblGrid>
        <w:gridCol w:w="597"/>
        <w:gridCol w:w="597"/>
        <w:gridCol w:w="598"/>
        <w:gridCol w:w="598"/>
        <w:gridCol w:w="571"/>
        <w:gridCol w:w="3036"/>
        <w:gridCol w:w="1682"/>
        <w:gridCol w:w="598"/>
      </w:tblGrid>
      <w:tr w14:paraId="44C6D556">
        <w:tblPrEx>
          <w:tblCellMar>
            <w:top w:w="0" w:type="dxa"/>
            <w:left w:w="108" w:type="dxa"/>
            <w:bottom w:w="0" w:type="dxa"/>
            <w:right w:w="108" w:type="dxa"/>
          </w:tblCellMar>
        </w:tblPrEx>
        <w:trPr>
          <w:trHeight w:val="340" w:hRule="atLeast"/>
          <w:jc w:val="center"/>
        </w:trPr>
        <w:tc>
          <w:tcPr>
            <w:tcW w:w="556" w:type="dxa"/>
            <w:tcBorders>
              <w:top w:val="single" w:color="auto" w:sz="4" w:space="0"/>
              <w:left w:val="single" w:color="auto" w:sz="4" w:space="0"/>
              <w:right w:val="single" w:color="000000" w:sz="4" w:space="0"/>
            </w:tcBorders>
            <w:noWrap w:val="0"/>
            <w:vAlign w:val="center"/>
          </w:tcPr>
          <w:p w14:paraId="2F11CB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FF0000"/>
                <w:kern w:val="0"/>
                <w:sz w:val="21"/>
                <w:szCs w:val="21"/>
                <w:highlight w:val="none"/>
                <w:lang w:val="en-US" w:eastAsia="zh-CN"/>
              </w:rPr>
            </w:pPr>
            <w:r>
              <w:rPr>
                <w:rFonts w:hint="default" w:ascii="Times New Roman" w:hAnsi="Times New Roman" w:eastAsia="宋体" w:cs="Times New Roman"/>
                <w:b/>
                <w:bCs/>
                <w:color w:val="FF0000"/>
                <w:kern w:val="0"/>
                <w:sz w:val="21"/>
                <w:szCs w:val="21"/>
                <w:highlight w:val="none"/>
                <w:lang w:val="en-US" w:eastAsia="zh-CN"/>
              </w:rPr>
              <w:t>环境管控单元编码</w:t>
            </w:r>
          </w:p>
        </w:tc>
        <w:tc>
          <w:tcPr>
            <w:tcW w:w="556" w:type="dxa"/>
            <w:tcBorders>
              <w:top w:val="single" w:color="auto" w:sz="4" w:space="0"/>
              <w:left w:val="single" w:color="000000" w:sz="4" w:space="0"/>
              <w:right w:val="single" w:color="000000" w:sz="4" w:space="0"/>
            </w:tcBorders>
            <w:noWrap w:val="0"/>
            <w:vAlign w:val="center"/>
          </w:tcPr>
          <w:p w14:paraId="1B422A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FF0000"/>
                <w:kern w:val="0"/>
                <w:sz w:val="21"/>
                <w:szCs w:val="21"/>
                <w:highlight w:val="none"/>
              </w:rPr>
            </w:pPr>
            <w:r>
              <w:rPr>
                <w:rFonts w:hint="default" w:ascii="Times New Roman" w:hAnsi="Times New Roman" w:eastAsia="宋体" w:cs="Times New Roman"/>
                <w:b/>
                <w:bCs/>
                <w:color w:val="FF0000"/>
                <w:kern w:val="0"/>
                <w:sz w:val="21"/>
                <w:szCs w:val="21"/>
                <w:highlight w:val="none"/>
                <w:lang w:val="en-US" w:eastAsia="zh-CN"/>
              </w:rPr>
              <w:t>环境管控单元名称</w:t>
            </w:r>
          </w:p>
        </w:tc>
        <w:tc>
          <w:tcPr>
            <w:tcW w:w="557" w:type="dxa"/>
            <w:tcBorders>
              <w:top w:val="single" w:color="auto" w:sz="4" w:space="0"/>
              <w:left w:val="single" w:color="000000" w:sz="4" w:space="0"/>
              <w:right w:val="single" w:color="000000" w:sz="4" w:space="0"/>
            </w:tcBorders>
            <w:noWrap w:val="0"/>
            <w:vAlign w:val="center"/>
          </w:tcPr>
          <w:p w14:paraId="618E6B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FF0000"/>
                <w:kern w:val="0"/>
                <w:sz w:val="21"/>
                <w:szCs w:val="21"/>
                <w:highlight w:val="none"/>
              </w:rPr>
            </w:pPr>
            <w:r>
              <w:rPr>
                <w:rFonts w:hint="default" w:ascii="Times New Roman" w:hAnsi="Times New Roman" w:eastAsia="宋体" w:cs="Times New Roman"/>
                <w:b/>
                <w:bCs/>
                <w:color w:val="FF0000"/>
                <w:kern w:val="0"/>
                <w:sz w:val="21"/>
                <w:szCs w:val="21"/>
                <w:highlight w:val="none"/>
                <w:lang w:val="en-US" w:eastAsia="zh-CN"/>
              </w:rPr>
              <w:t>管控单元类别</w:t>
            </w:r>
          </w:p>
        </w:tc>
        <w:tc>
          <w:tcPr>
            <w:tcW w:w="557" w:type="dxa"/>
            <w:tcBorders>
              <w:top w:val="single" w:color="auto" w:sz="4" w:space="0"/>
              <w:left w:val="single" w:color="000000" w:sz="4" w:space="0"/>
              <w:right w:val="single" w:color="000000" w:sz="4" w:space="0"/>
            </w:tcBorders>
            <w:noWrap w:val="0"/>
            <w:vAlign w:val="center"/>
          </w:tcPr>
          <w:p w14:paraId="2B6392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FF0000"/>
                <w:kern w:val="0"/>
                <w:sz w:val="21"/>
                <w:szCs w:val="21"/>
                <w:highlight w:val="none"/>
                <w:lang w:val="en-US" w:eastAsia="zh-CN"/>
              </w:rPr>
            </w:pPr>
            <w:r>
              <w:rPr>
                <w:rFonts w:hint="default" w:ascii="Times New Roman" w:hAnsi="Times New Roman" w:eastAsia="宋体" w:cs="Times New Roman"/>
                <w:b/>
                <w:bCs/>
                <w:color w:val="FF0000"/>
                <w:kern w:val="0"/>
                <w:sz w:val="21"/>
                <w:szCs w:val="21"/>
                <w:highlight w:val="none"/>
                <w:lang w:val="en-US" w:eastAsia="zh-CN"/>
              </w:rPr>
              <w:t>生态保护重点</w:t>
            </w:r>
          </w:p>
        </w:tc>
        <w:tc>
          <w:tcPr>
            <w:tcW w:w="3360" w:type="dxa"/>
            <w:gridSpan w:val="2"/>
            <w:tcBorders>
              <w:top w:val="single" w:color="auto" w:sz="4" w:space="0"/>
              <w:left w:val="single" w:color="000000" w:sz="4" w:space="0"/>
              <w:right w:val="single" w:color="000000" w:sz="4" w:space="0"/>
            </w:tcBorders>
            <w:noWrap w:val="0"/>
            <w:vAlign w:val="center"/>
          </w:tcPr>
          <w:p w14:paraId="51C486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FF0000"/>
                <w:kern w:val="0"/>
                <w:sz w:val="21"/>
                <w:szCs w:val="21"/>
                <w:highlight w:val="none"/>
                <w:lang w:val="en-US" w:eastAsia="zh-CN"/>
              </w:rPr>
            </w:pPr>
            <w:r>
              <w:rPr>
                <w:rFonts w:hint="default" w:ascii="Times New Roman" w:hAnsi="Times New Roman" w:eastAsia="宋体" w:cs="Times New Roman"/>
                <w:b/>
                <w:bCs/>
                <w:color w:val="FF0000"/>
                <w:kern w:val="0"/>
                <w:sz w:val="21"/>
                <w:szCs w:val="21"/>
                <w:highlight w:val="none"/>
                <w:lang w:val="en-US" w:eastAsia="zh-CN"/>
              </w:rPr>
              <w:t>环境管控要求</w:t>
            </w:r>
          </w:p>
        </w:tc>
        <w:tc>
          <w:tcPr>
            <w:tcW w:w="1567" w:type="dxa"/>
            <w:tcBorders>
              <w:top w:val="single" w:color="auto" w:sz="4" w:space="0"/>
              <w:left w:val="single" w:color="000000" w:sz="4" w:space="0"/>
              <w:right w:val="single" w:color="000000" w:sz="4" w:space="0"/>
            </w:tcBorders>
            <w:noWrap w:val="0"/>
            <w:vAlign w:val="center"/>
          </w:tcPr>
          <w:p w14:paraId="24F8AA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FF0000"/>
                <w:kern w:val="0"/>
                <w:sz w:val="21"/>
                <w:szCs w:val="21"/>
                <w:highlight w:val="none"/>
                <w:lang w:val="en-US" w:eastAsia="zh-CN"/>
              </w:rPr>
            </w:pPr>
            <w:r>
              <w:rPr>
                <w:rFonts w:hint="default" w:ascii="Times New Roman" w:hAnsi="Times New Roman" w:eastAsia="宋体" w:cs="Times New Roman"/>
                <w:b/>
                <w:bCs/>
                <w:color w:val="FF0000"/>
                <w:kern w:val="0"/>
                <w:sz w:val="21"/>
                <w:szCs w:val="21"/>
                <w:highlight w:val="none"/>
                <w:lang w:val="en-US" w:eastAsia="zh-CN"/>
              </w:rPr>
              <w:t>本项目情况</w:t>
            </w:r>
          </w:p>
        </w:tc>
        <w:tc>
          <w:tcPr>
            <w:tcW w:w="557" w:type="dxa"/>
            <w:tcBorders>
              <w:top w:val="single" w:color="auto" w:sz="4" w:space="0"/>
              <w:left w:val="single" w:color="000000" w:sz="4" w:space="0"/>
              <w:right w:val="single" w:color="auto" w:sz="4" w:space="0"/>
            </w:tcBorders>
            <w:noWrap w:val="0"/>
            <w:vAlign w:val="center"/>
          </w:tcPr>
          <w:p w14:paraId="41F824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FF0000"/>
                <w:kern w:val="0"/>
                <w:sz w:val="21"/>
                <w:szCs w:val="21"/>
                <w:highlight w:val="none"/>
                <w:lang w:val="en-US" w:eastAsia="zh-CN"/>
              </w:rPr>
            </w:pPr>
            <w:r>
              <w:rPr>
                <w:rFonts w:hint="default" w:ascii="Times New Roman" w:hAnsi="Times New Roman" w:eastAsia="宋体" w:cs="Times New Roman"/>
                <w:b/>
                <w:bCs/>
                <w:color w:val="FF0000"/>
                <w:kern w:val="0"/>
                <w:sz w:val="21"/>
                <w:szCs w:val="21"/>
                <w:highlight w:val="none"/>
                <w:lang w:val="en-US" w:eastAsia="zh-CN"/>
              </w:rPr>
              <w:t>符合性</w:t>
            </w:r>
          </w:p>
        </w:tc>
      </w:tr>
      <w:tr w14:paraId="0C7078F9">
        <w:tblPrEx>
          <w:tblCellMar>
            <w:top w:w="0" w:type="dxa"/>
            <w:left w:w="108" w:type="dxa"/>
            <w:bottom w:w="0" w:type="dxa"/>
            <w:right w:w="108" w:type="dxa"/>
          </w:tblCellMar>
        </w:tblPrEx>
        <w:trPr>
          <w:trHeight w:val="340" w:hRule="atLeast"/>
          <w:jc w:val="center"/>
        </w:trPr>
        <w:tc>
          <w:tcPr>
            <w:tcW w:w="556" w:type="dxa"/>
            <w:vMerge w:val="restart"/>
            <w:tcBorders>
              <w:top w:val="single" w:color="000000" w:sz="4" w:space="0"/>
              <w:left w:val="single" w:color="auto" w:sz="4" w:space="0"/>
              <w:right w:val="single" w:color="000000" w:sz="4" w:space="0"/>
            </w:tcBorders>
            <w:noWrap w:val="0"/>
            <w:vAlign w:val="center"/>
          </w:tcPr>
          <w:p w14:paraId="5110FC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ZH15082320009</w:t>
            </w:r>
          </w:p>
        </w:tc>
        <w:tc>
          <w:tcPr>
            <w:tcW w:w="556" w:type="dxa"/>
            <w:vMerge w:val="restart"/>
            <w:tcBorders>
              <w:top w:val="single" w:color="000000" w:sz="4" w:space="0"/>
              <w:left w:val="single" w:color="000000" w:sz="4" w:space="0"/>
              <w:right w:val="single" w:color="000000" w:sz="4" w:space="0"/>
            </w:tcBorders>
            <w:noWrap w:val="0"/>
            <w:vAlign w:val="center"/>
          </w:tcPr>
          <w:p w14:paraId="04078B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大佘太镇采矿用地</w:t>
            </w:r>
          </w:p>
        </w:tc>
        <w:tc>
          <w:tcPr>
            <w:tcW w:w="557" w:type="dxa"/>
            <w:vMerge w:val="restart"/>
            <w:tcBorders>
              <w:top w:val="single" w:color="000000" w:sz="4" w:space="0"/>
              <w:left w:val="single" w:color="000000" w:sz="4" w:space="0"/>
              <w:right w:val="single" w:color="000000" w:sz="4" w:space="0"/>
            </w:tcBorders>
            <w:noWrap w:val="0"/>
            <w:vAlign w:val="center"/>
          </w:tcPr>
          <w:p w14:paraId="645042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重点管控单元</w:t>
            </w:r>
          </w:p>
        </w:tc>
        <w:tc>
          <w:tcPr>
            <w:tcW w:w="557" w:type="dxa"/>
            <w:vMerge w:val="restart"/>
            <w:tcBorders>
              <w:top w:val="single" w:color="000000" w:sz="4" w:space="0"/>
              <w:left w:val="single" w:color="000000" w:sz="4" w:space="0"/>
              <w:right w:val="single" w:color="000000" w:sz="4" w:space="0"/>
            </w:tcBorders>
            <w:noWrap w:val="0"/>
            <w:vAlign w:val="center"/>
          </w:tcPr>
          <w:p w14:paraId="7665B8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生态用水</w:t>
            </w:r>
          </w:p>
          <w:p w14:paraId="157FF8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补给区、地下水开</w:t>
            </w:r>
          </w:p>
          <w:p w14:paraId="2C7CAF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采重点管</w:t>
            </w:r>
          </w:p>
          <w:p w14:paraId="4B1C4F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控区、土</w:t>
            </w:r>
          </w:p>
          <w:p w14:paraId="0FAE51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地资源重</w:t>
            </w:r>
          </w:p>
          <w:p w14:paraId="4FCAD2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点管控区</w:t>
            </w:r>
          </w:p>
          <w:p w14:paraId="61BDD7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p>
          <w:p w14:paraId="7B795C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p>
        </w:tc>
        <w:tc>
          <w:tcPr>
            <w:tcW w:w="532" w:type="dxa"/>
            <w:tcBorders>
              <w:top w:val="single" w:color="000000" w:sz="4" w:space="0"/>
              <w:left w:val="single" w:color="000000" w:sz="4" w:space="0"/>
              <w:bottom w:val="single" w:color="000000" w:sz="4" w:space="0"/>
              <w:right w:val="single" w:color="000000" w:sz="4" w:space="0"/>
            </w:tcBorders>
            <w:noWrap w:val="0"/>
            <w:vAlign w:val="center"/>
          </w:tcPr>
          <w:p w14:paraId="4CF1D4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空间布局约束</w:t>
            </w:r>
          </w:p>
        </w:tc>
        <w:tc>
          <w:tcPr>
            <w:tcW w:w="2828" w:type="dxa"/>
            <w:tcBorders>
              <w:top w:val="single" w:color="000000" w:sz="4" w:space="0"/>
              <w:left w:val="single" w:color="000000" w:sz="4" w:space="0"/>
              <w:bottom w:val="single" w:color="000000" w:sz="4" w:space="0"/>
              <w:right w:val="single" w:color="000000" w:sz="4" w:space="0"/>
            </w:tcBorders>
            <w:noWrap w:val="0"/>
            <w:vAlign w:val="center"/>
          </w:tcPr>
          <w:p w14:paraId="67FE41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1、执行全市总体准入要求中关于空间布局约束的准入要求。</w:t>
            </w:r>
          </w:p>
          <w:p w14:paraId="0F67AA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2、满足国家、内蒙古自治区、巴彦淖尔市新能源相关规划要求。</w:t>
            </w:r>
          </w:p>
          <w:p w14:paraId="2987CB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3、非经国务院授权的有关主管部门同意，不得在以下地区开采矿产资源：（1）机场、国防工程建设设施圈定地区以内；（2）重要工业区、大型水利工程设施、城镇市政工程设施附近一定距离以内；（3）铁路、重要公路两侧一定距离以内；（4）重要河流、堤坝两侧一定距离以内；（5）国家划定的自然保护区、重要风景名胜区，国家重点保护的不能移动的历史文物和名胜古迹所在地；（6）国家规定不得开采矿产资源的其他地区。</w:t>
            </w:r>
          </w:p>
          <w:p w14:paraId="54F4F4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4、矿产资源开发布局应符合矿产资源总体规划要求。严格限制矿产资源开发项目，确需开采的矿产资源及必须就地开展矿产加工的新建、改建、扩建项目，应严格控制区域开发规模。</w:t>
            </w:r>
          </w:p>
          <w:p w14:paraId="21E88E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5、全面推进绿色矿山建设，新建矿山全部按照绿色矿山建设标准建设，加强生产矿山地质环境治理，督促矿山做到边生产、边治理、边复垦，按绿色矿山建设标准改造升级，加强矿产资源开发利用全过程地质环境保护的监督管理。新建矿山生产规模应达到最低开采规模要求。</w:t>
            </w:r>
          </w:p>
        </w:tc>
        <w:tc>
          <w:tcPr>
            <w:tcW w:w="1567" w:type="dxa"/>
            <w:tcBorders>
              <w:top w:val="single" w:color="000000" w:sz="4" w:space="0"/>
              <w:left w:val="single" w:color="000000" w:sz="4" w:space="0"/>
              <w:bottom w:val="single" w:color="000000" w:sz="4" w:space="0"/>
              <w:right w:val="single" w:color="000000" w:sz="4" w:space="0"/>
            </w:tcBorders>
            <w:noWrap w:val="0"/>
            <w:vAlign w:val="center"/>
          </w:tcPr>
          <w:p w14:paraId="1AB792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1、本项目选址符合全市总体准入要求中关于空间布局约束的准入要求；</w:t>
            </w:r>
          </w:p>
          <w:p w14:paraId="6413E4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2、</w:t>
            </w:r>
            <w:r>
              <w:rPr>
                <w:rFonts w:hint="default" w:ascii="Times New Roman" w:hAnsi="Times New Roman" w:eastAsia="宋体" w:cs="Times New Roman"/>
                <w:color w:val="FF0000"/>
                <w:kern w:val="0"/>
                <w:sz w:val="21"/>
                <w:szCs w:val="21"/>
                <w:highlight w:val="none"/>
                <w:lang w:val="en-US" w:eastAsia="zh-CN"/>
              </w:rPr>
              <w:t>本项目属于规模化肉牛养殖项目，</w:t>
            </w:r>
            <w:r>
              <w:rPr>
                <w:rFonts w:hint="default" w:ascii="Times New Roman" w:hAnsi="Times New Roman" w:eastAsia="宋体" w:cs="Times New Roman"/>
                <w:color w:val="FF0000"/>
                <w:kern w:val="0"/>
                <w:sz w:val="21"/>
                <w:szCs w:val="21"/>
                <w:highlight w:val="none"/>
                <w:lang w:val="en-US" w:eastAsia="zh-CN"/>
              </w:rPr>
              <w:t>不涉及新能源相关规划要求。</w:t>
            </w:r>
          </w:p>
          <w:p w14:paraId="129A2C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3、</w:t>
            </w:r>
            <w:r>
              <w:rPr>
                <w:rFonts w:hint="default" w:ascii="Times New Roman" w:hAnsi="Times New Roman" w:eastAsia="宋体" w:cs="Times New Roman"/>
                <w:color w:val="FF0000"/>
                <w:kern w:val="0"/>
                <w:sz w:val="21"/>
                <w:szCs w:val="21"/>
                <w:highlight w:val="none"/>
                <w:lang w:val="en-US" w:eastAsia="zh-CN"/>
              </w:rPr>
              <w:t>本项目</w:t>
            </w:r>
            <w:r>
              <w:rPr>
                <w:rFonts w:hint="default" w:ascii="Times New Roman" w:hAnsi="Times New Roman" w:eastAsia="宋体" w:cs="Times New Roman"/>
                <w:color w:val="FF0000"/>
                <w:kern w:val="0"/>
                <w:sz w:val="21"/>
                <w:szCs w:val="21"/>
                <w:highlight w:val="none"/>
                <w:lang w:val="en-US" w:eastAsia="zh-CN"/>
              </w:rPr>
              <w:t>不涉及</w:t>
            </w:r>
            <w:r>
              <w:rPr>
                <w:rFonts w:hint="default" w:ascii="Times New Roman" w:hAnsi="Times New Roman" w:eastAsia="宋体" w:cs="Times New Roman"/>
                <w:color w:val="FF0000"/>
                <w:kern w:val="0"/>
                <w:sz w:val="21"/>
                <w:szCs w:val="21"/>
                <w:highlight w:val="none"/>
                <w:lang w:val="en-US" w:eastAsia="zh-CN" w:bidi="ar-SA"/>
              </w:rPr>
              <w:t>开采矿产资源。</w:t>
            </w:r>
          </w:p>
          <w:p w14:paraId="2C4953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4、</w:t>
            </w:r>
            <w:r>
              <w:rPr>
                <w:rFonts w:hint="default" w:ascii="Times New Roman" w:hAnsi="Times New Roman" w:eastAsia="宋体" w:cs="Times New Roman"/>
                <w:color w:val="FF0000"/>
                <w:kern w:val="0"/>
                <w:sz w:val="21"/>
                <w:szCs w:val="21"/>
                <w:highlight w:val="none"/>
                <w:lang w:val="en-US" w:eastAsia="zh-CN"/>
              </w:rPr>
              <w:t>本项目</w:t>
            </w:r>
            <w:r>
              <w:rPr>
                <w:rFonts w:hint="default" w:ascii="Times New Roman" w:hAnsi="Times New Roman" w:eastAsia="宋体" w:cs="Times New Roman"/>
                <w:color w:val="FF0000"/>
                <w:kern w:val="0"/>
                <w:sz w:val="21"/>
                <w:szCs w:val="21"/>
                <w:highlight w:val="none"/>
                <w:lang w:val="en-US" w:eastAsia="zh-CN"/>
              </w:rPr>
              <w:t>不</w:t>
            </w:r>
            <w:r>
              <w:rPr>
                <w:rFonts w:hint="default" w:ascii="Times New Roman" w:hAnsi="Times New Roman" w:eastAsia="宋体" w:cs="Times New Roman"/>
                <w:color w:val="FF0000"/>
                <w:kern w:val="0"/>
                <w:sz w:val="21"/>
                <w:szCs w:val="21"/>
                <w:highlight w:val="none"/>
                <w:lang w:val="en-US" w:eastAsia="zh-CN"/>
              </w:rPr>
              <w:t>属于</w:t>
            </w:r>
            <w:r>
              <w:rPr>
                <w:rFonts w:hint="default" w:ascii="Times New Roman" w:hAnsi="Times New Roman" w:eastAsia="宋体" w:cs="Times New Roman"/>
                <w:color w:val="FF0000"/>
                <w:kern w:val="0"/>
                <w:sz w:val="21"/>
                <w:szCs w:val="21"/>
                <w:highlight w:val="none"/>
                <w:lang w:val="en-US" w:eastAsia="zh-CN" w:bidi="ar-SA"/>
              </w:rPr>
              <w:t>矿产资源开发项目。</w:t>
            </w:r>
          </w:p>
          <w:p w14:paraId="1CC56B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5、</w:t>
            </w:r>
            <w:r>
              <w:rPr>
                <w:rFonts w:hint="default" w:ascii="Times New Roman" w:hAnsi="Times New Roman" w:eastAsia="宋体" w:cs="Times New Roman"/>
                <w:color w:val="FF0000"/>
                <w:kern w:val="0"/>
                <w:sz w:val="21"/>
                <w:szCs w:val="21"/>
                <w:highlight w:val="none"/>
                <w:lang w:val="en-US" w:eastAsia="zh-CN"/>
              </w:rPr>
              <w:t>本项目</w:t>
            </w:r>
            <w:r>
              <w:rPr>
                <w:rFonts w:hint="default" w:ascii="Times New Roman" w:hAnsi="Times New Roman" w:eastAsia="宋体" w:cs="Times New Roman"/>
                <w:color w:val="FF0000"/>
                <w:kern w:val="0"/>
                <w:sz w:val="21"/>
                <w:szCs w:val="21"/>
                <w:highlight w:val="none"/>
                <w:lang w:val="en-US" w:eastAsia="zh-CN"/>
              </w:rPr>
              <w:t>不涉及</w:t>
            </w:r>
            <w:r>
              <w:rPr>
                <w:rFonts w:hint="default" w:ascii="Times New Roman" w:hAnsi="Times New Roman" w:eastAsia="宋体" w:cs="Times New Roman"/>
                <w:color w:val="FF0000"/>
                <w:kern w:val="0"/>
                <w:sz w:val="21"/>
                <w:szCs w:val="21"/>
                <w:highlight w:val="none"/>
                <w:lang w:val="en-US" w:eastAsia="zh-CN" w:bidi="ar-SA"/>
              </w:rPr>
              <w:t>矿山建设</w:t>
            </w:r>
            <w:r>
              <w:rPr>
                <w:rFonts w:hint="default" w:ascii="Times New Roman" w:hAnsi="Times New Roman" w:eastAsia="宋体" w:cs="Times New Roman"/>
                <w:color w:val="FF0000"/>
                <w:kern w:val="0"/>
                <w:sz w:val="21"/>
                <w:szCs w:val="21"/>
                <w:highlight w:val="none"/>
                <w:lang w:val="en-US" w:eastAsia="zh-CN"/>
              </w:rPr>
              <w:t>。</w:t>
            </w:r>
          </w:p>
        </w:tc>
        <w:tc>
          <w:tcPr>
            <w:tcW w:w="557" w:type="dxa"/>
            <w:tcBorders>
              <w:top w:val="single" w:color="000000" w:sz="4" w:space="0"/>
              <w:left w:val="single" w:color="000000" w:sz="4" w:space="0"/>
              <w:bottom w:val="single" w:color="000000" w:sz="4" w:space="0"/>
              <w:right w:val="single" w:color="auto" w:sz="4" w:space="0"/>
            </w:tcBorders>
            <w:noWrap w:val="0"/>
            <w:vAlign w:val="center"/>
          </w:tcPr>
          <w:p w14:paraId="2F0BC8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符合</w:t>
            </w:r>
          </w:p>
        </w:tc>
      </w:tr>
      <w:tr w14:paraId="016E4B8B">
        <w:tblPrEx>
          <w:tblCellMar>
            <w:top w:w="0" w:type="dxa"/>
            <w:left w:w="108" w:type="dxa"/>
            <w:bottom w:w="0" w:type="dxa"/>
            <w:right w:w="108" w:type="dxa"/>
          </w:tblCellMar>
        </w:tblPrEx>
        <w:trPr>
          <w:trHeight w:val="340" w:hRule="atLeast"/>
          <w:jc w:val="center"/>
        </w:trPr>
        <w:tc>
          <w:tcPr>
            <w:tcW w:w="556" w:type="dxa"/>
            <w:vMerge w:val="continue"/>
            <w:tcBorders>
              <w:left w:val="single" w:color="auto" w:sz="4" w:space="0"/>
              <w:right w:val="single" w:color="000000" w:sz="4" w:space="0"/>
            </w:tcBorders>
            <w:noWrap w:val="0"/>
            <w:vAlign w:val="center"/>
          </w:tcPr>
          <w:p w14:paraId="35692A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sz w:val="21"/>
                <w:szCs w:val="21"/>
                <w:highlight w:val="none"/>
                <w:lang w:eastAsia="zh-CN"/>
              </w:rPr>
            </w:pPr>
          </w:p>
        </w:tc>
        <w:tc>
          <w:tcPr>
            <w:tcW w:w="556" w:type="dxa"/>
            <w:vMerge w:val="continue"/>
            <w:tcBorders>
              <w:left w:val="single" w:color="000000" w:sz="4" w:space="0"/>
              <w:right w:val="single" w:color="000000" w:sz="4" w:space="0"/>
            </w:tcBorders>
            <w:noWrap w:val="0"/>
            <w:vAlign w:val="center"/>
          </w:tcPr>
          <w:p w14:paraId="25AE37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p>
        </w:tc>
        <w:tc>
          <w:tcPr>
            <w:tcW w:w="557" w:type="dxa"/>
            <w:vMerge w:val="continue"/>
            <w:tcBorders>
              <w:left w:val="single" w:color="000000" w:sz="4" w:space="0"/>
              <w:right w:val="single" w:color="000000" w:sz="4" w:space="0"/>
            </w:tcBorders>
            <w:noWrap w:val="0"/>
            <w:vAlign w:val="center"/>
          </w:tcPr>
          <w:p w14:paraId="3EB05C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p>
        </w:tc>
        <w:tc>
          <w:tcPr>
            <w:tcW w:w="557" w:type="dxa"/>
            <w:vMerge w:val="continue"/>
            <w:tcBorders>
              <w:left w:val="single" w:color="000000" w:sz="4" w:space="0"/>
              <w:right w:val="single" w:color="000000" w:sz="4" w:space="0"/>
            </w:tcBorders>
            <w:noWrap w:val="0"/>
            <w:vAlign w:val="center"/>
          </w:tcPr>
          <w:p w14:paraId="75A09B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p>
        </w:tc>
        <w:tc>
          <w:tcPr>
            <w:tcW w:w="532" w:type="dxa"/>
            <w:tcBorders>
              <w:top w:val="single" w:color="000000" w:sz="4" w:space="0"/>
              <w:left w:val="single" w:color="000000" w:sz="4" w:space="0"/>
              <w:bottom w:val="single" w:color="000000" w:sz="4" w:space="0"/>
              <w:right w:val="single" w:color="000000" w:sz="4" w:space="0"/>
            </w:tcBorders>
            <w:noWrap w:val="0"/>
            <w:vAlign w:val="center"/>
          </w:tcPr>
          <w:p w14:paraId="7F9794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污染</w:t>
            </w:r>
          </w:p>
          <w:p w14:paraId="61B394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物排</w:t>
            </w:r>
          </w:p>
          <w:p w14:paraId="06C3D1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放管</w:t>
            </w:r>
          </w:p>
          <w:p w14:paraId="60B900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控</w:t>
            </w:r>
          </w:p>
        </w:tc>
        <w:tc>
          <w:tcPr>
            <w:tcW w:w="2828" w:type="dxa"/>
            <w:tcBorders>
              <w:top w:val="single" w:color="000000" w:sz="4" w:space="0"/>
              <w:left w:val="single" w:color="000000" w:sz="4" w:space="0"/>
              <w:bottom w:val="single" w:color="000000" w:sz="4" w:space="0"/>
              <w:right w:val="single" w:color="000000" w:sz="4" w:space="0"/>
            </w:tcBorders>
            <w:noWrap w:val="0"/>
            <w:vAlign w:val="center"/>
          </w:tcPr>
          <w:p w14:paraId="79A242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1、矿产资源勘查以及采选过程中排土场、露天采场、尾矿库、矿区专用道路、矿山工业场地、沉陷区、矸石场、矿山污染场地等的生态环境保护与治理恢复工作须满足《矿山生态环境保护与治理恢复技术规范（试行）》（HJ651-2013）要求。</w:t>
            </w:r>
          </w:p>
          <w:p w14:paraId="00AD4C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2、落实边开采、边治理要求，要求新建、在建矿山损毁土地严格按照《矿山地质环境保护与土地复垦方案》做到应治尽治。</w:t>
            </w:r>
          </w:p>
          <w:p w14:paraId="12D13F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3、禁止采用污染和破坏矿山环境的方法开采矿产资源。矿山“三废”得到有效处理，污染物排放达标。矿山服务到期闭坑前，要按方案要求对矿区内破坏单元进行相应治理，加强矿山环境监测。</w:t>
            </w:r>
          </w:p>
          <w:p w14:paraId="4A1BED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4、自2023年起，重点区域铅锌冶炼和铜冶炼行业企业，执行颗粒物和重点重金属污染物特别排放限制。</w:t>
            </w:r>
          </w:p>
          <w:p w14:paraId="575FEB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5、新建、改建、扩建重点行业建设项目遵循重点重金属污染物排放“等量替代”原则。建设单位在提交环境影响评价文件时应明确重点重金属污染物排放总量及来源。无明确具体总量来源的，各级生态环境部门不得批准相关环境影响评价文件。禁止新建用汞的电石法（聚）氯乙烯生产工艺项目。新建、扩建的重有色金属冶炼、电镀、制革企业优先布设在依法合规设立并经规划环评的产业园区。</w:t>
            </w:r>
          </w:p>
          <w:p w14:paraId="33A72A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6、重点重金属污染物包括铅、汞、镉、铬、砷、铊和锑，其中对铅、汞、镉、铬、砷五种重金属污染物排放量实施总量控制。</w:t>
            </w:r>
          </w:p>
        </w:tc>
        <w:tc>
          <w:tcPr>
            <w:tcW w:w="1567" w:type="dxa"/>
            <w:tcBorders>
              <w:top w:val="single" w:color="000000" w:sz="4" w:space="0"/>
              <w:left w:val="single" w:color="000000" w:sz="4" w:space="0"/>
              <w:bottom w:val="single" w:color="000000" w:sz="4" w:space="0"/>
              <w:right w:val="single" w:color="000000" w:sz="4" w:space="0"/>
            </w:tcBorders>
            <w:noWrap w:val="0"/>
            <w:vAlign w:val="center"/>
          </w:tcPr>
          <w:p w14:paraId="2704D5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1、</w:t>
            </w:r>
            <w:r>
              <w:rPr>
                <w:rFonts w:hint="default" w:ascii="Times New Roman" w:hAnsi="Times New Roman" w:eastAsia="宋体" w:cs="Times New Roman"/>
                <w:color w:val="FF0000"/>
                <w:kern w:val="0"/>
                <w:sz w:val="21"/>
                <w:szCs w:val="21"/>
                <w:highlight w:val="none"/>
                <w:lang w:val="en-US" w:eastAsia="zh-CN"/>
              </w:rPr>
              <w:t>本项目属于规模化肉牛养殖项目，不</w:t>
            </w:r>
            <w:r>
              <w:rPr>
                <w:rFonts w:hint="default" w:ascii="Times New Roman" w:hAnsi="Times New Roman" w:eastAsia="宋体" w:cs="Times New Roman"/>
                <w:color w:val="FF0000"/>
                <w:kern w:val="0"/>
                <w:sz w:val="21"/>
                <w:szCs w:val="21"/>
                <w:highlight w:val="none"/>
                <w:lang w:val="en-US" w:eastAsia="zh-CN"/>
              </w:rPr>
              <w:t>涉及</w:t>
            </w:r>
            <w:r>
              <w:rPr>
                <w:rFonts w:hint="default" w:ascii="Times New Roman" w:hAnsi="Times New Roman" w:eastAsia="宋体" w:cs="Times New Roman"/>
                <w:color w:val="FF0000"/>
                <w:kern w:val="0"/>
                <w:sz w:val="21"/>
                <w:szCs w:val="21"/>
                <w:highlight w:val="none"/>
                <w:lang w:val="en-US" w:eastAsia="zh-CN" w:bidi="ar-SA"/>
              </w:rPr>
              <w:t>矿产资源勘查以及采选。</w:t>
            </w:r>
          </w:p>
          <w:p w14:paraId="40E508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2、</w:t>
            </w:r>
            <w:r>
              <w:rPr>
                <w:rFonts w:hint="default" w:ascii="Times New Roman" w:hAnsi="Times New Roman" w:eastAsia="宋体" w:cs="Times New Roman"/>
                <w:color w:val="FF0000"/>
                <w:kern w:val="0"/>
                <w:sz w:val="21"/>
                <w:szCs w:val="21"/>
                <w:highlight w:val="none"/>
                <w:lang w:val="en-US" w:eastAsia="zh-CN"/>
              </w:rPr>
              <w:t>本项目</w:t>
            </w:r>
            <w:r>
              <w:rPr>
                <w:rFonts w:hint="default" w:ascii="Times New Roman" w:hAnsi="Times New Roman" w:eastAsia="宋体" w:cs="Times New Roman"/>
                <w:color w:val="FF0000"/>
                <w:kern w:val="0"/>
                <w:sz w:val="21"/>
                <w:szCs w:val="21"/>
                <w:highlight w:val="none"/>
                <w:lang w:val="en-US" w:eastAsia="zh-CN"/>
              </w:rPr>
              <w:t>不</w:t>
            </w:r>
            <w:r>
              <w:rPr>
                <w:rFonts w:hint="default" w:ascii="Times New Roman" w:hAnsi="Times New Roman" w:eastAsia="宋体" w:cs="Times New Roman"/>
                <w:color w:val="FF0000"/>
                <w:kern w:val="0"/>
                <w:sz w:val="21"/>
                <w:szCs w:val="21"/>
                <w:highlight w:val="none"/>
                <w:lang w:val="en-US" w:eastAsia="zh-CN"/>
              </w:rPr>
              <w:t>属于</w:t>
            </w:r>
            <w:r>
              <w:rPr>
                <w:rFonts w:hint="default" w:ascii="Times New Roman" w:hAnsi="Times New Roman" w:eastAsia="宋体" w:cs="Times New Roman"/>
                <w:color w:val="FF0000"/>
                <w:kern w:val="0"/>
                <w:sz w:val="21"/>
                <w:szCs w:val="21"/>
                <w:highlight w:val="none"/>
                <w:lang w:val="en-US" w:eastAsia="zh-CN" w:bidi="ar-SA"/>
              </w:rPr>
              <w:t>矿山企业。</w:t>
            </w:r>
          </w:p>
          <w:p w14:paraId="0AA9A4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3、</w:t>
            </w:r>
            <w:r>
              <w:rPr>
                <w:rFonts w:hint="default" w:ascii="Times New Roman" w:hAnsi="Times New Roman" w:eastAsia="宋体" w:cs="Times New Roman"/>
                <w:color w:val="FF0000"/>
                <w:kern w:val="0"/>
                <w:sz w:val="21"/>
                <w:szCs w:val="21"/>
                <w:highlight w:val="none"/>
                <w:lang w:val="en-US" w:eastAsia="zh-CN"/>
              </w:rPr>
              <w:t>本项目不</w:t>
            </w:r>
            <w:r>
              <w:rPr>
                <w:rFonts w:hint="default" w:ascii="Times New Roman" w:hAnsi="Times New Roman" w:eastAsia="宋体" w:cs="Times New Roman"/>
                <w:color w:val="FF0000"/>
                <w:kern w:val="0"/>
                <w:sz w:val="21"/>
                <w:szCs w:val="21"/>
                <w:highlight w:val="none"/>
                <w:lang w:val="en-US" w:eastAsia="zh-CN"/>
              </w:rPr>
              <w:t>涉及</w:t>
            </w:r>
            <w:r>
              <w:rPr>
                <w:rFonts w:hint="default" w:ascii="Times New Roman" w:hAnsi="Times New Roman" w:eastAsia="宋体" w:cs="Times New Roman"/>
                <w:color w:val="FF0000"/>
                <w:kern w:val="0"/>
                <w:sz w:val="21"/>
                <w:szCs w:val="21"/>
                <w:highlight w:val="none"/>
                <w:lang w:val="en-US" w:eastAsia="zh-CN" w:bidi="ar-SA"/>
              </w:rPr>
              <w:t>开采矿产资源。</w:t>
            </w:r>
          </w:p>
          <w:p w14:paraId="2A7E33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4、</w:t>
            </w:r>
            <w:r>
              <w:rPr>
                <w:rFonts w:hint="default" w:ascii="Times New Roman" w:hAnsi="Times New Roman" w:eastAsia="宋体" w:cs="Times New Roman"/>
                <w:color w:val="FF0000"/>
                <w:kern w:val="0"/>
                <w:sz w:val="21"/>
                <w:szCs w:val="21"/>
                <w:highlight w:val="none"/>
                <w:lang w:val="en-US" w:eastAsia="zh-CN"/>
              </w:rPr>
              <w:t>本项目</w:t>
            </w:r>
            <w:r>
              <w:rPr>
                <w:rFonts w:hint="default" w:ascii="Times New Roman" w:hAnsi="Times New Roman" w:eastAsia="宋体" w:cs="Times New Roman"/>
                <w:color w:val="FF0000"/>
                <w:kern w:val="0"/>
                <w:sz w:val="21"/>
                <w:szCs w:val="21"/>
                <w:highlight w:val="none"/>
                <w:lang w:val="en-US" w:eastAsia="zh-CN"/>
              </w:rPr>
              <w:t>不</w:t>
            </w:r>
            <w:r>
              <w:rPr>
                <w:rFonts w:hint="default" w:ascii="Times New Roman" w:hAnsi="Times New Roman" w:eastAsia="宋体" w:cs="Times New Roman"/>
                <w:color w:val="FF0000"/>
                <w:kern w:val="0"/>
                <w:sz w:val="21"/>
                <w:szCs w:val="21"/>
                <w:highlight w:val="none"/>
                <w:lang w:val="en-US" w:eastAsia="zh-CN"/>
              </w:rPr>
              <w:t>属于</w:t>
            </w:r>
            <w:r>
              <w:rPr>
                <w:rFonts w:hint="default" w:ascii="Times New Roman" w:hAnsi="Times New Roman" w:eastAsia="宋体" w:cs="Times New Roman"/>
                <w:color w:val="FF0000"/>
                <w:kern w:val="0"/>
                <w:sz w:val="21"/>
                <w:szCs w:val="21"/>
                <w:highlight w:val="none"/>
                <w:lang w:val="en-US" w:eastAsia="zh-CN" w:bidi="ar-SA"/>
              </w:rPr>
              <w:t>铅锌冶炼和铜冶炼行业企业。</w:t>
            </w:r>
          </w:p>
          <w:p w14:paraId="1E7001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5、</w:t>
            </w:r>
            <w:r>
              <w:rPr>
                <w:rFonts w:hint="default" w:ascii="Times New Roman" w:hAnsi="Times New Roman" w:eastAsia="宋体" w:cs="Times New Roman"/>
                <w:color w:val="FF0000"/>
                <w:kern w:val="0"/>
                <w:sz w:val="21"/>
                <w:szCs w:val="21"/>
                <w:highlight w:val="none"/>
                <w:lang w:val="en-US" w:eastAsia="zh-CN"/>
              </w:rPr>
              <w:t>本项目属于规模化肉牛养殖项目，</w:t>
            </w:r>
            <w:r>
              <w:rPr>
                <w:rFonts w:hint="default" w:ascii="Times New Roman" w:hAnsi="Times New Roman" w:eastAsia="宋体" w:cs="Times New Roman"/>
                <w:color w:val="FF0000"/>
                <w:kern w:val="0"/>
                <w:sz w:val="21"/>
                <w:szCs w:val="21"/>
                <w:highlight w:val="none"/>
                <w:lang w:val="en-US" w:eastAsia="zh-CN"/>
              </w:rPr>
              <w:t>不属于</w:t>
            </w:r>
            <w:r>
              <w:rPr>
                <w:rFonts w:hint="default" w:ascii="Times New Roman" w:hAnsi="Times New Roman" w:eastAsia="宋体" w:cs="Times New Roman"/>
                <w:color w:val="FF0000"/>
                <w:kern w:val="0"/>
                <w:sz w:val="21"/>
                <w:szCs w:val="21"/>
                <w:highlight w:val="none"/>
                <w:lang w:val="en-US" w:eastAsia="zh-CN" w:bidi="ar-SA"/>
              </w:rPr>
              <w:t>重点行业建设项目。</w:t>
            </w:r>
          </w:p>
          <w:p w14:paraId="5F1463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6、本项目不涉及</w:t>
            </w:r>
            <w:r>
              <w:rPr>
                <w:rFonts w:hint="default" w:ascii="Times New Roman" w:hAnsi="Times New Roman" w:eastAsia="宋体" w:cs="Times New Roman"/>
                <w:color w:val="FF0000"/>
                <w:kern w:val="0"/>
                <w:sz w:val="21"/>
                <w:szCs w:val="21"/>
                <w:highlight w:val="none"/>
                <w:lang w:val="en-US" w:eastAsia="zh-CN" w:bidi="ar-SA"/>
              </w:rPr>
              <w:t>重点重金属污染物。</w:t>
            </w:r>
          </w:p>
        </w:tc>
        <w:tc>
          <w:tcPr>
            <w:tcW w:w="557" w:type="dxa"/>
            <w:tcBorders>
              <w:top w:val="single" w:color="000000" w:sz="4" w:space="0"/>
              <w:left w:val="single" w:color="000000" w:sz="4" w:space="0"/>
              <w:bottom w:val="single" w:color="000000" w:sz="4" w:space="0"/>
              <w:right w:val="single" w:color="auto" w:sz="4" w:space="0"/>
            </w:tcBorders>
            <w:noWrap w:val="0"/>
            <w:vAlign w:val="center"/>
          </w:tcPr>
          <w:p w14:paraId="7A2483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符合</w:t>
            </w:r>
          </w:p>
        </w:tc>
      </w:tr>
      <w:tr w14:paraId="69AF385C">
        <w:tblPrEx>
          <w:tblCellMar>
            <w:top w:w="0" w:type="dxa"/>
            <w:left w:w="108" w:type="dxa"/>
            <w:bottom w:w="0" w:type="dxa"/>
            <w:right w:w="108" w:type="dxa"/>
          </w:tblCellMar>
        </w:tblPrEx>
        <w:trPr>
          <w:trHeight w:val="340" w:hRule="atLeast"/>
          <w:jc w:val="center"/>
        </w:trPr>
        <w:tc>
          <w:tcPr>
            <w:tcW w:w="556" w:type="dxa"/>
            <w:vMerge w:val="continue"/>
            <w:tcBorders>
              <w:left w:val="single" w:color="auto" w:sz="4" w:space="0"/>
              <w:right w:val="single" w:color="000000" w:sz="4" w:space="0"/>
            </w:tcBorders>
            <w:noWrap w:val="0"/>
            <w:vAlign w:val="center"/>
          </w:tcPr>
          <w:p w14:paraId="6DA8CC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sz w:val="21"/>
                <w:szCs w:val="21"/>
                <w:highlight w:val="none"/>
                <w:lang w:eastAsia="zh-CN"/>
              </w:rPr>
            </w:pPr>
          </w:p>
        </w:tc>
        <w:tc>
          <w:tcPr>
            <w:tcW w:w="556" w:type="dxa"/>
            <w:vMerge w:val="continue"/>
            <w:tcBorders>
              <w:left w:val="single" w:color="000000" w:sz="4" w:space="0"/>
              <w:right w:val="single" w:color="000000" w:sz="4" w:space="0"/>
            </w:tcBorders>
            <w:noWrap w:val="0"/>
            <w:vAlign w:val="center"/>
          </w:tcPr>
          <w:p w14:paraId="343598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p>
        </w:tc>
        <w:tc>
          <w:tcPr>
            <w:tcW w:w="557" w:type="dxa"/>
            <w:vMerge w:val="continue"/>
            <w:tcBorders>
              <w:left w:val="single" w:color="000000" w:sz="4" w:space="0"/>
              <w:right w:val="single" w:color="000000" w:sz="4" w:space="0"/>
            </w:tcBorders>
            <w:noWrap w:val="0"/>
            <w:vAlign w:val="center"/>
          </w:tcPr>
          <w:p w14:paraId="498E78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p>
        </w:tc>
        <w:tc>
          <w:tcPr>
            <w:tcW w:w="557" w:type="dxa"/>
            <w:vMerge w:val="continue"/>
            <w:tcBorders>
              <w:left w:val="single" w:color="000000" w:sz="4" w:space="0"/>
              <w:right w:val="single" w:color="000000" w:sz="4" w:space="0"/>
            </w:tcBorders>
            <w:noWrap w:val="0"/>
            <w:vAlign w:val="center"/>
          </w:tcPr>
          <w:p w14:paraId="7396F6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p>
        </w:tc>
        <w:tc>
          <w:tcPr>
            <w:tcW w:w="532" w:type="dxa"/>
            <w:tcBorders>
              <w:top w:val="single" w:color="000000" w:sz="4" w:space="0"/>
              <w:left w:val="single" w:color="000000" w:sz="4" w:space="0"/>
              <w:bottom w:val="single" w:color="000000" w:sz="4" w:space="0"/>
              <w:right w:val="single" w:color="000000" w:sz="4" w:space="0"/>
            </w:tcBorders>
            <w:noWrap w:val="0"/>
            <w:vAlign w:val="center"/>
          </w:tcPr>
          <w:p w14:paraId="4B434F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环境</w:t>
            </w:r>
          </w:p>
          <w:p w14:paraId="5D664E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风险</w:t>
            </w:r>
          </w:p>
          <w:p w14:paraId="3E7AD5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防控</w:t>
            </w:r>
          </w:p>
        </w:tc>
        <w:tc>
          <w:tcPr>
            <w:tcW w:w="2828" w:type="dxa"/>
            <w:tcBorders>
              <w:top w:val="single" w:color="000000" w:sz="4" w:space="0"/>
              <w:left w:val="single" w:color="000000" w:sz="4" w:space="0"/>
              <w:bottom w:val="single" w:color="000000" w:sz="4" w:space="0"/>
              <w:right w:val="single" w:color="000000" w:sz="4" w:space="0"/>
            </w:tcBorders>
            <w:noWrap w:val="0"/>
            <w:vAlign w:val="center"/>
          </w:tcPr>
          <w:p w14:paraId="28A867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1、执行全市总体准入要求中关于环境风险防控的准入要求。</w:t>
            </w:r>
          </w:p>
          <w:p w14:paraId="109FAE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2、企业制定突发环境事件应急预案并备案，应当储备必要的环境应急装备和物资，定期进行应急演练。环境应急预案每三年至少修订一次。</w:t>
            </w:r>
          </w:p>
          <w:p w14:paraId="1A2157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3、全面落实《土壤污染防治行动计划》内相关要求。</w:t>
            </w:r>
          </w:p>
          <w:p w14:paraId="5CD749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4、禁止在行洪的河床、滩地和岸坡堆放贮存矿石、废渣或者尾矿，防止造成行洪不畅或者堤岸破坏。边坡的开挖和矿石、废渣的堆放，应当符合边坡稳定的要求。禁止开采或者毁坏预留安全矿柱或者岩柱，防止造成滑坡、崩塌、泥石流以及地面开裂、塌陷、沉降等地质灾害。</w:t>
            </w:r>
          </w:p>
        </w:tc>
        <w:tc>
          <w:tcPr>
            <w:tcW w:w="1567" w:type="dxa"/>
            <w:tcBorders>
              <w:top w:val="single" w:color="000000" w:sz="4" w:space="0"/>
              <w:left w:val="single" w:color="000000" w:sz="4" w:space="0"/>
              <w:bottom w:val="single" w:color="000000" w:sz="4" w:space="0"/>
              <w:right w:val="single" w:color="000000" w:sz="4" w:space="0"/>
            </w:tcBorders>
            <w:noWrap w:val="0"/>
            <w:vAlign w:val="center"/>
          </w:tcPr>
          <w:p w14:paraId="165367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1、</w:t>
            </w:r>
            <w:r>
              <w:rPr>
                <w:rFonts w:hint="default" w:ascii="Times New Roman" w:hAnsi="Times New Roman" w:eastAsia="宋体" w:cs="Times New Roman"/>
                <w:color w:val="FF0000"/>
                <w:kern w:val="0"/>
                <w:sz w:val="21"/>
                <w:szCs w:val="21"/>
                <w:highlight w:val="none"/>
                <w:lang w:val="en-US" w:eastAsia="zh-CN"/>
              </w:rPr>
              <w:t>本项目符合</w:t>
            </w:r>
            <w:r>
              <w:rPr>
                <w:rFonts w:hint="default" w:ascii="Times New Roman" w:hAnsi="Times New Roman" w:eastAsia="宋体" w:cs="Times New Roman"/>
                <w:color w:val="FF0000"/>
                <w:kern w:val="0"/>
                <w:sz w:val="21"/>
                <w:szCs w:val="21"/>
                <w:highlight w:val="none"/>
                <w:lang w:val="en-US" w:eastAsia="zh-CN" w:bidi="ar-SA"/>
              </w:rPr>
              <w:t>全市总体准入要求中关于环境风险防控的准入要求。</w:t>
            </w:r>
          </w:p>
          <w:p w14:paraId="4A66FA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2、</w:t>
            </w:r>
            <w:r>
              <w:rPr>
                <w:rFonts w:hint="default" w:ascii="Times New Roman" w:hAnsi="Times New Roman" w:eastAsia="宋体" w:cs="Times New Roman"/>
                <w:color w:val="FF0000"/>
                <w:kern w:val="0"/>
                <w:sz w:val="21"/>
                <w:szCs w:val="21"/>
                <w:highlight w:val="none"/>
                <w:lang w:val="en-US" w:eastAsia="zh-CN"/>
              </w:rPr>
              <w:t>本项目建成后，应按法规修编突发环境事件应急预案。</w:t>
            </w:r>
          </w:p>
          <w:p w14:paraId="43CEA8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3</w:t>
            </w:r>
            <w:r>
              <w:rPr>
                <w:rFonts w:hint="default" w:ascii="Times New Roman" w:hAnsi="Times New Roman" w:eastAsia="宋体" w:cs="Times New Roman"/>
                <w:color w:val="FF0000"/>
                <w:kern w:val="0"/>
                <w:sz w:val="21"/>
                <w:szCs w:val="21"/>
                <w:highlight w:val="none"/>
                <w:lang w:val="en-US" w:eastAsia="zh-CN"/>
              </w:rPr>
              <w:t>、</w:t>
            </w:r>
            <w:r>
              <w:rPr>
                <w:rFonts w:hint="default" w:ascii="Times New Roman" w:hAnsi="Times New Roman" w:eastAsia="宋体" w:cs="Times New Roman"/>
                <w:color w:val="FF0000"/>
                <w:kern w:val="0"/>
                <w:sz w:val="21"/>
                <w:szCs w:val="21"/>
                <w:highlight w:val="none"/>
                <w:lang w:val="en-US" w:eastAsia="zh-CN"/>
              </w:rPr>
              <w:t>本项目</w:t>
            </w:r>
            <w:r>
              <w:rPr>
                <w:rFonts w:hint="default" w:ascii="Times New Roman" w:hAnsi="Times New Roman" w:eastAsia="宋体" w:cs="Times New Roman"/>
                <w:color w:val="FF0000"/>
                <w:kern w:val="0"/>
                <w:sz w:val="21"/>
                <w:szCs w:val="21"/>
                <w:highlight w:val="none"/>
                <w:lang w:val="en-US" w:eastAsia="zh-CN"/>
              </w:rPr>
              <w:t>采取合格防渗的措施</w:t>
            </w:r>
            <w:r>
              <w:rPr>
                <w:rFonts w:hint="default" w:ascii="Times New Roman" w:hAnsi="Times New Roman" w:eastAsia="宋体" w:cs="Times New Roman"/>
                <w:color w:val="FF0000"/>
                <w:kern w:val="0"/>
                <w:sz w:val="21"/>
                <w:szCs w:val="21"/>
                <w:highlight w:val="none"/>
                <w:lang w:val="en-US" w:eastAsia="zh-CN"/>
              </w:rPr>
              <w:t>，</w:t>
            </w:r>
            <w:r>
              <w:rPr>
                <w:rFonts w:hint="default" w:ascii="Times New Roman" w:hAnsi="Times New Roman" w:eastAsia="宋体" w:cs="Times New Roman"/>
                <w:color w:val="FF0000"/>
                <w:kern w:val="0"/>
                <w:sz w:val="21"/>
                <w:szCs w:val="21"/>
                <w:highlight w:val="none"/>
                <w:lang w:val="en-US" w:eastAsia="zh-CN"/>
              </w:rPr>
              <w:t>正常工况下不会有泄漏情况发生，不会对周围土壤环境造成不良影响。</w:t>
            </w:r>
          </w:p>
          <w:p w14:paraId="3A0085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环保设施及相关防渗系统应定时进行检修维护，一旦发现污染物泄漏应立即采取应急响应，截断污染源并根据污染情况采取土壤保护措施，项目土壤环境影响可接受。</w:t>
            </w:r>
          </w:p>
          <w:p w14:paraId="6387A6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4、</w:t>
            </w:r>
            <w:r>
              <w:rPr>
                <w:rFonts w:hint="default" w:ascii="Times New Roman" w:hAnsi="Times New Roman" w:eastAsia="宋体" w:cs="Times New Roman"/>
                <w:color w:val="FF0000"/>
                <w:kern w:val="0"/>
                <w:sz w:val="21"/>
                <w:szCs w:val="21"/>
                <w:highlight w:val="none"/>
                <w:lang w:val="en-US" w:eastAsia="zh-CN"/>
              </w:rPr>
              <w:t>本项目</w:t>
            </w:r>
            <w:r>
              <w:rPr>
                <w:rFonts w:hint="default" w:ascii="Times New Roman" w:hAnsi="Times New Roman" w:eastAsia="宋体" w:cs="Times New Roman"/>
                <w:color w:val="FF0000"/>
                <w:kern w:val="0"/>
                <w:sz w:val="21"/>
                <w:szCs w:val="21"/>
                <w:highlight w:val="none"/>
                <w:lang w:val="en-US" w:eastAsia="zh-CN"/>
              </w:rPr>
              <w:t>属于规模化肉牛养殖项目，不</w:t>
            </w:r>
            <w:r>
              <w:rPr>
                <w:rFonts w:hint="default" w:ascii="Times New Roman" w:hAnsi="Times New Roman" w:eastAsia="宋体" w:cs="Times New Roman"/>
                <w:color w:val="FF0000"/>
                <w:kern w:val="0"/>
                <w:sz w:val="21"/>
                <w:szCs w:val="21"/>
                <w:highlight w:val="none"/>
                <w:lang w:val="en-US" w:eastAsia="zh-CN"/>
              </w:rPr>
              <w:t>涉及</w:t>
            </w:r>
            <w:r>
              <w:rPr>
                <w:rFonts w:hint="default" w:ascii="Times New Roman" w:hAnsi="Times New Roman" w:eastAsia="宋体" w:cs="Times New Roman"/>
                <w:color w:val="FF0000"/>
                <w:kern w:val="0"/>
                <w:sz w:val="21"/>
                <w:szCs w:val="21"/>
                <w:highlight w:val="none"/>
                <w:lang w:val="en-US" w:eastAsia="zh-CN" w:bidi="ar-SA"/>
              </w:rPr>
              <w:t>堆放贮存矿石、废渣或者尾矿</w:t>
            </w:r>
            <w:r>
              <w:rPr>
                <w:rFonts w:hint="default" w:ascii="Times New Roman" w:hAnsi="Times New Roman" w:eastAsia="宋体" w:cs="Times New Roman"/>
                <w:color w:val="FF0000"/>
                <w:kern w:val="0"/>
                <w:sz w:val="21"/>
                <w:szCs w:val="21"/>
                <w:highlight w:val="none"/>
                <w:lang w:val="en-US" w:eastAsia="zh-CN"/>
              </w:rPr>
              <w:t>。</w:t>
            </w:r>
          </w:p>
        </w:tc>
        <w:tc>
          <w:tcPr>
            <w:tcW w:w="557" w:type="dxa"/>
            <w:tcBorders>
              <w:top w:val="single" w:color="000000" w:sz="4" w:space="0"/>
              <w:left w:val="single" w:color="000000" w:sz="4" w:space="0"/>
              <w:bottom w:val="single" w:color="000000" w:sz="4" w:space="0"/>
              <w:right w:val="single" w:color="auto" w:sz="4" w:space="0"/>
            </w:tcBorders>
            <w:noWrap w:val="0"/>
            <w:vAlign w:val="center"/>
          </w:tcPr>
          <w:p w14:paraId="3FD416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符合</w:t>
            </w:r>
          </w:p>
        </w:tc>
      </w:tr>
      <w:tr w14:paraId="69756ADA">
        <w:tblPrEx>
          <w:tblCellMar>
            <w:top w:w="0" w:type="dxa"/>
            <w:left w:w="108" w:type="dxa"/>
            <w:bottom w:w="0" w:type="dxa"/>
            <w:right w:w="108" w:type="dxa"/>
          </w:tblCellMar>
        </w:tblPrEx>
        <w:trPr>
          <w:trHeight w:val="340" w:hRule="atLeast"/>
          <w:jc w:val="center"/>
        </w:trPr>
        <w:tc>
          <w:tcPr>
            <w:tcW w:w="556" w:type="dxa"/>
            <w:vMerge w:val="continue"/>
            <w:tcBorders>
              <w:left w:val="single" w:color="auto" w:sz="4" w:space="0"/>
              <w:bottom w:val="single" w:color="auto" w:sz="4" w:space="0"/>
              <w:right w:val="single" w:color="000000" w:sz="4" w:space="0"/>
            </w:tcBorders>
            <w:noWrap w:val="0"/>
            <w:vAlign w:val="center"/>
          </w:tcPr>
          <w:p w14:paraId="24A5BF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sz w:val="21"/>
                <w:szCs w:val="21"/>
                <w:highlight w:val="none"/>
                <w:lang w:eastAsia="zh-CN"/>
              </w:rPr>
            </w:pPr>
          </w:p>
        </w:tc>
        <w:tc>
          <w:tcPr>
            <w:tcW w:w="556" w:type="dxa"/>
            <w:vMerge w:val="continue"/>
            <w:tcBorders>
              <w:left w:val="single" w:color="000000" w:sz="4" w:space="0"/>
              <w:bottom w:val="single" w:color="auto" w:sz="4" w:space="0"/>
              <w:right w:val="single" w:color="000000" w:sz="4" w:space="0"/>
            </w:tcBorders>
            <w:noWrap w:val="0"/>
            <w:vAlign w:val="center"/>
          </w:tcPr>
          <w:p w14:paraId="49E14E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p>
        </w:tc>
        <w:tc>
          <w:tcPr>
            <w:tcW w:w="557" w:type="dxa"/>
            <w:vMerge w:val="continue"/>
            <w:tcBorders>
              <w:left w:val="single" w:color="000000" w:sz="4" w:space="0"/>
              <w:bottom w:val="single" w:color="auto" w:sz="4" w:space="0"/>
              <w:right w:val="single" w:color="000000" w:sz="4" w:space="0"/>
            </w:tcBorders>
            <w:noWrap w:val="0"/>
            <w:vAlign w:val="center"/>
          </w:tcPr>
          <w:p w14:paraId="1176A9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p>
        </w:tc>
        <w:tc>
          <w:tcPr>
            <w:tcW w:w="557" w:type="dxa"/>
            <w:vMerge w:val="continue"/>
            <w:tcBorders>
              <w:left w:val="single" w:color="000000" w:sz="4" w:space="0"/>
              <w:bottom w:val="single" w:color="auto" w:sz="4" w:space="0"/>
              <w:right w:val="single" w:color="000000" w:sz="4" w:space="0"/>
            </w:tcBorders>
            <w:noWrap w:val="0"/>
            <w:vAlign w:val="center"/>
          </w:tcPr>
          <w:p w14:paraId="4F1CA7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p>
        </w:tc>
        <w:tc>
          <w:tcPr>
            <w:tcW w:w="532" w:type="dxa"/>
            <w:tcBorders>
              <w:top w:val="single" w:color="000000" w:sz="4" w:space="0"/>
              <w:left w:val="single" w:color="000000" w:sz="4" w:space="0"/>
              <w:bottom w:val="single" w:color="auto" w:sz="4" w:space="0"/>
              <w:right w:val="single" w:color="000000" w:sz="4" w:space="0"/>
            </w:tcBorders>
            <w:noWrap w:val="0"/>
            <w:vAlign w:val="center"/>
          </w:tcPr>
          <w:p w14:paraId="11653B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资源</w:t>
            </w:r>
          </w:p>
          <w:p w14:paraId="5E795E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利用</w:t>
            </w:r>
          </w:p>
          <w:p w14:paraId="284CEE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效率</w:t>
            </w:r>
          </w:p>
          <w:p w14:paraId="1B2FA9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要求</w:t>
            </w:r>
          </w:p>
        </w:tc>
        <w:tc>
          <w:tcPr>
            <w:tcW w:w="2828" w:type="dxa"/>
            <w:tcBorders>
              <w:top w:val="single" w:color="000000" w:sz="4" w:space="0"/>
              <w:left w:val="single" w:color="000000" w:sz="4" w:space="0"/>
              <w:bottom w:val="single" w:color="auto" w:sz="4" w:space="0"/>
              <w:right w:val="single" w:color="000000" w:sz="4" w:space="0"/>
            </w:tcBorders>
            <w:noWrap w:val="0"/>
            <w:vAlign w:val="center"/>
          </w:tcPr>
          <w:p w14:paraId="29A3D9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1、矿山“三率”水平达到国家要求。</w:t>
            </w:r>
          </w:p>
          <w:p w14:paraId="432314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2、禁止新建对生态环境产生不可恢复利用的、产生破坏性影响的矿产资源开发项目。</w:t>
            </w:r>
          </w:p>
          <w:p w14:paraId="1954E6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3、严控地下水超采。禁止私自开采地下水。新建、改建、扩建的高耗水工业项目，禁止擅自使用地下水。食品、制药等项目取用地下水，须经有管理权限的水行政主管部门批准。</w:t>
            </w:r>
          </w:p>
          <w:p w14:paraId="6889D7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4、提高工业企业用水、用能效率。新建、改建、扩建项目用水要达到行业先进水平，节水设施应与主体工程同时设计、同时施工、同时投运。</w:t>
            </w:r>
          </w:p>
          <w:p w14:paraId="596658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5、矿山企业要严格落实矿产资源开发利用方案、环境影响评价文件，水土保持方案、矿山地质环境保护与土地复垦方案等要求，提高资源利用效率水平。</w:t>
            </w:r>
          </w:p>
          <w:p w14:paraId="4E2DE9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6、新建有色金属、非金属矿采选业项目生产工艺应达到国内先进水平，清洁生产水平应达到《清洁生产审核办法》规定范围之内，水耗控制在《内蒙古自治区地方标准行业用水定额》（DB15/T385-2020）规定范围之内；现有企业3年内生产工艺应进行改造升级，清洁生产必须按照《清洁生产审核办法》进行审核，水耗控制在《内蒙古自治区地方标准行业用水定额》（DB15/T385-2020）规定范围之内。</w:t>
            </w:r>
          </w:p>
        </w:tc>
        <w:tc>
          <w:tcPr>
            <w:tcW w:w="1567" w:type="dxa"/>
            <w:tcBorders>
              <w:top w:val="single" w:color="000000" w:sz="4" w:space="0"/>
              <w:left w:val="single" w:color="000000" w:sz="4" w:space="0"/>
              <w:bottom w:val="single" w:color="auto" w:sz="4" w:space="0"/>
              <w:right w:val="single" w:color="000000" w:sz="4" w:space="0"/>
            </w:tcBorders>
            <w:noWrap w:val="0"/>
            <w:vAlign w:val="center"/>
          </w:tcPr>
          <w:p w14:paraId="10C675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bidi="ar-SA"/>
              </w:rPr>
              <w:t>1、</w:t>
            </w:r>
            <w:r>
              <w:rPr>
                <w:rFonts w:hint="default" w:ascii="Times New Roman" w:hAnsi="Times New Roman" w:eastAsia="宋体" w:cs="Times New Roman"/>
                <w:color w:val="FF0000"/>
                <w:kern w:val="0"/>
                <w:sz w:val="21"/>
                <w:szCs w:val="21"/>
                <w:highlight w:val="none"/>
                <w:lang w:val="en-US" w:eastAsia="zh-CN"/>
              </w:rPr>
              <w:t>本项目</w:t>
            </w:r>
            <w:r>
              <w:rPr>
                <w:rFonts w:hint="default" w:ascii="Times New Roman" w:hAnsi="Times New Roman" w:eastAsia="宋体" w:cs="Times New Roman"/>
                <w:color w:val="FF0000"/>
                <w:kern w:val="0"/>
                <w:sz w:val="21"/>
                <w:szCs w:val="21"/>
                <w:highlight w:val="none"/>
                <w:lang w:val="en-US" w:eastAsia="zh-CN"/>
              </w:rPr>
              <w:t>属于规模化肉牛养殖项目，不属于</w:t>
            </w:r>
            <w:r>
              <w:rPr>
                <w:rFonts w:hint="default" w:ascii="Times New Roman" w:hAnsi="Times New Roman" w:eastAsia="宋体" w:cs="Times New Roman"/>
                <w:color w:val="FF0000"/>
                <w:kern w:val="0"/>
                <w:sz w:val="21"/>
                <w:szCs w:val="21"/>
                <w:highlight w:val="none"/>
                <w:lang w:val="en-US" w:eastAsia="zh-CN"/>
              </w:rPr>
              <w:t>矿山企业。</w:t>
            </w:r>
          </w:p>
          <w:p w14:paraId="1F6AB2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2、</w:t>
            </w:r>
            <w:r>
              <w:rPr>
                <w:rFonts w:hint="default" w:ascii="Times New Roman" w:hAnsi="Times New Roman" w:eastAsia="宋体" w:cs="Times New Roman"/>
                <w:color w:val="FF0000"/>
                <w:kern w:val="0"/>
                <w:sz w:val="21"/>
                <w:szCs w:val="21"/>
                <w:highlight w:val="none"/>
                <w:lang w:val="en-US" w:eastAsia="zh-CN"/>
              </w:rPr>
              <w:t>本项目不</w:t>
            </w:r>
            <w:r>
              <w:rPr>
                <w:rFonts w:hint="default" w:ascii="Times New Roman" w:hAnsi="Times New Roman" w:eastAsia="宋体" w:cs="Times New Roman"/>
                <w:color w:val="FF0000"/>
                <w:kern w:val="0"/>
                <w:sz w:val="21"/>
                <w:szCs w:val="21"/>
                <w:highlight w:val="none"/>
                <w:lang w:val="en-US" w:eastAsia="zh-CN"/>
              </w:rPr>
              <w:t>属于</w:t>
            </w:r>
            <w:r>
              <w:rPr>
                <w:rFonts w:hint="default" w:ascii="Times New Roman" w:hAnsi="Times New Roman" w:eastAsia="宋体" w:cs="Times New Roman"/>
                <w:color w:val="FF0000"/>
                <w:kern w:val="0"/>
                <w:sz w:val="21"/>
                <w:szCs w:val="21"/>
                <w:highlight w:val="none"/>
                <w:lang w:val="en-US" w:eastAsia="zh-CN" w:bidi="ar-SA"/>
              </w:rPr>
              <w:t>矿产资源开发项目。</w:t>
            </w:r>
          </w:p>
          <w:p w14:paraId="267185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3、本项目不属于高耗水项目，现有自备水井已取得《取水许可证》（取水乌前[2007]第01170号），满足本项目用水需求。</w:t>
            </w:r>
          </w:p>
          <w:p w14:paraId="4EEBDE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4、本项目不属于工业企业。</w:t>
            </w:r>
          </w:p>
          <w:p w14:paraId="75792E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5、</w:t>
            </w:r>
            <w:r>
              <w:rPr>
                <w:rFonts w:hint="default" w:ascii="Times New Roman" w:hAnsi="Times New Roman" w:eastAsia="宋体" w:cs="Times New Roman"/>
                <w:color w:val="FF0000"/>
                <w:kern w:val="0"/>
                <w:sz w:val="21"/>
                <w:szCs w:val="21"/>
                <w:highlight w:val="none"/>
                <w:lang w:val="en-US" w:eastAsia="zh-CN"/>
              </w:rPr>
              <w:t>本项目</w:t>
            </w:r>
            <w:r>
              <w:rPr>
                <w:rFonts w:hint="default" w:ascii="Times New Roman" w:hAnsi="Times New Roman" w:eastAsia="宋体" w:cs="Times New Roman"/>
                <w:color w:val="FF0000"/>
                <w:kern w:val="0"/>
                <w:sz w:val="21"/>
                <w:szCs w:val="21"/>
                <w:highlight w:val="none"/>
                <w:lang w:val="en-US" w:eastAsia="zh-CN"/>
              </w:rPr>
              <w:t>不属于</w:t>
            </w:r>
            <w:r>
              <w:rPr>
                <w:rFonts w:hint="default" w:ascii="Times New Roman" w:hAnsi="Times New Roman" w:eastAsia="宋体" w:cs="Times New Roman"/>
                <w:color w:val="FF0000"/>
                <w:kern w:val="0"/>
                <w:sz w:val="21"/>
                <w:szCs w:val="21"/>
                <w:highlight w:val="none"/>
                <w:lang w:val="en-US" w:eastAsia="zh-CN"/>
              </w:rPr>
              <w:t>矿山企业。</w:t>
            </w:r>
          </w:p>
          <w:p w14:paraId="5249A4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6、本项目不属于</w:t>
            </w:r>
            <w:r>
              <w:rPr>
                <w:rFonts w:hint="default" w:ascii="Times New Roman" w:hAnsi="Times New Roman" w:eastAsia="宋体" w:cs="Times New Roman"/>
                <w:color w:val="FF0000"/>
                <w:kern w:val="0"/>
                <w:sz w:val="21"/>
                <w:szCs w:val="21"/>
                <w:highlight w:val="none"/>
                <w:lang w:val="en-US" w:eastAsia="zh-CN" w:bidi="ar-SA"/>
              </w:rPr>
              <w:t>有色金属、非金属矿采选业项目。</w:t>
            </w:r>
          </w:p>
        </w:tc>
        <w:tc>
          <w:tcPr>
            <w:tcW w:w="557" w:type="dxa"/>
            <w:tcBorders>
              <w:top w:val="single" w:color="000000" w:sz="4" w:space="0"/>
              <w:left w:val="single" w:color="000000" w:sz="4" w:space="0"/>
              <w:bottom w:val="single" w:color="auto" w:sz="4" w:space="0"/>
              <w:right w:val="single" w:color="auto" w:sz="4" w:space="0"/>
            </w:tcBorders>
            <w:noWrap w:val="0"/>
            <w:vAlign w:val="center"/>
          </w:tcPr>
          <w:p w14:paraId="7CDA77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符合</w:t>
            </w:r>
          </w:p>
        </w:tc>
      </w:tr>
    </w:tbl>
    <w:p w14:paraId="06C6D01B">
      <w:pPr>
        <w:keepNext w:val="0"/>
        <w:keepLines w:val="0"/>
        <w:pageBreakBefore w:val="0"/>
        <w:widowControl w:val="0"/>
        <w:tabs>
          <w:tab w:val="left" w:pos="4252"/>
          <w:tab w:val="left" w:pos="6271"/>
        </w:tabs>
        <w:kinsoku/>
        <w:wordWrap/>
        <w:overflowPunct/>
        <w:topLinePunct w:val="0"/>
        <w:autoSpaceDE/>
        <w:autoSpaceDN/>
        <w:bidi w:val="0"/>
        <w:adjustRightInd/>
        <w:snapToGrid w:val="0"/>
        <w:spacing w:line="360" w:lineRule="auto"/>
        <w:ind w:left="0" w:leftChars="0" w:right="0" w:rightChars="0"/>
        <w:jc w:val="left"/>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本项目位于大佘太镇采矿用地环境管控单元，环境管控单元编码ZH15082320009，属于重点管控单元，从空间布局约束方面分析，本项目配套设置环保措施，环境影响及环境风险可控。</w:t>
      </w:r>
    </w:p>
    <w:p w14:paraId="22AC2B9D">
      <w:pPr>
        <w:keepNext w:val="0"/>
        <w:keepLines w:val="0"/>
        <w:pageBreakBefore w:val="0"/>
        <w:widowControl w:val="0"/>
        <w:tabs>
          <w:tab w:val="left" w:pos="4252"/>
          <w:tab w:val="left" w:pos="6271"/>
        </w:tabs>
        <w:kinsoku/>
        <w:wordWrap/>
        <w:overflowPunct/>
        <w:topLinePunct w:val="0"/>
        <w:autoSpaceDE/>
        <w:autoSpaceDN/>
        <w:bidi w:val="0"/>
        <w:adjustRightInd/>
        <w:snapToGrid w:val="0"/>
        <w:spacing w:line="360" w:lineRule="auto"/>
        <w:ind w:left="0" w:leftChars="0" w:right="0" w:rightChars="0"/>
        <w:jc w:val="lef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FF0000"/>
          <w:sz w:val="24"/>
          <w:szCs w:val="24"/>
          <w:highlight w:val="none"/>
        </w:rPr>
        <w:t>因此，本项目符合三线一单管控要求</w:t>
      </w:r>
      <w:r>
        <w:rPr>
          <w:rFonts w:hint="default" w:ascii="Times New Roman" w:hAnsi="Times New Roman" w:eastAsia="宋体" w:cs="Times New Roman"/>
          <w:color w:val="FF0000"/>
          <w:highlight w:val="none"/>
        </w:rPr>
        <w:t>。</w:t>
      </w:r>
    </w:p>
    <w:p w14:paraId="207655E4">
      <w:pPr>
        <w:pStyle w:val="3"/>
        <w:pageBreakBefore w:val="0"/>
        <w:widowControl w:val="0"/>
        <w:kinsoku/>
        <w:wordWrap/>
        <w:overflowPunct/>
        <w:topLinePunct/>
        <w:autoSpaceDN/>
        <w:bidi w:val="0"/>
        <w:adjustRightInd/>
        <w:snapToGrid w:val="0"/>
        <w:spacing w:before="0" w:after="0" w:line="360" w:lineRule="auto"/>
        <w:ind w:left="0" w:leftChars="0" w:right="0" w:rightChars="0"/>
        <w:textAlignment w:val="auto"/>
        <w:outlineLvl w:val="0"/>
        <w:rPr>
          <w:rFonts w:hint="default" w:ascii="Times New Roman" w:hAnsi="Times New Roman" w:eastAsia="宋体" w:cs="Times New Roman"/>
          <w:color w:val="auto"/>
          <w:highlight w:val="none"/>
        </w:rPr>
      </w:pPr>
      <w:bookmarkStart w:id="57" w:name="_Toc28983"/>
      <w:r>
        <w:rPr>
          <w:rFonts w:hint="default" w:ascii="Times New Roman" w:hAnsi="Times New Roman" w:eastAsia="宋体" w:cs="Times New Roman"/>
          <w:color w:val="auto"/>
          <w:highlight w:val="none"/>
        </w:rPr>
        <w:t>1.5重点关注环境问题及环境影响</w:t>
      </w:r>
      <w:bookmarkEnd w:id="50"/>
      <w:bookmarkEnd w:id="57"/>
    </w:p>
    <w:p w14:paraId="2C66AB13">
      <w:pPr>
        <w:pageBreakBefore w:val="0"/>
        <w:widowControl w:val="0"/>
        <w:kinsoku/>
        <w:wordWrap/>
        <w:overflowPunct/>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项目建设对环境的影响分为施工期和运营期两个阶段。施工期对环境的影响主要来自场地平整、地基处理、其他土建工程、设备及管道安装等，以上施工活动进行时，建材运输、装卸及土建施工将会产生一定量的扬尘污染，同时伴有较大的噪声，并会有建筑垃圾的堆存情况。施工将会对环境带来一定的影响，但其工程量较少，施工期不会太长，影响并不突出，且多为短期可逆影响，采取一定环境保护措施后施工期环境影响较小。</w:t>
      </w:r>
    </w:p>
    <w:p w14:paraId="165AE351">
      <w:pPr>
        <w:pageBreakBefore w:val="0"/>
        <w:widowControl w:val="0"/>
        <w:kinsoku/>
        <w:wordWrap/>
        <w:overflowPunct/>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运营期对环境的影响主要</w:t>
      </w:r>
      <w:r>
        <w:rPr>
          <w:rFonts w:hint="default" w:ascii="Times New Roman" w:hAnsi="Times New Roman" w:eastAsia="宋体" w:cs="Times New Roman"/>
          <w:color w:val="auto"/>
          <w:highlight w:val="none"/>
          <w:lang w:eastAsia="zh-CN"/>
        </w:rPr>
        <w:t>为全封闭TMR车间内</w:t>
      </w:r>
      <w:r>
        <w:rPr>
          <w:rFonts w:hint="default" w:ascii="Times New Roman" w:hAnsi="Times New Roman" w:eastAsia="宋体" w:cs="Times New Roman"/>
          <w:color w:val="auto"/>
          <w:highlight w:val="none"/>
        </w:rPr>
        <w:t>饲料破碎和搅拌过程产生的粉尘；牛舍、运动场、</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等场地产生的恶臭气体；工作人员产生的生活污水；牛舍、运动场等场地产生的牛粪、病死牛、</w:t>
      </w:r>
      <w:r>
        <w:rPr>
          <w:rFonts w:hint="default" w:ascii="Times New Roman" w:hAnsi="Times New Roman" w:eastAsia="宋体" w:cs="Times New Roman"/>
          <w:color w:val="auto"/>
          <w:highlight w:val="none"/>
          <w:lang w:eastAsia="zh-CN"/>
        </w:rPr>
        <w:t>医疗垃圾</w:t>
      </w:r>
      <w:r>
        <w:rPr>
          <w:rFonts w:hint="default" w:ascii="Times New Roman" w:hAnsi="Times New Roman" w:eastAsia="宋体" w:cs="Times New Roman"/>
          <w:color w:val="auto"/>
          <w:highlight w:val="none"/>
        </w:rPr>
        <w:t>，工作人员产生的生活垃圾等。</w:t>
      </w:r>
    </w:p>
    <w:p w14:paraId="7E8D3271">
      <w:pPr>
        <w:pageBreakBefore w:val="0"/>
        <w:widowControl w:val="0"/>
        <w:kinsoku/>
        <w:wordWrap/>
        <w:overflowPunct/>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default" w:ascii="Times New Roman" w:hAnsi="Times New Roman" w:eastAsia="宋体" w:cs="Times New Roman"/>
          <w:color w:val="auto"/>
          <w:highlight w:val="none"/>
          <w:lang w:eastAsia="zh-CN"/>
        </w:rPr>
        <w:t>全封闭TMR车间内</w:t>
      </w:r>
      <w:r>
        <w:rPr>
          <w:rFonts w:hint="default" w:ascii="Times New Roman" w:hAnsi="Times New Roman" w:eastAsia="宋体" w:cs="Times New Roman"/>
          <w:color w:val="auto"/>
          <w:highlight w:val="none"/>
        </w:rPr>
        <w:t>饲料破碎和搅拌过程会有少量的粉尘产生，经全封闭TMR车间沉降</w:t>
      </w:r>
      <w:r>
        <w:rPr>
          <w:rFonts w:hint="default" w:ascii="Times New Roman" w:hAnsi="Times New Roman" w:eastAsia="宋体" w:cs="Times New Roman"/>
          <w:color w:val="auto"/>
          <w:highlight w:val="none"/>
          <w:lang w:eastAsia="zh-CN"/>
        </w:rPr>
        <w:t>及</w:t>
      </w:r>
      <w:r>
        <w:rPr>
          <w:rFonts w:hint="default" w:ascii="Times New Roman" w:hAnsi="Times New Roman" w:eastAsia="宋体" w:cs="Times New Roman"/>
          <w:color w:val="auto"/>
          <w:highlight w:val="none"/>
        </w:rPr>
        <w:t>洒水抑尘后以无组织形式逸散；养殖区（牛舍、运动场）产生的恶臭气体可以通过控制饲养密度、加强舍内通风、保持牛舍干燥、科学喂饲、定期喷洒生物除臭剂等措施，可有效减少臭气的散发；</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四周设置绿化带、定期喷洒除臭剂等环保措施，可有效减少臭气的散发。</w:t>
      </w:r>
    </w:p>
    <w:p w14:paraId="1DAC9CBC">
      <w:pPr>
        <w:pageBreakBefore w:val="0"/>
        <w:widowControl w:val="0"/>
        <w:kinsoku/>
        <w:wordWrap/>
        <w:overflowPunct/>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项目生活污水</w:t>
      </w:r>
      <w:r>
        <w:rPr>
          <w:rFonts w:hint="default" w:ascii="Times New Roman" w:hAnsi="Times New Roman" w:eastAsia="宋体" w:cs="Times New Roman"/>
          <w:color w:val="auto"/>
          <w:highlight w:val="none"/>
          <w:lang w:eastAsia="zh-CN"/>
        </w:rPr>
        <w:t>经化粪池处理</w:t>
      </w:r>
      <w:r>
        <w:rPr>
          <w:rFonts w:hint="default" w:ascii="Times New Roman" w:hAnsi="Times New Roman" w:eastAsia="宋体" w:cs="Times New Roman"/>
          <w:color w:val="auto"/>
          <w:highlight w:val="none"/>
        </w:rPr>
        <w:t>后，</w:t>
      </w:r>
      <w:r>
        <w:rPr>
          <w:rFonts w:hint="default" w:ascii="Times New Roman" w:hAnsi="Times New Roman" w:eastAsia="宋体" w:cs="Times New Roman"/>
          <w:color w:val="auto"/>
          <w:highlight w:val="none"/>
          <w:lang w:eastAsia="zh-CN"/>
        </w:rPr>
        <w:t>定期由当地环卫部门清运处置</w:t>
      </w:r>
      <w:r>
        <w:rPr>
          <w:rFonts w:hint="default" w:ascii="Times New Roman" w:hAnsi="Times New Roman" w:eastAsia="宋体" w:cs="Times New Roman"/>
          <w:color w:val="auto"/>
          <w:highlight w:val="none"/>
        </w:rPr>
        <w:t>；养殖区（牛舍、运动场）场地不采取水冲洗方式清理，采用生石灰或者消毒水每周喷洒消毒2</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3次，因此，养殖区（牛舍、运动场）不产生冲洗废水。</w:t>
      </w:r>
    </w:p>
    <w:p w14:paraId="36406879">
      <w:pPr>
        <w:pageBreakBefore w:val="0"/>
        <w:widowControl w:val="0"/>
        <w:kinsoku/>
        <w:wordWrap/>
        <w:overflowPunct/>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TMR混合机</w:t>
      </w:r>
      <w:r>
        <w:rPr>
          <w:rFonts w:hint="default" w:ascii="Times New Roman" w:hAnsi="Times New Roman" w:eastAsia="宋体" w:cs="Times New Roman"/>
          <w:color w:val="auto"/>
          <w:highlight w:val="none"/>
        </w:rPr>
        <w:t>、水泵等噪声设备，</w:t>
      </w:r>
      <w:r>
        <w:rPr>
          <w:rFonts w:hint="default" w:ascii="Times New Roman" w:hAnsi="Times New Roman" w:eastAsia="宋体" w:cs="Times New Roman"/>
          <w:color w:val="auto"/>
          <w:highlight w:val="none"/>
          <w:lang w:eastAsia="zh-CN"/>
        </w:rPr>
        <w:t>采取</w:t>
      </w:r>
      <w:r>
        <w:rPr>
          <w:rFonts w:hint="default" w:ascii="Times New Roman" w:hAnsi="Times New Roman" w:eastAsia="宋体" w:cs="Times New Roman"/>
          <w:color w:val="auto"/>
          <w:highlight w:val="none"/>
        </w:rPr>
        <w:t>隔声、减振等措施减少对周围声环境的影响。</w:t>
      </w:r>
    </w:p>
    <w:p w14:paraId="30DF2257">
      <w:pPr>
        <w:pageBreakBefore w:val="0"/>
        <w:widowControl w:val="0"/>
        <w:kinsoku/>
        <w:wordWrap/>
        <w:overflowPunct/>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养殖区（牛舍、运动场）内的牛粪便每日清理一次，采取干清粪方式，用铲车将牛粪转运至</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储存并堆肥，最终作为</w:t>
      </w:r>
      <w:r>
        <w:rPr>
          <w:rFonts w:hint="default" w:ascii="Times New Roman" w:hAnsi="Times New Roman" w:eastAsia="宋体" w:cs="Times New Roman"/>
          <w:color w:val="auto"/>
          <w:highlight w:val="none"/>
          <w:lang w:eastAsia="zh-CN"/>
        </w:rPr>
        <w:t>有机肥</w:t>
      </w:r>
      <w:r>
        <w:rPr>
          <w:rFonts w:hint="default" w:ascii="Times New Roman" w:hAnsi="Times New Roman" w:eastAsia="宋体" w:cs="Times New Roman"/>
          <w:color w:val="auto"/>
          <w:highlight w:val="none"/>
        </w:rPr>
        <w:t>外售给当地农民；</w:t>
      </w:r>
      <w:r>
        <w:rPr>
          <w:rFonts w:hint="default" w:ascii="Times New Roman" w:hAnsi="Times New Roman" w:eastAsia="宋体" w:cs="Times New Roman"/>
          <w:color w:val="0000FF"/>
          <w:highlight w:val="none"/>
        </w:rPr>
        <w:t>牛舍及运动场垫料主要为碎秸秆和木屑</w:t>
      </w:r>
      <w:r>
        <w:rPr>
          <w:rFonts w:hint="default" w:ascii="Times New Roman" w:hAnsi="Times New Roman" w:eastAsia="宋体" w:cs="Times New Roman"/>
          <w:color w:val="0000FF"/>
          <w:highlight w:val="none"/>
          <w:lang w:eastAsia="zh-CN"/>
        </w:rPr>
        <w:t>，</w:t>
      </w:r>
      <w:r>
        <w:rPr>
          <w:rFonts w:hint="default" w:ascii="Times New Roman" w:hAnsi="Times New Roman" w:eastAsia="宋体" w:cs="Times New Roman"/>
          <w:color w:val="0000FF"/>
          <w:highlight w:val="none"/>
        </w:rPr>
        <w:t>带少量粪便</w:t>
      </w:r>
      <w:r>
        <w:rPr>
          <w:rFonts w:hint="default" w:ascii="Times New Roman" w:hAnsi="Times New Roman" w:eastAsia="宋体" w:cs="Times New Roman"/>
          <w:color w:val="0000FF"/>
          <w:highlight w:val="none"/>
          <w:lang w:eastAsia="zh-CN"/>
        </w:rPr>
        <w:t>。</w:t>
      </w:r>
      <w:r>
        <w:rPr>
          <w:rFonts w:hint="default" w:ascii="Times New Roman" w:hAnsi="Times New Roman" w:eastAsia="宋体" w:cs="Times New Roman"/>
          <w:color w:val="0000FF"/>
          <w:highlight w:val="none"/>
        </w:rPr>
        <w:t>采用清粪车将垫</w:t>
      </w:r>
      <w:r>
        <w:rPr>
          <w:rFonts w:hint="default" w:ascii="Times New Roman" w:hAnsi="Times New Roman" w:eastAsia="宋体" w:cs="Times New Roman"/>
          <w:color w:val="0000FF"/>
          <w:highlight w:val="none"/>
          <w:lang w:val="en-US" w:eastAsia="zh-CN"/>
        </w:rPr>
        <w:t>料</w:t>
      </w:r>
      <w:r>
        <w:rPr>
          <w:rFonts w:hint="default" w:ascii="Times New Roman" w:hAnsi="Times New Roman" w:eastAsia="宋体" w:cs="Times New Roman"/>
          <w:color w:val="0000FF"/>
          <w:highlight w:val="none"/>
        </w:rPr>
        <w:t>转运至</w:t>
      </w:r>
      <w:r>
        <w:rPr>
          <w:rFonts w:hint="default" w:ascii="Times New Roman" w:hAnsi="Times New Roman" w:eastAsia="宋体" w:cs="Times New Roman"/>
          <w:color w:val="0000FF"/>
          <w:highlight w:val="none"/>
          <w:lang w:eastAsia="zh-CN"/>
        </w:rPr>
        <w:t>粪污处理池</w:t>
      </w:r>
      <w:r>
        <w:rPr>
          <w:rFonts w:hint="default" w:ascii="Times New Roman" w:hAnsi="Times New Roman" w:eastAsia="宋体" w:cs="Times New Roman"/>
          <w:color w:val="0000FF"/>
          <w:highlight w:val="none"/>
          <w:lang w:val="en-US" w:eastAsia="zh-CN"/>
        </w:rPr>
        <w:t>与</w:t>
      </w:r>
      <w:r>
        <w:rPr>
          <w:rFonts w:hint="default" w:ascii="Times New Roman" w:hAnsi="Times New Roman" w:eastAsia="宋体" w:cs="Times New Roman"/>
          <w:color w:val="0000FF"/>
          <w:sz w:val="24"/>
          <w:szCs w:val="24"/>
          <w:highlight w:val="none"/>
          <w:lang w:eastAsia="zh-CN"/>
        </w:rPr>
        <w:t>牛粪便</w:t>
      </w:r>
      <w:r>
        <w:rPr>
          <w:rFonts w:hint="default" w:ascii="Times New Roman" w:hAnsi="Times New Roman" w:eastAsia="宋体" w:cs="Times New Roman"/>
          <w:color w:val="0000FF"/>
          <w:sz w:val="24"/>
          <w:szCs w:val="24"/>
          <w:highlight w:val="none"/>
          <w:lang w:val="en-US" w:eastAsia="zh-CN"/>
        </w:rPr>
        <w:t>一同发酵</w:t>
      </w:r>
      <w:r>
        <w:rPr>
          <w:rFonts w:hint="default" w:ascii="Times New Roman" w:hAnsi="Times New Roman" w:eastAsia="宋体" w:cs="Times New Roman"/>
          <w:color w:val="0000FF"/>
          <w:highlight w:val="none"/>
          <w:lang w:eastAsia="zh-CN"/>
        </w:rPr>
        <w:t>，形成</w:t>
      </w:r>
      <w:r>
        <w:rPr>
          <w:rFonts w:hint="default" w:ascii="Times New Roman" w:hAnsi="Times New Roman" w:eastAsia="宋体" w:cs="Times New Roman"/>
          <w:color w:val="0000FF"/>
          <w:highlight w:val="none"/>
        </w:rPr>
        <w:t>有机肥</w:t>
      </w:r>
      <w:r>
        <w:rPr>
          <w:rFonts w:hint="default" w:ascii="Times New Roman" w:hAnsi="Times New Roman" w:eastAsia="宋体" w:cs="Times New Roman"/>
          <w:color w:val="0000FF"/>
          <w:highlight w:val="none"/>
          <w:lang w:eastAsia="zh-CN"/>
        </w:rPr>
        <w:t>，</w:t>
      </w:r>
      <w:r>
        <w:rPr>
          <w:rFonts w:hint="default" w:ascii="Times New Roman" w:hAnsi="Times New Roman" w:eastAsia="宋体" w:cs="Times New Roman"/>
          <w:color w:val="0000FF"/>
          <w:highlight w:val="none"/>
        </w:rPr>
        <w:t>用于周边农田还田利用</w:t>
      </w:r>
      <w:r>
        <w:rPr>
          <w:rFonts w:hint="default" w:ascii="Times New Roman" w:hAnsi="Times New Roman" w:eastAsia="宋体" w:cs="Times New Roman"/>
          <w:color w:val="0000FF"/>
          <w:highlight w:val="none"/>
          <w:lang w:eastAsia="zh-CN"/>
        </w:rPr>
        <w:t>；</w:t>
      </w:r>
      <w:r>
        <w:rPr>
          <w:rFonts w:hint="default" w:ascii="Times New Roman" w:hAnsi="Times New Roman" w:eastAsia="宋体" w:cs="Times New Roman"/>
          <w:color w:val="auto"/>
          <w:highlight w:val="none"/>
        </w:rPr>
        <w:t>养殖过程产生的病死畜按照当地卫生防疫部门的要求进行</w:t>
      </w:r>
      <w:r>
        <w:rPr>
          <w:rFonts w:hint="default" w:ascii="Times New Roman" w:hAnsi="Times New Roman" w:eastAsia="宋体" w:cs="Times New Roman"/>
          <w:color w:val="auto"/>
          <w:highlight w:val="none"/>
          <w:lang w:eastAsia="zh-CN"/>
        </w:rPr>
        <w:t>无害化处理</w:t>
      </w:r>
      <w:r>
        <w:rPr>
          <w:rFonts w:hint="default" w:ascii="Times New Roman" w:hAnsi="Times New Roman" w:eastAsia="宋体" w:cs="Times New Roman"/>
          <w:color w:val="auto"/>
          <w:highlight w:val="none"/>
        </w:rPr>
        <w:t>；医疗垃圾收集后置于</w:t>
      </w:r>
      <w:r>
        <w:rPr>
          <w:rFonts w:hint="default" w:ascii="Times New Roman" w:hAnsi="Times New Roman" w:eastAsia="宋体" w:cs="Times New Roman"/>
          <w:color w:val="auto"/>
          <w:highlight w:val="none"/>
          <w:lang w:eastAsia="zh-CN"/>
        </w:rPr>
        <w:t>危废暂存间</w:t>
      </w:r>
      <w:r>
        <w:rPr>
          <w:rFonts w:hint="default" w:ascii="Times New Roman" w:hAnsi="Times New Roman" w:eastAsia="宋体" w:cs="Times New Roman"/>
          <w:color w:val="auto"/>
          <w:highlight w:val="none"/>
        </w:rPr>
        <w:t>后交有资质的单位处理；生活垃圾集中收集后交由当地环卫部门处理。</w:t>
      </w:r>
    </w:p>
    <w:p w14:paraId="2B445CF7">
      <w:pPr>
        <w:pageBreakBefore w:val="0"/>
        <w:widowControl w:val="0"/>
        <w:kinsoku/>
        <w:wordWrap/>
        <w:overflowPunct/>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采取以上措施后，本项目运营期对周边环境影响较小。</w:t>
      </w:r>
    </w:p>
    <w:p w14:paraId="5B25D5BF">
      <w:pPr>
        <w:pStyle w:val="3"/>
        <w:pageBreakBefore w:val="0"/>
        <w:widowControl w:val="0"/>
        <w:kinsoku/>
        <w:wordWrap/>
        <w:overflowPunct/>
        <w:topLinePunct/>
        <w:autoSpaceDN/>
        <w:bidi w:val="0"/>
        <w:adjustRightInd/>
        <w:snapToGrid w:val="0"/>
        <w:spacing w:before="0" w:after="0" w:line="360" w:lineRule="auto"/>
        <w:ind w:left="0" w:leftChars="0" w:right="0" w:rightChars="0"/>
        <w:textAlignment w:val="auto"/>
        <w:outlineLvl w:val="0"/>
        <w:rPr>
          <w:rFonts w:hint="default" w:ascii="Times New Roman" w:hAnsi="Times New Roman" w:eastAsia="宋体" w:cs="Times New Roman"/>
          <w:color w:val="auto"/>
          <w:highlight w:val="none"/>
        </w:rPr>
      </w:pPr>
      <w:bookmarkStart w:id="58" w:name="_Toc21641"/>
      <w:r>
        <w:rPr>
          <w:rFonts w:hint="default" w:ascii="Times New Roman" w:hAnsi="Times New Roman" w:eastAsia="宋体" w:cs="Times New Roman"/>
          <w:color w:val="auto"/>
          <w:highlight w:val="none"/>
        </w:rPr>
        <w:t>1.6环境影响评价主要结论</w:t>
      </w:r>
      <w:bookmarkEnd w:id="58"/>
    </w:p>
    <w:p w14:paraId="5F5EFF32">
      <w:pPr>
        <w:pageBreakBefore w:val="0"/>
        <w:widowControl w:val="0"/>
        <w:kinsoku/>
        <w:wordWrap/>
        <w:overflowPunct/>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项目为</w:t>
      </w:r>
      <w:r>
        <w:rPr>
          <w:rFonts w:hint="default" w:ascii="Times New Roman" w:hAnsi="Times New Roman" w:eastAsia="宋体" w:cs="Times New Roman"/>
          <w:color w:val="auto"/>
          <w:highlight w:val="none"/>
          <w:lang w:eastAsia="zh-CN"/>
        </w:rPr>
        <w:t>规模化肉牛养殖项目</w:t>
      </w:r>
      <w:r>
        <w:rPr>
          <w:rFonts w:hint="default" w:ascii="Times New Roman" w:hAnsi="Times New Roman" w:eastAsia="宋体" w:cs="Times New Roman"/>
          <w:color w:val="auto"/>
          <w:highlight w:val="none"/>
        </w:rPr>
        <w:t>，采用农业循环经济发展模式进行牛群养殖并配套消纳土地实现粪污资源化利用，符合国家当前产业政策及内蒙古自治区发展规划要求，其选址不属于禁养区和限养区范围内，场址选址可行，具有良好的社会经济效益。</w:t>
      </w:r>
    </w:p>
    <w:p w14:paraId="495908BA">
      <w:pPr>
        <w:pageBreakBefore w:val="0"/>
        <w:widowControl w:val="0"/>
        <w:kinsoku/>
        <w:wordWrap/>
        <w:overflowPunct/>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项目建设符合国家“三线一单”的管控原则，拟定的各项环保措施有效、可行，各类污染物可实现稳定达标排放及资源化利用，对周边环境影响较小；项目发生环境风险事故的概率较低，其潜在的风险水平可以接受；公众参与调查阶段，未收到对项目</w:t>
      </w:r>
      <w:r>
        <w:rPr>
          <w:rFonts w:hint="default" w:ascii="Times New Roman" w:hAnsi="Times New Roman" w:eastAsia="宋体" w:cs="Times New Roman"/>
          <w:color w:val="auto"/>
          <w:highlight w:val="none"/>
          <w:lang w:val="en-US" w:eastAsia="zh-CN"/>
        </w:rPr>
        <w:t>的</w:t>
      </w:r>
      <w:r>
        <w:rPr>
          <w:rFonts w:hint="default" w:ascii="Times New Roman" w:hAnsi="Times New Roman" w:eastAsia="宋体" w:cs="Times New Roman"/>
          <w:color w:val="auto"/>
          <w:highlight w:val="none"/>
        </w:rPr>
        <w:t>反对意见。因此，只要该项目在下一步的建设和运行中，认真落实本报告提出的各项环保措施，并严格执行环保“三同时”制度，本次评价认为：从环境保护角度分析，项目建设是可行的</w:t>
      </w:r>
      <w:r>
        <w:rPr>
          <w:rFonts w:hint="default" w:ascii="Times New Roman" w:hAnsi="Times New Roman" w:eastAsia="宋体" w:cs="Times New Roman"/>
          <w:color w:val="auto"/>
          <w:highlight w:val="none"/>
          <w:lang w:eastAsia="zh-CN"/>
        </w:rPr>
        <w:t>。</w:t>
      </w:r>
    </w:p>
    <w:p w14:paraId="1C6C8757">
      <w:pPr>
        <w:pageBreakBefore w:val="0"/>
        <w:widowControl w:val="0"/>
        <w:kinsoku/>
        <w:wordWrap/>
        <w:overflowPunct/>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p>
    <w:p w14:paraId="1DBAF791">
      <w:pPr>
        <w:pageBreakBefore w:val="0"/>
        <w:widowControl w:val="0"/>
        <w:kinsoku/>
        <w:wordWrap/>
        <w:overflowPunct/>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p>
    <w:p w14:paraId="24B8B439">
      <w:pPr>
        <w:pageBreakBefore w:val="0"/>
        <w:widowControl w:val="0"/>
        <w:kinsoku/>
        <w:wordWrap/>
        <w:overflowPunct/>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p>
    <w:p w14:paraId="108F4B8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p>
    <w:p w14:paraId="74D2526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sectPr>
          <w:footerReference r:id="rId10" w:type="default"/>
          <w:pgSz w:w="11906" w:h="16838"/>
          <w:pgMar w:top="1440" w:right="1800" w:bottom="1440" w:left="1800" w:header="851" w:footer="1134" w:gutter="0"/>
          <w:pgBorders>
            <w:top w:val="none" w:sz="0" w:space="0"/>
            <w:left w:val="none" w:sz="0" w:space="0"/>
            <w:bottom w:val="none" w:sz="0" w:space="0"/>
            <w:right w:val="none" w:sz="0" w:space="0"/>
          </w:pgBorders>
          <w:pgNumType w:fmt="decimal" w:start="1"/>
          <w:cols w:space="425" w:num="1"/>
          <w:docGrid w:linePitch="326" w:charSpace="0"/>
        </w:sectPr>
      </w:pPr>
    </w:p>
    <w:p w14:paraId="049473C9">
      <w:pPr>
        <w:pStyle w:val="2"/>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bookmarkStart w:id="59" w:name="_Toc12687"/>
      <w:r>
        <w:rPr>
          <w:rFonts w:hint="default" w:ascii="Times New Roman" w:hAnsi="Times New Roman" w:eastAsia="宋体" w:cs="Times New Roman"/>
          <w:color w:val="auto"/>
          <w:highlight w:val="none"/>
        </w:rPr>
        <w:t>2总则</w:t>
      </w:r>
      <w:bookmarkEnd w:id="59"/>
    </w:p>
    <w:p w14:paraId="7DB7F9E8">
      <w:pPr>
        <w:pStyle w:val="3"/>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0"/>
        <w:rPr>
          <w:rFonts w:hint="default" w:ascii="Times New Roman" w:hAnsi="Times New Roman" w:eastAsia="宋体" w:cs="Times New Roman"/>
          <w:color w:val="auto"/>
          <w:highlight w:val="none"/>
        </w:rPr>
      </w:pPr>
      <w:bookmarkStart w:id="60" w:name="_Toc3325"/>
      <w:r>
        <w:rPr>
          <w:rFonts w:hint="default" w:ascii="Times New Roman" w:hAnsi="Times New Roman" w:eastAsia="宋体" w:cs="Times New Roman"/>
          <w:color w:val="auto"/>
          <w:highlight w:val="none"/>
        </w:rPr>
        <w:t>2.1编制依据</w:t>
      </w:r>
      <w:bookmarkEnd w:id="60"/>
    </w:p>
    <w:p w14:paraId="5CEEDE24">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61" w:name="_Toc19685"/>
      <w:r>
        <w:rPr>
          <w:rFonts w:hint="default" w:ascii="Times New Roman" w:hAnsi="Times New Roman" w:eastAsia="宋体" w:cs="Times New Roman"/>
          <w:color w:val="auto"/>
          <w:highlight w:val="none"/>
        </w:rPr>
        <w:t>2.1.1环境保护法律法规</w:t>
      </w:r>
      <w:bookmarkEnd w:id="61"/>
    </w:p>
    <w:p w14:paraId="1B37E790">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（1）《中华人民共和国环境保护法》，2015.1.1施行；</w:t>
      </w:r>
    </w:p>
    <w:p w14:paraId="440A350C">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（2）《中华人民共和国环境影响评价法》，2018.12.29修订并施行；</w:t>
      </w:r>
    </w:p>
    <w:p w14:paraId="7CD21847">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（3）《中华人民共和国大气污染防治法》，2018.10.26修订并施行；</w:t>
      </w:r>
    </w:p>
    <w:p w14:paraId="79E71797">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（4）《中华人民共和国水污染防治法》，2018.1.1施行；</w:t>
      </w:r>
    </w:p>
    <w:p w14:paraId="11A77A8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（5）《中华人民共和国固体废物污染</w:t>
      </w:r>
      <w:r>
        <w:rPr>
          <w:rFonts w:hint="default" w:ascii="Times New Roman" w:hAnsi="Times New Roman" w:eastAsia="宋体" w:cs="Times New Roman"/>
          <w:color w:val="auto"/>
          <w:highlight w:val="none"/>
          <w:lang w:eastAsia="zh-CN"/>
        </w:rPr>
        <w:t>环境</w:t>
      </w:r>
      <w:r>
        <w:rPr>
          <w:rFonts w:hint="default" w:ascii="Times New Roman" w:hAnsi="Times New Roman" w:eastAsia="宋体" w:cs="Times New Roman"/>
          <w:color w:val="auto"/>
          <w:highlight w:val="none"/>
        </w:rPr>
        <w:t>防治法》，20</w:t>
      </w:r>
      <w:r>
        <w:rPr>
          <w:rFonts w:hint="default" w:ascii="Times New Roman" w:hAnsi="Times New Roman" w:eastAsia="宋体" w:cs="Times New Roman"/>
          <w:color w:val="auto"/>
          <w:highlight w:val="none"/>
          <w:lang w:val="en-US" w:eastAsia="zh-CN"/>
        </w:rPr>
        <w:t>20</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施行；</w:t>
      </w:r>
    </w:p>
    <w:p w14:paraId="5AA73A19">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0000FF"/>
          <w:highlight w:val="none"/>
        </w:rPr>
      </w:pPr>
      <w:r>
        <w:rPr>
          <w:rFonts w:hint="default" w:ascii="Times New Roman" w:hAnsi="Times New Roman" w:eastAsia="宋体" w:cs="Times New Roman"/>
          <w:color w:val="0000FF"/>
          <w:highlight w:val="none"/>
        </w:rPr>
        <w:t>（6）《</w:t>
      </w:r>
      <w:r>
        <w:rPr>
          <w:rFonts w:hint="default" w:ascii="Times New Roman" w:hAnsi="Times New Roman" w:eastAsia="宋体" w:cs="Times New Roman"/>
          <w:color w:val="0000FF"/>
          <w:highlight w:val="none"/>
          <w:lang w:eastAsia="zh-CN"/>
        </w:rPr>
        <w:t>中华人民共和国噪声污染防治法</w:t>
      </w:r>
      <w:r>
        <w:rPr>
          <w:rFonts w:hint="default" w:ascii="Times New Roman" w:hAnsi="Times New Roman" w:eastAsia="宋体" w:cs="Times New Roman"/>
          <w:color w:val="0000FF"/>
          <w:highlight w:val="none"/>
        </w:rPr>
        <w:t>》，</w:t>
      </w:r>
      <w:r>
        <w:rPr>
          <w:rFonts w:hint="default" w:ascii="Times New Roman" w:hAnsi="Times New Roman" w:eastAsia="宋体" w:cs="Times New Roman"/>
          <w:color w:val="0000FF"/>
          <w:highlight w:val="none"/>
          <w:lang w:val="en-US" w:eastAsia="zh-CN"/>
        </w:rPr>
        <w:t>2022.6.5起</w:t>
      </w:r>
      <w:r>
        <w:rPr>
          <w:rFonts w:hint="default" w:ascii="Times New Roman" w:hAnsi="Times New Roman" w:eastAsia="宋体" w:cs="Times New Roman"/>
          <w:color w:val="0000FF"/>
          <w:highlight w:val="none"/>
        </w:rPr>
        <w:t>施行；</w:t>
      </w:r>
    </w:p>
    <w:p w14:paraId="2CDF7E62">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（7）《中华人民共和国土壤污染防治法》2019.1.1日施行；</w:t>
      </w:r>
    </w:p>
    <w:p w14:paraId="5D5AFE26">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（8）《建设项目环境保护管理条例》（国务院令第682号），2017.10.1施行；</w:t>
      </w:r>
    </w:p>
    <w:p w14:paraId="16DF287B">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（9）《中华人民共和国循环经济促进法》，2018.10.26修订并施行；</w:t>
      </w:r>
    </w:p>
    <w:p w14:paraId="6090D37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（10）《中华人民共和国节约能源法》，2018.10.26修订并施行；</w:t>
      </w:r>
    </w:p>
    <w:p w14:paraId="27F78BA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（11）《中华人民共和国畜牧法》，2015.4.24修订并施行；</w:t>
      </w:r>
    </w:p>
    <w:p w14:paraId="76F12BC9">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（12）《中华人民共和国农业法》2013.1.1施行；</w:t>
      </w:r>
    </w:p>
    <w:p w14:paraId="718C0272">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（13）《建设项目环境影响评价分类管理名录</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2021年版</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》（生态环境部令第1</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号），20</w:t>
      </w:r>
      <w:r>
        <w:rPr>
          <w:rFonts w:hint="default" w:ascii="Times New Roman" w:hAnsi="Times New Roman" w:eastAsia="宋体" w:cs="Times New Roman"/>
          <w:color w:val="auto"/>
          <w:highlight w:val="none"/>
          <w:lang w:val="en-US" w:eastAsia="zh-CN"/>
        </w:rPr>
        <w:t>21.1.1施行</w:t>
      </w:r>
      <w:r>
        <w:rPr>
          <w:rFonts w:hint="default" w:ascii="Times New Roman" w:hAnsi="Times New Roman" w:eastAsia="宋体" w:cs="Times New Roman"/>
          <w:color w:val="auto"/>
          <w:highlight w:val="none"/>
        </w:rPr>
        <w:t>；</w:t>
      </w:r>
    </w:p>
    <w:p w14:paraId="2102113D">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（14）《国家危险废物名录</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2021年版</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w:t>
      </w:r>
      <w:r>
        <w:rPr>
          <w:rFonts w:hint="default" w:ascii="Times New Roman" w:hAnsi="Times New Roman" w:eastAsia="宋体" w:cs="Times New Roman"/>
          <w:color w:val="auto"/>
          <w:highlight w:val="none"/>
          <w:lang w:val="en-US" w:eastAsia="zh-CN"/>
        </w:rPr>
        <w:t>21.1</w:t>
      </w: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val="en-US" w:eastAsia="zh-CN"/>
        </w:rPr>
        <w:t>施行</w:t>
      </w:r>
      <w:r>
        <w:rPr>
          <w:rFonts w:hint="default" w:ascii="Times New Roman" w:hAnsi="Times New Roman" w:eastAsia="宋体" w:cs="Times New Roman"/>
          <w:color w:val="auto"/>
          <w:highlight w:val="none"/>
        </w:rPr>
        <w:t>；</w:t>
      </w:r>
    </w:p>
    <w:p w14:paraId="059F646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（15）《危险废物污染防治技术政策》（环发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2001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199号），2001.12.17</w:t>
      </w:r>
      <w:r>
        <w:rPr>
          <w:rFonts w:hint="default" w:ascii="Times New Roman" w:hAnsi="Times New Roman" w:eastAsia="宋体" w:cs="Times New Roman"/>
          <w:color w:val="auto"/>
          <w:highlight w:val="none"/>
          <w:lang w:val="en-US" w:eastAsia="zh-CN"/>
        </w:rPr>
        <w:t>施行</w:t>
      </w:r>
      <w:r>
        <w:rPr>
          <w:rFonts w:hint="default" w:ascii="Times New Roman" w:hAnsi="Times New Roman" w:eastAsia="宋体" w:cs="Times New Roman"/>
          <w:color w:val="auto"/>
          <w:highlight w:val="none"/>
        </w:rPr>
        <w:t>；</w:t>
      </w:r>
    </w:p>
    <w:p w14:paraId="0FFF6642">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）《关于做好环境影响评价制度与排污许可制衔接相关工作的通知》（环办环评</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2017</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84号），2017年11月15日实施；</w:t>
      </w:r>
    </w:p>
    <w:p w14:paraId="3311D6DD">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17</w:t>
      </w:r>
      <w:r>
        <w:rPr>
          <w:rFonts w:hint="default" w:ascii="Times New Roman" w:hAnsi="Times New Roman" w:eastAsia="宋体" w:cs="Times New Roman"/>
          <w:color w:val="auto"/>
          <w:highlight w:val="none"/>
        </w:rPr>
        <w:t>）《土壤污染防治行动计划》（国务院，国发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2016</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31号）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2016.5.28施行</w:t>
      </w:r>
      <w:r>
        <w:rPr>
          <w:rFonts w:hint="default" w:ascii="Times New Roman" w:hAnsi="Times New Roman" w:eastAsia="宋体" w:cs="Times New Roman"/>
          <w:color w:val="auto"/>
          <w:highlight w:val="none"/>
        </w:rPr>
        <w:t>；</w:t>
      </w:r>
    </w:p>
    <w:p w14:paraId="51D1026D">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18</w:t>
      </w:r>
      <w:r>
        <w:rPr>
          <w:rFonts w:hint="default" w:ascii="Times New Roman" w:hAnsi="Times New Roman" w:eastAsia="宋体" w:cs="Times New Roman"/>
          <w:color w:val="auto"/>
          <w:highlight w:val="none"/>
        </w:rPr>
        <w:t>）《环境影响评价公众参与办法》（生态环境部令第4号）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2019.1.1施行</w:t>
      </w:r>
      <w:r>
        <w:rPr>
          <w:rFonts w:hint="default" w:ascii="Times New Roman" w:hAnsi="Times New Roman" w:eastAsia="宋体" w:cs="Times New Roman"/>
          <w:color w:val="auto"/>
          <w:highlight w:val="none"/>
        </w:rPr>
        <w:t>；</w:t>
      </w:r>
    </w:p>
    <w:p w14:paraId="4AB26979">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19</w:t>
      </w:r>
      <w:r>
        <w:rPr>
          <w:rFonts w:hint="default" w:ascii="Times New Roman" w:hAnsi="Times New Roman" w:eastAsia="宋体" w:cs="Times New Roman"/>
          <w:color w:val="auto"/>
          <w:highlight w:val="none"/>
        </w:rPr>
        <w:t>）《国务院关于促进节约集约用地的通知》（国发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2008</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3号）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2008.1.7施行</w:t>
      </w:r>
      <w:r>
        <w:rPr>
          <w:rFonts w:hint="default" w:ascii="Times New Roman" w:hAnsi="Times New Roman" w:eastAsia="宋体" w:cs="Times New Roman"/>
          <w:color w:val="auto"/>
          <w:highlight w:val="none"/>
        </w:rPr>
        <w:t>；</w:t>
      </w:r>
    </w:p>
    <w:p w14:paraId="0F795655">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rPr>
        <w:t>）国土资源部、国家</w:t>
      </w:r>
      <w:r>
        <w:rPr>
          <w:rFonts w:hint="default" w:ascii="Times New Roman" w:hAnsi="Times New Roman" w:eastAsia="宋体" w:cs="Times New Roman"/>
          <w:color w:val="auto"/>
          <w:highlight w:val="none"/>
          <w:lang w:eastAsia="zh-CN"/>
        </w:rPr>
        <w:t>发展</w:t>
      </w:r>
      <w:r>
        <w:rPr>
          <w:rFonts w:hint="default" w:ascii="Times New Roman" w:hAnsi="Times New Roman" w:eastAsia="宋体" w:cs="Times New Roman"/>
          <w:color w:val="auto"/>
          <w:highlight w:val="none"/>
          <w:lang w:eastAsia="zh-CN"/>
        </w:rPr>
        <w:t>和改革委员会</w:t>
      </w:r>
      <w:r>
        <w:rPr>
          <w:rFonts w:hint="default" w:ascii="Times New Roman" w:hAnsi="Times New Roman" w:eastAsia="宋体" w:cs="Times New Roman"/>
          <w:color w:val="auto"/>
          <w:highlight w:val="none"/>
        </w:rPr>
        <w:t>关于发布实施《限制用地项目目录（2012年本）》和《禁止用地目录（2012年本）》的通知</w:t>
      </w:r>
      <w:r>
        <w:rPr>
          <w:rFonts w:hint="default" w:ascii="Times New Roman" w:hAnsi="Times New Roman" w:eastAsia="宋体" w:cs="Times New Roman"/>
          <w:color w:val="auto"/>
          <w:highlight w:val="none"/>
          <w:lang w:eastAsia="zh-CN"/>
        </w:rPr>
        <w:t>（国土资发</w:t>
      </w:r>
      <w:r>
        <w:rPr>
          <w:rFonts w:hint="default" w:ascii="Times New Roman" w:hAnsi="Times New Roman" w:eastAsia="宋体" w:cs="Times New Roman"/>
          <w:color w:val="auto"/>
          <w:highlight w:val="none"/>
          <w:lang w:val="en-US" w:eastAsia="zh-CN"/>
        </w:rPr>
        <w:t>〔2012〕98号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2012.6.18施行</w:t>
      </w:r>
      <w:r>
        <w:rPr>
          <w:rFonts w:hint="default" w:ascii="Times New Roman" w:hAnsi="Times New Roman" w:eastAsia="宋体" w:cs="Times New Roman"/>
          <w:color w:val="auto"/>
          <w:highlight w:val="none"/>
        </w:rPr>
        <w:t>；</w:t>
      </w:r>
    </w:p>
    <w:p w14:paraId="04A8CC16">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）《畜禽规模养殖污染防治条例》（国务院令第643号）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2014.1.1施行</w:t>
      </w:r>
      <w:r>
        <w:rPr>
          <w:rFonts w:hint="default" w:ascii="Times New Roman" w:hAnsi="Times New Roman" w:eastAsia="宋体" w:cs="Times New Roman"/>
          <w:color w:val="auto"/>
          <w:highlight w:val="none"/>
        </w:rPr>
        <w:t>；</w:t>
      </w:r>
    </w:p>
    <w:p w14:paraId="4ECE03E1">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）《国务院办公厅关于建立病死畜禽无害化处理机制的意见》（国办发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2014</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47号）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2014.10.31施行</w:t>
      </w:r>
      <w:r>
        <w:rPr>
          <w:rFonts w:hint="default" w:ascii="Times New Roman" w:hAnsi="Times New Roman" w:eastAsia="宋体" w:cs="Times New Roman"/>
          <w:color w:val="auto"/>
          <w:highlight w:val="none"/>
        </w:rPr>
        <w:t>；</w:t>
      </w:r>
    </w:p>
    <w:p w14:paraId="3505CE1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23</w:t>
      </w:r>
      <w:r>
        <w:rPr>
          <w:rFonts w:hint="default" w:ascii="Times New Roman" w:hAnsi="Times New Roman" w:eastAsia="宋体" w:cs="Times New Roman"/>
          <w:color w:val="auto"/>
          <w:highlight w:val="none"/>
        </w:rPr>
        <w:t>）《国务院关于加快推进畜禽养殖废弃物资源化利用的意见》（国办发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2017</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48号）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2017.6.12施行</w:t>
      </w:r>
      <w:r>
        <w:rPr>
          <w:rFonts w:hint="default" w:ascii="Times New Roman" w:hAnsi="Times New Roman" w:eastAsia="宋体" w:cs="Times New Roman"/>
          <w:color w:val="auto"/>
          <w:highlight w:val="none"/>
        </w:rPr>
        <w:t>；</w:t>
      </w:r>
    </w:p>
    <w:p w14:paraId="6B33F198">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24</w:t>
      </w:r>
      <w:r>
        <w:rPr>
          <w:rFonts w:hint="default" w:ascii="Times New Roman" w:hAnsi="Times New Roman" w:eastAsia="宋体" w:cs="Times New Roman"/>
          <w:color w:val="auto"/>
          <w:highlight w:val="none"/>
        </w:rPr>
        <w:t>）《关于做好畜禽规模养殖项目环境影响评价管理工作的通知》（环办环评</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2018</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31号）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2018.10.12施行</w:t>
      </w:r>
      <w:r>
        <w:rPr>
          <w:rFonts w:hint="default" w:ascii="Times New Roman" w:hAnsi="Times New Roman" w:eastAsia="宋体" w:cs="Times New Roman"/>
          <w:color w:val="auto"/>
          <w:highlight w:val="none"/>
        </w:rPr>
        <w:t>；</w:t>
      </w:r>
    </w:p>
    <w:p w14:paraId="7759E3FE">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25</w:t>
      </w:r>
      <w:r>
        <w:rPr>
          <w:rFonts w:hint="default" w:ascii="Times New Roman" w:hAnsi="Times New Roman" w:eastAsia="宋体" w:cs="Times New Roman"/>
          <w:color w:val="auto"/>
          <w:highlight w:val="none"/>
        </w:rPr>
        <w:t>）《农业部关于印发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畜禽粪污资源化利用行动方案（2017</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2020年）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》（农牧发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2017</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11号）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2017.7.7施行</w:t>
      </w:r>
      <w:r>
        <w:rPr>
          <w:rFonts w:hint="default" w:ascii="Times New Roman" w:hAnsi="Times New Roman" w:eastAsia="宋体" w:cs="Times New Roman"/>
          <w:color w:val="auto"/>
          <w:highlight w:val="none"/>
        </w:rPr>
        <w:t>；</w:t>
      </w:r>
    </w:p>
    <w:p w14:paraId="65322F32">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26</w:t>
      </w:r>
      <w:r>
        <w:rPr>
          <w:rFonts w:hint="default" w:ascii="Times New Roman" w:hAnsi="Times New Roman" w:eastAsia="宋体" w:cs="Times New Roman"/>
          <w:color w:val="auto"/>
          <w:highlight w:val="none"/>
        </w:rPr>
        <w:t>）《农业部办公厅关于印发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畜禽规模养殖场粪污资源化利用设施建设规范（试行）</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的通知》（农办牧</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2018</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2018.1.5施行</w:t>
      </w:r>
      <w:r>
        <w:rPr>
          <w:rFonts w:hint="default" w:ascii="Times New Roman" w:hAnsi="Times New Roman" w:eastAsia="宋体" w:cs="Times New Roman"/>
          <w:color w:val="auto"/>
          <w:highlight w:val="none"/>
        </w:rPr>
        <w:t>；</w:t>
      </w:r>
    </w:p>
    <w:p w14:paraId="43B1EB8D">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27</w:t>
      </w:r>
      <w:r>
        <w:rPr>
          <w:rFonts w:hint="default" w:ascii="Times New Roman" w:hAnsi="Times New Roman" w:eastAsia="宋体" w:cs="Times New Roman"/>
          <w:color w:val="auto"/>
          <w:highlight w:val="none"/>
        </w:rPr>
        <w:t>）《农业部关于印发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病死及病害动物无害化处理技术规范</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的通知》（农医发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2017</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25号）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2017.7.3施行</w:t>
      </w:r>
      <w:r>
        <w:rPr>
          <w:rFonts w:hint="default" w:ascii="Times New Roman" w:hAnsi="Times New Roman" w:eastAsia="宋体" w:cs="Times New Roman"/>
          <w:color w:val="auto"/>
          <w:highlight w:val="none"/>
        </w:rPr>
        <w:t>；</w:t>
      </w:r>
    </w:p>
    <w:p w14:paraId="586F2E92">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28</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shd w:val="clear" w:color="auto" w:fill="FFFFFF"/>
        </w:rPr>
        <w:t>《国务院办公厅关于加快推进畜禽养殖废弃物资源化利用的意见》（国办发</w:t>
      </w:r>
      <w:r>
        <w:rPr>
          <w:rFonts w:hint="default" w:ascii="Times New Roman" w:hAnsi="Times New Roman" w:eastAsia="宋体" w:cs="Times New Roman"/>
          <w:color w:val="auto"/>
          <w:highlight w:val="none"/>
          <w:shd w:val="clear" w:color="auto" w:fill="FFFFFF"/>
          <w:lang w:eastAsia="zh-CN"/>
        </w:rPr>
        <w:t>〔</w:t>
      </w:r>
      <w:r>
        <w:rPr>
          <w:rFonts w:hint="default" w:ascii="Times New Roman" w:hAnsi="Times New Roman" w:eastAsia="宋体" w:cs="Times New Roman"/>
          <w:color w:val="auto"/>
          <w:highlight w:val="none"/>
          <w:shd w:val="clear" w:color="auto" w:fill="FFFFFF"/>
        </w:rPr>
        <w:t>2017</w:t>
      </w:r>
      <w:r>
        <w:rPr>
          <w:rFonts w:hint="default" w:ascii="Times New Roman" w:hAnsi="Times New Roman" w:eastAsia="宋体" w:cs="Times New Roman"/>
          <w:color w:val="auto"/>
          <w:highlight w:val="none"/>
          <w:shd w:val="clear" w:color="auto" w:fill="FFFFFF"/>
          <w:lang w:eastAsia="zh-CN"/>
        </w:rPr>
        <w:t>〕</w:t>
      </w:r>
      <w:r>
        <w:rPr>
          <w:rFonts w:hint="default" w:ascii="Times New Roman" w:hAnsi="Times New Roman" w:eastAsia="宋体" w:cs="Times New Roman"/>
          <w:color w:val="auto"/>
          <w:highlight w:val="none"/>
          <w:shd w:val="clear" w:color="auto" w:fill="FFFFFF"/>
        </w:rPr>
        <w:t>48号）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2017.6.12施行</w:t>
      </w:r>
      <w:r>
        <w:rPr>
          <w:rFonts w:hint="default" w:ascii="Times New Roman" w:hAnsi="Times New Roman" w:eastAsia="宋体" w:cs="Times New Roman"/>
          <w:color w:val="auto"/>
          <w:highlight w:val="none"/>
        </w:rPr>
        <w:t>；</w:t>
      </w:r>
    </w:p>
    <w:p w14:paraId="330D14A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29</w:t>
      </w:r>
      <w:r>
        <w:rPr>
          <w:rFonts w:hint="default" w:ascii="Times New Roman" w:hAnsi="Times New Roman" w:eastAsia="宋体" w:cs="Times New Roman"/>
          <w:color w:val="auto"/>
          <w:highlight w:val="none"/>
        </w:rPr>
        <w:t>）《农业部关于印发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种养结合循环农业示范工程建设规划（2017</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2020年）</w:t>
      </w:r>
      <w:r>
        <w:rPr>
          <w:rFonts w:hint="default" w:ascii="Times New Roman" w:hAnsi="Times New Roman" w:eastAsia="宋体" w:cs="Times New Roman"/>
          <w:color w:val="auto"/>
          <w:highlight w:val="none"/>
          <w:lang w:eastAsia="zh-CN"/>
        </w:rPr>
        <w:t>〉的通知</w:t>
      </w:r>
      <w:r>
        <w:rPr>
          <w:rFonts w:hint="default" w:ascii="Times New Roman" w:hAnsi="Times New Roman" w:eastAsia="宋体" w:cs="Times New Roman"/>
          <w:color w:val="auto"/>
          <w:highlight w:val="none"/>
        </w:rPr>
        <w:t>》（农计发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2017</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106号）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2017.8.15施行</w:t>
      </w:r>
      <w:r>
        <w:rPr>
          <w:rFonts w:hint="default" w:ascii="Times New Roman" w:hAnsi="Times New Roman" w:eastAsia="宋体" w:cs="Times New Roman"/>
          <w:color w:val="auto"/>
          <w:highlight w:val="none"/>
        </w:rPr>
        <w:t>；</w:t>
      </w:r>
    </w:p>
    <w:p w14:paraId="16D16E97">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r>
        <w:rPr>
          <w:rFonts w:hint="default"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国土资源部农业部</w:t>
      </w:r>
      <w:r>
        <w:rPr>
          <w:rFonts w:hint="default" w:ascii="Times New Roman" w:hAnsi="Times New Roman" w:eastAsia="宋体" w:cs="Times New Roman"/>
          <w:color w:val="auto"/>
          <w:highlight w:val="none"/>
        </w:rPr>
        <w:t>关于促进规模化畜禽养殖有关用地政策的通知》（国土资发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2007</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220号）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2012.9.5施行</w:t>
      </w:r>
      <w:r>
        <w:rPr>
          <w:rFonts w:hint="default" w:ascii="Times New Roman" w:hAnsi="Times New Roman" w:eastAsia="宋体" w:cs="Times New Roman"/>
          <w:color w:val="auto"/>
          <w:highlight w:val="none"/>
        </w:rPr>
        <w:t>；</w:t>
      </w:r>
    </w:p>
    <w:p w14:paraId="59792BB3">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31</w:t>
      </w:r>
      <w:r>
        <w:rPr>
          <w:rFonts w:hint="default" w:ascii="Times New Roman" w:hAnsi="Times New Roman" w:eastAsia="宋体" w:cs="Times New Roman"/>
          <w:color w:val="auto"/>
          <w:highlight w:val="none"/>
        </w:rPr>
        <w:t>）《农业农村部</w:t>
      </w:r>
      <w:r>
        <w:rPr>
          <w:rFonts w:hint="default" w:ascii="Times New Roman" w:hAnsi="Times New Roman" w:eastAsia="宋体" w:cs="Times New Roman"/>
          <w:color w:val="auto"/>
          <w:highlight w:val="none"/>
          <w:lang w:eastAsia="zh-CN"/>
        </w:rPr>
        <w:t>办公厅</w:t>
      </w:r>
      <w:r>
        <w:rPr>
          <w:rFonts w:hint="default" w:ascii="Times New Roman" w:hAnsi="Times New Roman" w:eastAsia="宋体" w:cs="Times New Roman"/>
          <w:color w:val="auto"/>
          <w:highlight w:val="none"/>
        </w:rPr>
        <w:t>、生态环境部</w:t>
      </w:r>
      <w:r>
        <w:rPr>
          <w:rFonts w:hint="default" w:ascii="Times New Roman" w:hAnsi="Times New Roman" w:eastAsia="宋体" w:cs="Times New Roman"/>
          <w:color w:val="auto"/>
          <w:highlight w:val="none"/>
          <w:lang w:eastAsia="zh-CN"/>
        </w:rPr>
        <w:t>办公厅</w:t>
      </w:r>
      <w:r>
        <w:rPr>
          <w:rFonts w:hint="default" w:ascii="Times New Roman" w:hAnsi="Times New Roman" w:eastAsia="宋体" w:cs="Times New Roman"/>
          <w:color w:val="auto"/>
          <w:highlight w:val="none"/>
        </w:rPr>
        <w:t>关于进一步明确畜禽粪污还田利用要求强化养殖污染监管的通知》（农办牧</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2020</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23号）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2020.6.4施行</w:t>
      </w:r>
      <w:r>
        <w:rPr>
          <w:rFonts w:hint="default" w:ascii="Times New Roman" w:hAnsi="Times New Roman" w:eastAsia="宋体" w:cs="Times New Roman"/>
          <w:color w:val="auto"/>
          <w:highlight w:val="none"/>
          <w:lang w:val="en-US" w:eastAsia="zh-CN"/>
        </w:rPr>
        <w:t>；</w:t>
      </w:r>
    </w:p>
    <w:p w14:paraId="0E2EBFD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0000FF"/>
          <w:sz w:val="24"/>
          <w:szCs w:val="24"/>
          <w:highlight w:val="none"/>
        </w:rPr>
        <w:t>（</w:t>
      </w:r>
      <w:r>
        <w:rPr>
          <w:rFonts w:hint="default" w:ascii="Times New Roman" w:hAnsi="Times New Roman" w:eastAsia="宋体" w:cs="Times New Roman"/>
          <w:color w:val="0000FF"/>
          <w:sz w:val="24"/>
          <w:szCs w:val="24"/>
          <w:highlight w:val="none"/>
          <w:lang w:val="en-US" w:eastAsia="zh-CN"/>
        </w:rPr>
        <w:t>3</w:t>
      </w:r>
      <w:r>
        <w:rPr>
          <w:rFonts w:hint="default" w:ascii="Times New Roman" w:hAnsi="Times New Roman" w:eastAsia="宋体" w:cs="Times New Roman"/>
          <w:color w:val="0000FF"/>
          <w:sz w:val="24"/>
          <w:szCs w:val="24"/>
          <w:highlight w:val="none"/>
          <w:lang w:val="en-US" w:eastAsia="zh-CN"/>
        </w:rPr>
        <w:t>2</w:t>
      </w:r>
      <w:r>
        <w:rPr>
          <w:rFonts w:hint="default" w:ascii="Times New Roman" w:hAnsi="Times New Roman" w:eastAsia="宋体" w:cs="Times New Roman"/>
          <w:color w:val="0000FF"/>
          <w:sz w:val="24"/>
          <w:szCs w:val="24"/>
          <w:highlight w:val="none"/>
        </w:rPr>
        <w:t>）《农业农村部办公厅生态环境部办公厅关于印发</w:t>
      </w:r>
      <w:r>
        <w:rPr>
          <w:rFonts w:hint="default" w:ascii="Times New Roman" w:hAnsi="Times New Roman" w:eastAsia="宋体" w:cs="Times New Roman"/>
          <w:color w:val="0000FF"/>
          <w:sz w:val="24"/>
          <w:szCs w:val="24"/>
          <w:highlight w:val="none"/>
          <w:lang w:eastAsia="zh-CN"/>
        </w:rPr>
        <w:t>〈</w:t>
      </w:r>
      <w:r>
        <w:rPr>
          <w:rFonts w:hint="default" w:ascii="Times New Roman" w:hAnsi="Times New Roman" w:eastAsia="宋体" w:cs="Times New Roman"/>
          <w:color w:val="0000FF"/>
          <w:sz w:val="24"/>
          <w:szCs w:val="24"/>
          <w:highlight w:val="none"/>
        </w:rPr>
        <w:t>畜禽养殖场（户）粪污处理设施建设技术指南</w:t>
      </w:r>
      <w:r>
        <w:rPr>
          <w:rFonts w:hint="default" w:ascii="Times New Roman" w:hAnsi="Times New Roman" w:eastAsia="宋体" w:cs="Times New Roman"/>
          <w:color w:val="0000FF"/>
          <w:sz w:val="24"/>
          <w:szCs w:val="24"/>
          <w:highlight w:val="none"/>
          <w:lang w:eastAsia="zh-CN"/>
        </w:rPr>
        <w:t>〉</w:t>
      </w:r>
      <w:r>
        <w:rPr>
          <w:rFonts w:hint="default" w:ascii="Times New Roman" w:hAnsi="Times New Roman" w:eastAsia="宋体" w:cs="Times New Roman"/>
          <w:color w:val="0000FF"/>
          <w:sz w:val="24"/>
          <w:szCs w:val="24"/>
          <w:highlight w:val="none"/>
        </w:rPr>
        <w:t>的通知》</w:t>
      </w:r>
      <w:r>
        <w:rPr>
          <w:rFonts w:hint="default" w:ascii="Times New Roman" w:hAnsi="Times New Roman" w:eastAsia="宋体" w:cs="Times New Roman"/>
          <w:color w:val="0000FF"/>
          <w:sz w:val="24"/>
          <w:szCs w:val="24"/>
          <w:highlight w:val="none"/>
          <w:lang w:eastAsia="zh-CN"/>
        </w:rPr>
        <w:t>（</w:t>
      </w:r>
      <w:r>
        <w:rPr>
          <w:rFonts w:hint="default" w:ascii="Times New Roman" w:hAnsi="Times New Roman" w:eastAsia="宋体" w:cs="Times New Roman"/>
          <w:color w:val="0000FF"/>
          <w:sz w:val="24"/>
          <w:szCs w:val="24"/>
          <w:highlight w:val="none"/>
        </w:rPr>
        <w:t>农办牧〔2022〕19号</w:t>
      </w:r>
      <w:r>
        <w:rPr>
          <w:rFonts w:hint="default" w:ascii="Times New Roman" w:hAnsi="Times New Roman" w:eastAsia="宋体" w:cs="Times New Roman"/>
          <w:color w:val="0000FF"/>
          <w:sz w:val="24"/>
          <w:szCs w:val="24"/>
          <w:highlight w:val="none"/>
          <w:lang w:eastAsia="zh-CN"/>
        </w:rPr>
        <w:t>）</w:t>
      </w:r>
      <w:r>
        <w:rPr>
          <w:rFonts w:hint="default" w:ascii="Times New Roman" w:hAnsi="Times New Roman" w:eastAsia="宋体" w:cs="Times New Roman"/>
          <w:color w:val="0000FF"/>
          <w:highlight w:val="none"/>
          <w:lang w:eastAsia="zh-CN"/>
        </w:rPr>
        <w:t>，2022年</w:t>
      </w:r>
      <w:r>
        <w:rPr>
          <w:rFonts w:hint="default" w:ascii="Times New Roman" w:hAnsi="Times New Roman" w:eastAsia="宋体" w:cs="Times New Roman"/>
          <w:color w:val="0000FF"/>
          <w:highlight w:val="none"/>
          <w:lang w:val="en-US" w:eastAsia="zh-CN"/>
        </w:rPr>
        <w:t>8</w:t>
      </w:r>
      <w:r>
        <w:rPr>
          <w:rFonts w:hint="default" w:ascii="Times New Roman" w:hAnsi="Times New Roman" w:eastAsia="宋体" w:cs="Times New Roman"/>
          <w:color w:val="0000FF"/>
          <w:highlight w:val="none"/>
          <w:lang w:eastAsia="zh-CN"/>
        </w:rPr>
        <w:t>月</w:t>
      </w:r>
      <w:r>
        <w:rPr>
          <w:rFonts w:hint="default" w:ascii="Times New Roman" w:hAnsi="Times New Roman" w:eastAsia="宋体" w:cs="Times New Roman"/>
          <w:color w:val="0000FF"/>
          <w:highlight w:val="none"/>
          <w:lang w:val="en-US" w:eastAsia="zh-CN"/>
        </w:rPr>
        <w:t>12</w:t>
      </w:r>
      <w:r>
        <w:rPr>
          <w:rFonts w:hint="default" w:ascii="Times New Roman" w:hAnsi="Times New Roman" w:eastAsia="宋体" w:cs="Times New Roman"/>
          <w:color w:val="0000FF"/>
          <w:highlight w:val="none"/>
          <w:lang w:eastAsia="zh-CN"/>
        </w:rPr>
        <w:t>日</w:t>
      </w:r>
      <w:r>
        <w:rPr>
          <w:rFonts w:hint="default" w:ascii="Times New Roman" w:hAnsi="Times New Roman" w:eastAsia="宋体" w:cs="Times New Roman"/>
          <w:color w:val="0000FF"/>
          <w:highlight w:val="none"/>
          <w:lang w:val="en-US" w:eastAsia="zh-CN"/>
        </w:rPr>
        <w:t>发布</w:t>
      </w:r>
      <w:r>
        <w:rPr>
          <w:rFonts w:hint="default" w:ascii="Times New Roman" w:hAnsi="Times New Roman" w:eastAsia="宋体" w:cs="Times New Roman"/>
          <w:color w:val="0000FF"/>
          <w:highlight w:val="none"/>
        </w:rPr>
        <w:t>。</w:t>
      </w:r>
    </w:p>
    <w:p w14:paraId="66365E23">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62" w:name="_Toc22913"/>
      <w:r>
        <w:rPr>
          <w:rFonts w:hint="default" w:ascii="Times New Roman" w:hAnsi="Times New Roman" w:eastAsia="宋体" w:cs="Times New Roman"/>
          <w:color w:val="auto"/>
          <w:highlight w:val="none"/>
        </w:rPr>
        <w:t>2.1.2相关产业政策</w:t>
      </w:r>
      <w:bookmarkEnd w:id="62"/>
    </w:p>
    <w:p w14:paraId="021216C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0000"/>
          <w:highlight w:val="none"/>
          <w:lang w:eastAsia="zh-CN"/>
        </w:rPr>
      </w:pPr>
      <w:r>
        <w:rPr>
          <w:rFonts w:hint="default" w:ascii="Times New Roman" w:hAnsi="Times New Roman" w:eastAsia="宋体" w:cs="Times New Roman"/>
          <w:color w:val="FF0000"/>
          <w:highlight w:val="none"/>
        </w:rPr>
        <w:t>（1）《产业结构调整指导目录（20</w:t>
      </w:r>
      <w:r>
        <w:rPr>
          <w:rFonts w:hint="default" w:ascii="Times New Roman" w:hAnsi="Times New Roman" w:eastAsia="宋体" w:cs="Times New Roman"/>
          <w:color w:val="FF0000"/>
          <w:highlight w:val="none"/>
          <w:lang w:val="en-US" w:eastAsia="zh-CN"/>
        </w:rPr>
        <w:t>24</w:t>
      </w:r>
      <w:r>
        <w:rPr>
          <w:rFonts w:hint="default" w:ascii="Times New Roman" w:hAnsi="Times New Roman" w:eastAsia="宋体" w:cs="Times New Roman"/>
          <w:color w:val="FF0000"/>
          <w:highlight w:val="none"/>
        </w:rPr>
        <w:t>年本）》（</w:t>
      </w:r>
      <w:r>
        <w:rPr>
          <w:rFonts w:hint="default" w:ascii="Times New Roman" w:hAnsi="Times New Roman" w:eastAsia="宋体" w:cs="Times New Roman"/>
          <w:color w:val="FF0000"/>
          <w:highlight w:val="none"/>
          <w:lang w:eastAsia="zh-CN"/>
        </w:rPr>
        <w:t>中华人民共和国国家发展和改革委员会令第</w:t>
      </w:r>
      <w:r>
        <w:rPr>
          <w:rFonts w:hint="default" w:ascii="Times New Roman" w:hAnsi="Times New Roman" w:eastAsia="宋体" w:cs="Times New Roman"/>
          <w:color w:val="FF0000"/>
          <w:highlight w:val="none"/>
          <w:lang w:val="en-US" w:eastAsia="zh-CN"/>
        </w:rPr>
        <w:t>7</w:t>
      </w:r>
      <w:r>
        <w:rPr>
          <w:rFonts w:hint="default" w:ascii="Times New Roman" w:hAnsi="Times New Roman" w:eastAsia="宋体" w:cs="Times New Roman"/>
          <w:color w:val="FF0000"/>
          <w:highlight w:val="none"/>
          <w:lang w:eastAsia="zh-CN"/>
        </w:rPr>
        <w:t>号</w:t>
      </w:r>
      <w:r>
        <w:rPr>
          <w:rFonts w:hint="default" w:ascii="Times New Roman" w:hAnsi="Times New Roman" w:eastAsia="宋体" w:cs="Times New Roman"/>
          <w:color w:val="FF0000"/>
          <w:highlight w:val="none"/>
        </w:rPr>
        <w:t>），202</w:t>
      </w:r>
      <w:r>
        <w:rPr>
          <w:rFonts w:hint="default" w:ascii="Times New Roman" w:hAnsi="Times New Roman" w:eastAsia="宋体" w:cs="Times New Roman"/>
          <w:color w:val="FF0000"/>
          <w:highlight w:val="none"/>
          <w:lang w:val="en-US" w:eastAsia="zh-CN"/>
        </w:rPr>
        <w:t>4</w:t>
      </w:r>
      <w:r>
        <w:rPr>
          <w:rFonts w:hint="default" w:ascii="Times New Roman" w:hAnsi="Times New Roman" w:eastAsia="宋体" w:cs="Times New Roman"/>
          <w:color w:val="FF0000"/>
          <w:highlight w:val="none"/>
        </w:rPr>
        <w:t>.</w:t>
      </w:r>
      <w:r>
        <w:rPr>
          <w:rFonts w:hint="default" w:ascii="Times New Roman" w:hAnsi="Times New Roman" w:eastAsia="宋体" w:cs="Times New Roman"/>
          <w:color w:val="FF0000"/>
          <w:highlight w:val="none"/>
          <w:lang w:val="en-US" w:eastAsia="zh-CN"/>
        </w:rPr>
        <w:t>2</w:t>
      </w:r>
      <w:r>
        <w:rPr>
          <w:rFonts w:hint="default" w:ascii="Times New Roman" w:hAnsi="Times New Roman" w:eastAsia="宋体" w:cs="Times New Roman"/>
          <w:color w:val="FF0000"/>
          <w:highlight w:val="none"/>
        </w:rPr>
        <w:t>.1</w:t>
      </w:r>
      <w:r>
        <w:rPr>
          <w:rFonts w:hint="default" w:ascii="Times New Roman" w:hAnsi="Times New Roman" w:eastAsia="宋体" w:cs="Times New Roman"/>
          <w:color w:val="FF0000"/>
          <w:highlight w:val="none"/>
          <w:lang w:eastAsia="zh-CN"/>
        </w:rPr>
        <w:t>起</w:t>
      </w:r>
      <w:r>
        <w:rPr>
          <w:rFonts w:hint="default" w:ascii="Times New Roman" w:hAnsi="Times New Roman" w:eastAsia="宋体" w:cs="Times New Roman"/>
          <w:color w:val="FF0000"/>
          <w:highlight w:val="none"/>
        </w:rPr>
        <w:t>施行</w:t>
      </w:r>
      <w:r>
        <w:rPr>
          <w:rFonts w:hint="default" w:ascii="Times New Roman" w:hAnsi="Times New Roman" w:eastAsia="宋体" w:cs="Times New Roman"/>
          <w:color w:val="FF0000"/>
          <w:highlight w:val="none"/>
          <w:lang w:eastAsia="zh-CN"/>
        </w:rPr>
        <w:t>；</w:t>
      </w:r>
    </w:p>
    <w:p w14:paraId="09A47D31">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63" w:name="_Toc17889"/>
      <w:r>
        <w:rPr>
          <w:rFonts w:hint="default" w:ascii="Times New Roman" w:hAnsi="Times New Roman" w:eastAsia="宋体" w:cs="Times New Roman"/>
          <w:color w:val="auto"/>
          <w:highlight w:val="none"/>
        </w:rPr>
        <w:t>2.1.3地方性法规及规范性文件</w:t>
      </w:r>
      <w:bookmarkEnd w:id="63"/>
    </w:p>
    <w:p w14:paraId="0E028CD3">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（1）《内蒙古自治区限制开发区域限制类和禁止类产业指导目录（2016年本）》（内政办发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2016</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127号），2016.9.14；</w:t>
      </w:r>
    </w:p>
    <w:p w14:paraId="5C34D95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）《内蒙古自治区贯彻国务院〈建设项目环境保护管理条例〉实施意见》，2009.11.10；</w:t>
      </w:r>
    </w:p>
    <w:p w14:paraId="2A37E2BE">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）《内蒙古自治区环境保护条例》（2018年修正）；</w:t>
      </w:r>
    </w:p>
    <w:p w14:paraId="0BD696E1">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）内蒙古自治区人民政府办公厅关于转发自治区环境保护厅《环境影响评价（非辐射类）分级审批及验收意见》的通知，内政办字</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2015</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61号）</w:t>
      </w:r>
    </w:p>
    <w:p w14:paraId="59864B8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）《内蒙古自治区人民政府关于印发自治区国家重点生态功能区产业准入负面清单（试行）》（内政发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2018</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11号），2018.3.12。</w:t>
      </w:r>
    </w:p>
    <w:p w14:paraId="3E0EF1E0">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）《关于进一步贯彻落实《畜禽规模养殖污染防治条例》促进养殖废弃物综合利用加强污染防治的通知》（内农牧畜发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2016</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228号）；</w:t>
      </w:r>
    </w:p>
    <w:p w14:paraId="3B28F50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）《关于病死畜禽无害化处理工作的实施意见》（内政办发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2015</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54号）；</w:t>
      </w:r>
    </w:p>
    <w:p w14:paraId="58260437">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rPr>
        <w:t>）《内蒙古自治区畜禽养殖主要污染物减排工程项目建设技术指南（试行）》（内环发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2014</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83号）；</w:t>
      </w:r>
    </w:p>
    <w:p w14:paraId="31CA5832">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）《内蒙古自治区人民政府办公厅关于印发畜禽粪污资源化利用工作方案（2017</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2020年）的通知》（内政办字</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2017</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179号）；</w:t>
      </w:r>
    </w:p>
    <w:p w14:paraId="7E69EFFD">
      <w:pPr>
        <w:pageBreakBefore w:val="0"/>
        <w:widowControl w:val="0"/>
        <w:kinsoku/>
        <w:wordWrap/>
        <w:overflowPunct/>
        <w:topLinePunct/>
        <w:autoSpaceDE w:val="0"/>
        <w:autoSpaceDN/>
        <w:bidi w:val="0"/>
        <w:adjustRightInd/>
        <w:snapToGrid w:val="0"/>
        <w:spacing w:line="360" w:lineRule="auto"/>
        <w:ind w:left="0" w:leftChars="0" w:right="0" w:rightChars="0" w:firstLine="480"/>
        <w:jc w:val="both"/>
        <w:textAlignment w:val="auto"/>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0）《巴彦淖尔市大气污染防治条例》，2019年10月1日</w:t>
      </w:r>
      <w:r>
        <w:rPr>
          <w:rFonts w:hint="default" w:ascii="Times New Roman" w:hAnsi="Times New Roman" w:eastAsia="宋体" w:cs="Times New Roman"/>
          <w:color w:val="auto"/>
          <w:szCs w:val="24"/>
          <w:highlight w:val="none"/>
        </w:rPr>
        <w:t>。</w:t>
      </w:r>
    </w:p>
    <w:p w14:paraId="74D39C25">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64" w:name="_Toc9365"/>
      <w:r>
        <w:rPr>
          <w:rFonts w:hint="default" w:ascii="Times New Roman" w:hAnsi="Times New Roman" w:eastAsia="宋体" w:cs="Times New Roman"/>
          <w:color w:val="auto"/>
          <w:highlight w:val="none"/>
        </w:rPr>
        <w:t>2.1.4</w:t>
      </w:r>
      <w:bookmarkStart w:id="65" w:name="_Toc512871522"/>
      <w:r>
        <w:rPr>
          <w:rFonts w:hint="default" w:ascii="Times New Roman" w:hAnsi="Times New Roman" w:eastAsia="宋体" w:cs="Times New Roman"/>
          <w:color w:val="auto"/>
          <w:highlight w:val="none"/>
        </w:rPr>
        <w:t>技术</w:t>
      </w:r>
      <w:bookmarkEnd w:id="65"/>
      <w:r>
        <w:rPr>
          <w:rFonts w:hint="default" w:ascii="Times New Roman" w:hAnsi="Times New Roman" w:eastAsia="宋体" w:cs="Times New Roman"/>
          <w:color w:val="auto"/>
          <w:highlight w:val="none"/>
        </w:rPr>
        <w:t>导则和规范</w:t>
      </w:r>
      <w:bookmarkEnd w:id="64"/>
    </w:p>
    <w:p w14:paraId="4DCF7B79">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bookmarkStart w:id="66" w:name="_Toc512871523"/>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eastAsia="zh-CN"/>
        </w:rPr>
        <w:t>建设项目</w:t>
      </w:r>
      <w:r>
        <w:rPr>
          <w:rFonts w:hint="default" w:ascii="Times New Roman" w:hAnsi="Times New Roman" w:eastAsia="宋体" w:cs="Times New Roman"/>
          <w:color w:val="auto"/>
          <w:highlight w:val="none"/>
          <w:lang w:eastAsia="zh-CN"/>
        </w:rPr>
        <w:t>环境影响评价技术导则</w:t>
      </w:r>
      <w:r>
        <w:rPr>
          <w:rFonts w:hint="default" w:ascii="Times New Roman" w:hAnsi="Times New Roman" w:eastAsia="宋体" w:cs="Times New Roman"/>
          <w:color w:val="auto"/>
          <w:highlight w:val="none"/>
        </w:rPr>
        <w:t>总纲》（HJ2.1-2016）；</w:t>
      </w:r>
    </w:p>
    <w:p w14:paraId="754B83E2">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eastAsia="zh-CN"/>
        </w:rPr>
        <w:t>环境影响评价技术导则</w:t>
      </w:r>
      <w:r>
        <w:rPr>
          <w:rFonts w:hint="default" w:ascii="Times New Roman" w:hAnsi="Times New Roman" w:eastAsia="宋体" w:cs="Times New Roman"/>
          <w:color w:val="auto"/>
          <w:highlight w:val="none"/>
        </w:rPr>
        <w:t>大气环境》（HJ2.2-2018）；</w:t>
      </w:r>
    </w:p>
    <w:p w14:paraId="40EB04FE">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r>
        <w:rPr>
          <w:rFonts w:hint="default" w:ascii="Times New Roman" w:hAnsi="Times New Roman" w:eastAsia="宋体" w:cs="Times New Roman"/>
          <w:color w:val="auto"/>
          <w:highlight w:val="none"/>
          <w:lang w:eastAsia="zh-CN"/>
        </w:rPr>
        <w:t>环境影响评价技术导则</w:t>
      </w:r>
      <w:r>
        <w:rPr>
          <w:rFonts w:hint="default" w:ascii="Times New Roman" w:hAnsi="Times New Roman" w:eastAsia="宋体" w:cs="Times New Roman"/>
          <w:color w:val="auto"/>
          <w:highlight w:val="none"/>
        </w:rPr>
        <w:t>声环境》（</w:t>
      </w:r>
      <w:r>
        <w:rPr>
          <w:rFonts w:hint="default" w:ascii="Times New Roman" w:hAnsi="Times New Roman" w:eastAsia="宋体" w:cs="Times New Roman"/>
          <w:color w:val="auto"/>
          <w:highlight w:val="none"/>
          <w:lang w:eastAsia="zh-CN"/>
        </w:rPr>
        <w:t>HJ2.4-2021</w:t>
      </w:r>
      <w:r>
        <w:rPr>
          <w:rFonts w:hint="default" w:ascii="Times New Roman" w:hAnsi="Times New Roman" w:eastAsia="宋体" w:cs="Times New Roman"/>
          <w:color w:val="auto"/>
          <w:highlight w:val="none"/>
        </w:rPr>
        <w:t>）；</w:t>
      </w:r>
    </w:p>
    <w:p w14:paraId="0C2F402B">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r>
        <w:rPr>
          <w:rFonts w:hint="default" w:ascii="Times New Roman" w:hAnsi="Times New Roman" w:eastAsia="宋体" w:cs="Times New Roman"/>
          <w:color w:val="auto"/>
          <w:highlight w:val="none"/>
          <w:lang w:eastAsia="zh-CN"/>
        </w:rPr>
        <w:t>环境影响评价技术导则</w:t>
      </w:r>
      <w:r>
        <w:rPr>
          <w:rFonts w:hint="default" w:ascii="Times New Roman" w:hAnsi="Times New Roman" w:eastAsia="宋体" w:cs="Times New Roman"/>
          <w:color w:val="auto"/>
          <w:highlight w:val="none"/>
        </w:rPr>
        <w:t>地下水环境》（HJ610-2016）；</w:t>
      </w:r>
    </w:p>
    <w:p w14:paraId="07CB205E">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r>
        <w:rPr>
          <w:rFonts w:hint="default" w:ascii="Times New Roman" w:hAnsi="Times New Roman" w:eastAsia="宋体" w:cs="Times New Roman"/>
          <w:color w:val="auto"/>
          <w:highlight w:val="none"/>
          <w:lang w:eastAsia="zh-CN"/>
        </w:rPr>
        <w:t>环境影响评价技术导则</w:t>
      </w:r>
      <w:r>
        <w:rPr>
          <w:rFonts w:hint="default" w:ascii="Times New Roman" w:hAnsi="Times New Roman" w:eastAsia="宋体" w:cs="Times New Roman"/>
          <w:color w:val="auto"/>
          <w:highlight w:val="none"/>
        </w:rPr>
        <w:t>地表水环境》（HJ2.3-2018）</w:t>
      </w:r>
    </w:p>
    <w:p w14:paraId="421F6C79">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（6）《</w:t>
      </w:r>
      <w:r>
        <w:rPr>
          <w:rFonts w:hint="default" w:ascii="Times New Roman" w:hAnsi="Times New Roman" w:eastAsia="宋体" w:cs="Times New Roman"/>
          <w:color w:val="auto"/>
          <w:highlight w:val="none"/>
          <w:lang w:eastAsia="zh-CN"/>
        </w:rPr>
        <w:t>环境影响评价技术导则</w:t>
      </w:r>
      <w:r>
        <w:rPr>
          <w:rFonts w:hint="default" w:ascii="Times New Roman" w:hAnsi="Times New Roman" w:eastAsia="宋体" w:cs="Times New Roman"/>
          <w:color w:val="auto"/>
          <w:highlight w:val="none"/>
        </w:rPr>
        <w:t>土壤环境（试行）》（HJ964</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2018）；</w:t>
      </w:r>
    </w:p>
    <w:p w14:paraId="5945D9E5">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w:t>
      </w:r>
      <w:r>
        <w:rPr>
          <w:rFonts w:hint="default" w:ascii="Times New Roman" w:hAnsi="Times New Roman" w:eastAsia="宋体" w:cs="Times New Roman"/>
          <w:color w:val="auto"/>
          <w:highlight w:val="none"/>
          <w:lang w:eastAsia="zh-CN"/>
        </w:rPr>
        <w:t>环境影响评价技术导则</w:t>
      </w:r>
      <w:r>
        <w:rPr>
          <w:rFonts w:hint="default" w:ascii="Times New Roman" w:hAnsi="Times New Roman" w:eastAsia="宋体" w:cs="Times New Roman"/>
          <w:color w:val="auto"/>
          <w:highlight w:val="none"/>
        </w:rPr>
        <w:t>生态影响》（</w:t>
      </w:r>
      <w:r>
        <w:rPr>
          <w:rFonts w:hint="default" w:ascii="Times New Roman" w:hAnsi="Times New Roman" w:eastAsia="宋体" w:cs="Times New Roman"/>
          <w:color w:val="auto"/>
          <w:highlight w:val="none"/>
          <w:lang w:eastAsia="zh-CN"/>
        </w:rPr>
        <w:t>HJ19-2022</w:t>
      </w:r>
      <w:r>
        <w:rPr>
          <w:rFonts w:hint="default" w:ascii="Times New Roman" w:hAnsi="Times New Roman" w:eastAsia="宋体" w:cs="Times New Roman"/>
          <w:color w:val="auto"/>
          <w:highlight w:val="none"/>
        </w:rPr>
        <w:t>）；</w:t>
      </w:r>
    </w:p>
    <w:p w14:paraId="2A337EB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（8）《建设项目环境风险评价技术导则》</w:t>
      </w:r>
      <w:bookmarkStart w:id="67" w:name="OLE_LINK8"/>
      <w:bookmarkStart w:id="68" w:name="OLE_LINK7"/>
      <w:r>
        <w:rPr>
          <w:rFonts w:hint="default" w:ascii="Times New Roman" w:hAnsi="Times New Roman" w:eastAsia="宋体" w:cs="Times New Roman"/>
          <w:color w:val="auto"/>
          <w:highlight w:val="none"/>
        </w:rPr>
        <w:t>（HJ169-20</w:t>
      </w:r>
      <w:bookmarkEnd w:id="67"/>
      <w:bookmarkEnd w:id="68"/>
      <w:r>
        <w:rPr>
          <w:rFonts w:hint="default" w:ascii="Times New Roman" w:hAnsi="Times New Roman" w:eastAsia="宋体" w:cs="Times New Roman"/>
          <w:color w:val="auto"/>
          <w:highlight w:val="none"/>
        </w:rPr>
        <w:t>18）；</w:t>
      </w:r>
    </w:p>
    <w:p w14:paraId="5D2FFC78">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w:t>
      </w:r>
      <w:r>
        <w:rPr>
          <w:rFonts w:hint="default" w:ascii="Times New Roman" w:hAnsi="Times New Roman" w:eastAsia="宋体" w:cs="Times New Roman"/>
          <w:color w:val="auto"/>
          <w:highlight w:val="none"/>
          <w:lang w:eastAsia="zh-CN"/>
        </w:rPr>
        <w:t>排污许可证申请与核发技术规范畜禽养殖行业</w:t>
      </w:r>
      <w:r>
        <w:rPr>
          <w:rFonts w:hint="default" w:ascii="Times New Roman" w:hAnsi="Times New Roman" w:eastAsia="宋体" w:cs="Times New Roman"/>
          <w:color w:val="auto"/>
          <w:highlight w:val="none"/>
        </w:rPr>
        <w:t>》（HJ1029-2019</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w:t>
      </w:r>
    </w:p>
    <w:p w14:paraId="1636088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w:t>
      </w:r>
      <w:r>
        <w:rPr>
          <w:rFonts w:hint="default" w:ascii="Times New Roman" w:hAnsi="Times New Roman" w:eastAsia="宋体" w:cs="Times New Roman"/>
          <w:color w:val="auto"/>
          <w:highlight w:val="none"/>
          <w:lang w:eastAsia="zh-CN"/>
        </w:rPr>
        <w:t>污染源源强核算技术指南准则</w:t>
      </w:r>
      <w:r>
        <w:rPr>
          <w:rFonts w:hint="default" w:ascii="Times New Roman" w:hAnsi="Times New Roman" w:eastAsia="宋体" w:cs="Times New Roman"/>
          <w:color w:val="auto"/>
          <w:highlight w:val="none"/>
        </w:rPr>
        <w:t>》（HJ884-2018）；</w:t>
      </w:r>
    </w:p>
    <w:p w14:paraId="000808D1">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w:t>
      </w:r>
      <w:r>
        <w:rPr>
          <w:rFonts w:hint="default" w:ascii="Times New Roman" w:hAnsi="Times New Roman" w:eastAsia="宋体" w:cs="Times New Roman"/>
          <w:color w:val="auto"/>
          <w:highlight w:val="none"/>
          <w:lang w:eastAsia="zh-CN"/>
        </w:rPr>
        <w:t>排污单位自行监测技术指南总则</w:t>
      </w:r>
      <w:r>
        <w:rPr>
          <w:rFonts w:hint="default" w:ascii="Times New Roman" w:hAnsi="Times New Roman" w:eastAsia="宋体" w:cs="Times New Roman"/>
          <w:color w:val="auto"/>
          <w:highlight w:val="none"/>
        </w:rPr>
        <w:t>》（HJ819-2017）；</w:t>
      </w:r>
    </w:p>
    <w:p w14:paraId="5E178BA9">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（12）《畜禽养殖业污染防治技术规范》（HJ/T81-2001）；</w:t>
      </w:r>
    </w:p>
    <w:p w14:paraId="22FFD8FE">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（13）《畜禽养殖业污染治理工程技术规范》（HJ497-2009）；</w:t>
      </w:r>
    </w:p>
    <w:p w14:paraId="017012DF">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（14）《病害动物和病害动物产品生物安全处理规程》（GB16548-2006）；</w:t>
      </w:r>
    </w:p>
    <w:p w14:paraId="7C63C439">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（15）《高致病性禽流感疫情处置技术规范》（农业部2004.11.14）；</w:t>
      </w:r>
    </w:p>
    <w:p w14:paraId="24745029">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（16）《病死及病害动物无害化处理技术规范》（农医发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2017</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25号）；</w:t>
      </w:r>
    </w:p>
    <w:p w14:paraId="6E575C06">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（17）《畜禽粪便无害化处理技术规范》（NY/T1168-2006）；</w:t>
      </w:r>
    </w:p>
    <w:p w14:paraId="25B6AD8D">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（18）《粪便无害化卫生要求》（GB7959-2012）；</w:t>
      </w:r>
    </w:p>
    <w:p w14:paraId="5BBC46AE">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（19）《沼肥施用技术规范》（NY/T2065-2011）；</w:t>
      </w:r>
    </w:p>
    <w:p w14:paraId="378FAAAC">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（20）《畜禽粪污土地承载力测算技术指南》（农办牧</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2018</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1号）；</w:t>
      </w:r>
    </w:p>
    <w:p w14:paraId="680AC8F1">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（21）《畜禽粪便还田技术规范》（GB/T25246-2010）；</w:t>
      </w:r>
    </w:p>
    <w:p w14:paraId="7595E54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（22）《畜禽粪便农田利用环境影响评价准则》（GB/T26622-2011）；</w:t>
      </w:r>
    </w:p>
    <w:p w14:paraId="0C0FED2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（23）《畜禽场场区设计技术规范》（NY/T682-2003）；</w:t>
      </w:r>
    </w:p>
    <w:p w14:paraId="389A4670">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）《病害动物和病害动物产品生物安全处理规程》（GB16548-2006）；</w:t>
      </w:r>
    </w:p>
    <w:p w14:paraId="1A83B36B">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）《畜禽规模化养殖场资源化利用设施建设规范（试行）》（农办牧</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2018</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2号）；</w:t>
      </w:r>
    </w:p>
    <w:p w14:paraId="5146C863">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FF0000"/>
          <w:highlight w:val="none"/>
        </w:rPr>
        <w:t>内蒙古自治区</w:t>
      </w:r>
      <w:r>
        <w:rPr>
          <w:rFonts w:hint="default" w:ascii="Times New Roman" w:hAnsi="Times New Roman" w:eastAsia="宋体" w:cs="Times New Roman"/>
          <w:color w:val="FF0000"/>
          <w:highlight w:val="none"/>
          <w:lang w:val="en-US" w:eastAsia="zh-CN"/>
        </w:rPr>
        <w:t>地方标准</w:t>
      </w:r>
      <w:r>
        <w:rPr>
          <w:rFonts w:hint="default" w:ascii="Times New Roman" w:hAnsi="Times New Roman" w:eastAsia="宋体" w:cs="Times New Roman"/>
          <w:color w:val="FF0000"/>
          <w:highlight w:val="none"/>
        </w:rPr>
        <w:t>《行业用水定额》（</w:t>
      </w:r>
      <w:r>
        <w:rPr>
          <w:rFonts w:hint="default" w:ascii="Times New Roman" w:hAnsi="Times New Roman" w:eastAsia="宋体" w:cs="Times New Roman"/>
          <w:color w:val="FF0000"/>
          <w:highlight w:val="none"/>
          <w:lang w:eastAsia="zh-CN"/>
        </w:rPr>
        <w:t>DB15/T385-2020</w:t>
      </w:r>
      <w:r>
        <w:rPr>
          <w:rFonts w:hint="default" w:ascii="Times New Roman" w:hAnsi="Times New Roman" w:eastAsia="宋体" w:cs="Times New Roman"/>
          <w:color w:val="FF0000"/>
          <w:highlight w:val="none"/>
        </w:rPr>
        <w:t>）。</w:t>
      </w:r>
    </w:p>
    <w:p w14:paraId="3C24A30D">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69" w:name="_Toc19884"/>
      <w:r>
        <w:rPr>
          <w:rFonts w:hint="default" w:ascii="Times New Roman" w:hAnsi="Times New Roman" w:eastAsia="宋体" w:cs="Times New Roman"/>
          <w:color w:val="auto"/>
          <w:highlight w:val="none"/>
        </w:rPr>
        <w:t>2.1.5其他相关文件</w:t>
      </w:r>
      <w:bookmarkEnd w:id="66"/>
      <w:bookmarkEnd w:id="69"/>
    </w:p>
    <w:p w14:paraId="6FD3ECC7">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eastAsia="zh-CN"/>
        </w:rPr>
        <w:t>乌拉特前旗大佘太中海禾牧养殖专业合作社新建肉牛养殖项目</w:t>
      </w:r>
      <w:r>
        <w:rPr>
          <w:rFonts w:hint="default" w:ascii="Times New Roman" w:hAnsi="Times New Roman" w:eastAsia="宋体" w:cs="Times New Roman"/>
          <w:color w:val="auto"/>
          <w:highlight w:val="none"/>
        </w:rPr>
        <w:t>环境影响评价委托书》，202</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月；</w:t>
      </w:r>
    </w:p>
    <w:p w14:paraId="151A6B22">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）建设单位提供的其他技术资料。</w:t>
      </w:r>
    </w:p>
    <w:p w14:paraId="37D0103C">
      <w:pPr>
        <w:pStyle w:val="3"/>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0"/>
        <w:rPr>
          <w:rFonts w:hint="default" w:ascii="Times New Roman" w:hAnsi="Times New Roman" w:eastAsia="宋体" w:cs="Times New Roman"/>
          <w:color w:val="auto"/>
          <w:highlight w:val="none"/>
        </w:rPr>
      </w:pPr>
      <w:bookmarkStart w:id="70" w:name="_Toc12478"/>
      <w:r>
        <w:rPr>
          <w:rFonts w:hint="default" w:ascii="Times New Roman" w:hAnsi="Times New Roman" w:eastAsia="宋体" w:cs="Times New Roman"/>
          <w:color w:val="auto"/>
          <w:highlight w:val="none"/>
        </w:rPr>
        <w:t>2.2评价目的及评价重点</w:t>
      </w:r>
      <w:bookmarkEnd w:id="70"/>
    </w:p>
    <w:p w14:paraId="10A1FFBC">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71" w:name="_Toc8881"/>
      <w:r>
        <w:rPr>
          <w:rFonts w:hint="default" w:ascii="Times New Roman" w:hAnsi="Times New Roman" w:eastAsia="宋体" w:cs="Times New Roman"/>
          <w:color w:val="auto"/>
          <w:highlight w:val="none"/>
        </w:rPr>
        <w:t>2.2.1评价目的</w:t>
      </w:r>
      <w:bookmarkEnd w:id="71"/>
    </w:p>
    <w:p w14:paraId="4F6FA07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（1）从本项目的养殖工艺、养殖规模、环保设施、</w:t>
      </w:r>
      <w:r>
        <w:rPr>
          <w:rFonts w:hint="default" w:ascii="Times New Roman" w:hAnsi="Times New Roman" w:eastAsia="宋体" w:cs="Times New Roman"/>
          <w:color w:val="auto"/>
          <w:highlight w:val="none"/>
          <w:lang w:eastAsia="zh-CN"/>
        </w:rPr>
        <w:t>场址</w:t>
      </w:r>
      <w:r>
        <w:rPr>
          <w:rFonts w:hint="default" w:ascii="Times New Roman" w:hAnsi="Times New Roman" w:eastAsia="宋体" w:cs="Times New Roman"/>
          <w:color w:val="auto"/>
          <w:highlight w:val="none"/>
        </w:rPr>
        <w:t>选择及污染物排放控制等方面进行分析，并对照国家、自治区相关产业政策，以及当地环境质量底线、资源利用上线、生态保护红线及</w:t>
      </w:r>
      <w:r>
        <w:rPr>
          <w:rFonts w:hint="default" w:ascii="Times New Roman" w:hAnsi="Times New Roman" w:eastAsia="宋体" w:cs="Times New Roman"/>
          <w:color w:val="auto"/>
          <w:highlight w:val="none"/>
          <w:lang w:eastAsia="zh-CN"/>
        </w:rPr>
        <w:t>生态环境准入清单</w:t>
      </w:r>
      <w:r>
        <w:rPr>
          <w:rFonts w:hint="default" w:ascii="Times New Roman" w:hAnsi="Times New Roman" w:eastAsia="宋体" w:cs="Times New Roman"/>
          <w:color w:val="auto"/>
          <w:highlight w:val="none"/>
        </w:rPr>
        <w:t>，明确回答本项目是否符合国家、自治区及当地相关产业政策要求。</w:t>
      </w:r>
    </w:p>
    <w:p w14:paraId="56F9CC61">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通过实地调查，搞清项目所处地区环境特征、环境现状以及污染源分布状况和特征，结合工程排污特点、环境保护措施和污染物排放状况，回答工程建设污染物排放是否超出环境质量底线，分析对当地环境质量的影响程度。</w:t>
      </w:r>
    </w:p>
    <w:p w14:paraId="5CEE84D2">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（3）本次评价将根据产业政策、评价区域环境质量底线要求、生态保护红线、区域城市建设规划管理部门要求等情况进行综合分析，明确回答厂址选择可行性。</w:t>
      </w:r>
    </w:p>
    <w:p w14:paraId="7A31AA70">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（4）综合产业政策、当地社会经济发展规划、环境质量底线、生态保护红线、资源利用上线、</w:t>
      </w:r>
      <w:r>
        <w:rPr>
          <w:rFonts w:hint="default" w:ascii="Times New Roman" w:hAnsi="Times New Roman" w:eastAsia="宋体" w:cs="Times New Roman"/>
          <w:color w:val="auto"/>
          <w:highlight w:val="none"/>
          <w:lang w:eastAsia="zh-CN"/>
        </w:rPr>
        <w:t>生态环境准入清单</w:t>
      </w:r>
      <w:r>
        <w:rPr>
          <w:rFonts w:hint="default" w:ascii="Times New Roman" w:hAnsi="Times New Roman" w:eastAsia="宋体" w:cs="Times New Roman"/>
          <w:color w:val="auto"/>
          <w:highlight w:val="none"/>
        </w:rPr>
        <w:t>等部分的分析结论，从环保角度明确回答本项目建设可行性，为项目建设审批、环境保护、工程设计、建设管理、生产运行等提供科学依据。</w:t>
      </w:r>
    </w:p>
    <w:p w14:paraId="15F9832C">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72" w:name="_Toc6352"/>
      <w:r>
        <w:rPr>
          <w:rFonts w:hint="default" w:ascii="Times New Roman" w:hAnsi="Times New Roman" w:eastAsia="宋体" w:cs="Times New Roman"/>
          <w:color w:val="auto"/>
          <w:highlight w:val="none"/>
        </w:rPr>
        <w:t>2.2.2评价重点</w:t>
      </w:r>
      <w:bookmarkEnd w:id="72"/>
    </w:p>
    <w:p w14:paraId="2260352B">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本项目关注的主要环境问题为项目选址的合理性，建成后产生的</w:t>
      </w:r>
      <w:r>
        <w:rPr>
          <w:rFonts w:hint="default" w:ascii="Times New Roman" w:hAnsi="Times New Roman" w:eastAsia="宋体" w:cs="Times New Roman"/>
          <w:color w:val="auto"/>
          <w:highlight w:val="none"/>
          <w:lang w:eastAsia="zh-CN"/>
        </w:rPr>
        <w:t>恶臭气体</w:t>
      </w:r>
      <w:r>
        <w:rPr>
          <w:rFonts w:hint="default" w:ascii="Times New Roman" w:hAnsi="Times New Roman" w:eastAsia="宋体" w:cs="Times New Roman"/>
          <w:color w:val="auto"/>
          <w:highlight w:val="none"/>
        </w:rPr>
        <w:t>采取措施后能否达标排放，养殖粪污作为有机肥能否合理还田，对满足资源化利用的可行性进行分析论证。</w:t>
      </w:r>
    </w:p>
    <w:p w14:paraId="08AEFF15">
      <w:pPr>
        <w:pStyle w:val="3"/>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0"/>
        <w:rPr>
          <w:rFonts w:hint="default" w:ascii="Times New Roman" w:hAnsi="Times New Roman" w:eastAsia="宋体" w:cs="Times New Roman"/>
          <w:color w:val="auto"/>
          <w:highlight w:val="none"/>
        </w:rPr>
      </w:pPr>
      <w:bookmarkStart w:id="73" w:name="_Toc512871524"/>
      <w:bookmarkStart w:id="74" w:name="_Toc14912"/>
      <w:r>
        <w:rPr>
          <w:rFonts w:hint="default" w:ascii="Times New Roman" w:hAnsi="Times New Roman" w:eastAsia="宋体" w:cs="Times New Roman"/>
          <w:color w:val="auto"/>
          <w:highlight w:val="none"/>
        </w:rPr>
        <w:t>2.3</w:t>
      </w:r>
      <w:bookmarkEnd w:id="73"/>
      <w:r>
        <w:rPr>
          <w:rFonts w:hint="default" w:ascii="Times New Roman" w:hAnsi="Times New Roman" w:eastAsia="宋体" w:cs="Times New Roman"/>
          <w:color w:val="auto"/>
          <w:highlight w:val="none"/>
        </w:rPr>
        <w:t>环境影响识别</w:t>
      </w:r>
      <w:bookmarkEnd w:id="74"/>
    </w:p>
    <w:p w14:paraId="40AD69DD">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75" w:name="_Toc258943957"/>
      <w:bookmarkStart w:id="76" w:name="_Toc295196530"/>
      <w:bookmarkStart w:id="77" w:name="_Toc158435276"/>
      <w:bookmarkStart w:id="78" w:name="_Toc143066313"/>
      <w:bookmarkStart w:id="79" w:name="_Toc494206271"/>
      <w:bookmarkStart w:id="80" w:name="_Toc21368"/>
      <w:bookmarkStart w:id="81" w:name="_Toc512871525"/>
      <w:r>
        <w:rPr>
          <w:rFonts w:hint="default" w:ascii="Times New Roman" w:hAnsi="Times New Roman" w:eastAsia="宋体" w:cs="Times New Roman"/>
          <w:color w:val="auto"/>
          <w:highlight w:val="none"/>
        </w:rPr>
        <w:t>2.3.1</w:t>
      </w:r>
      <w:bookmarkEnd w:id="75"/>
      <w:bookmarkEnd w:id="76"/>
      <w:bookmarkEnd w:id="77"/>
      <w:bookmarkEnd w:id="78"/>
      <w:r>
        <w:rPr>
          <w:rFonts w:hint="default" w:ascii="Times New Roman" w:hAnsi="Times New Roman" w:eastAsia="宋体" w:cs="Times New Roman"/>
          <w:color w:val="auto"/>
          <w:highlight w:val="none"/>
        </w:rPr>
        <w:t>环境影响因素识别</w:t>
      </w:r>
      <w:bookmarkEnd w:id="79"/>
      <w:bookmarkEnd w:id="80"/>
      <w:bookmarkEnd w:id="81"/>
    </w:p>
    <w:p w14:paraId="57245EB2">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评价根据该工程建设特征、项目区域环境现状，识别本工程项目建设的环境影响因素及环境影响效果见表2.3-1、2.3-2。</w:t>
      </w:r>
    </w:p>
    <w:p w14:paraId="16586ECC">
      <w:pPr>
        <w:pStyle w:val="7"/>
        <w:pageBreakBefore w:val="0"/>
        <w:widowControl w:val="0"/>
        <w:kinsoku/>
        <w:wordWrap/>
        <w:overflowPunct/>
        <w:topLinePunct/>
        <w:autoSpaceDE w:val="0"/>
        <w:autoSpaceDN/>
        <w:bidi w:val="0"/>
        <w:snapToGrid w:val="0"/>
        <w:spacing w:line="360" w:lineRule="auto"/>
        <w:ind w:left="0" w:leftChars="0" w:right="0" w:rightChars="0"/>
        <w:textAlignment w:val="auto"/>
        <w:outlineLvl w:val="2"/>
        <w:rPr>
          <w:rFonts w:hint="default" w:ascii="Times New Roman" w:hAnsi="Times New Roman" w:eastAsia="宋体" w:cs="Times New Roman"/>
          <w:color w:val="auto"/>
          <w:highlight w:val="none"/>
        </w:rPr>
      </w:pPr>
      <w:bookmarkStart w:id="82" w:name="_Toc13417"/>
      <w:bookmarkStart w:id="83" w:name="_Toc19880"/>
      <w:r>
        <w:rPr>
          <w:rFonts w:hint="default" w:ascii="Times New Roman" w:hAnsi="Times New Roman" w:eastAsia="宋体" w:cs="Times New Roman"/>
          <w:color w:val="auto"/>
          <w:highlight w:val="none"/>
        </w:rPr>
        <w:t>表2.3-1工程建设的环境影响要素分析</w:t>
      </w:r>
      <w:bookmarkEnd w:id="82"/>
      <w:bookmarkEnd w:id="83"/>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178"/>
        <w:gridCol w:w="2610"/>
        <w:gridCol w:w="1744"/>
        <w:gridCol w:w="1745"/>
      </w:tblGrid>
      <w:tr w14:paraId="6D33465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215" w:type="dxa"/>
            <w:gridSpan w:val="2"/>
            <w:tcBorders>
              <w:top w:val="single" w:color="auto" w:sz="4" w:space="0"/>
              <w:left w:val="single" w:color="auto" w:sz="4" w:space="0"/>
              <w:bottom w:val="single" w:color="auto" w:sz="4" w:space="0"/>
              <w:right w:val="single" w:color="auto" w:sz="4" w:space="0"/>
            </w:tcBorders>
            <w:vAlign w:val="center"/>
          </w:tcPr>
          <w:p w14:paraId="6E8A6EB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环境影响要素</w:t>
            </w:r>
          </w:p>
        </w:tc>
        <w:tc>
          <w:tcPr>
            <w:tcW w:w="1894" w:type="dxa"/>
            <w:tcBorders>
              <w:top w:val="single" w:color="auto" w:sz="4" w:space="0"/>
              <w:left w:val="single" w:color="auto" w:sz="4" w:space="0"/>
              <w:bottom w:val="single" w:color="auto" w:sz="4" w:space="0"/>
              <w:right w:val="single" w:color="auto" w:sz="4" w:space="0"/>
            </w:tcBorders>
            <w:vAlign w:val="center"/>
          </w:tcPr>
          <w:p w14:paraId="70235F4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施工期</w:t>
            </w:r>
          </w:p>
        </w:tc>
        <w:tc>
          <w:tcPr>
            <w:tcW w:w="1894" w:type="dxa"/>
            <w:tcBorders>
              <w:top w:val="single" w:color="auto" w:sz="4" w:space="0"/>
              <w:left w:val="single" w:color="auto" w:sz="4" w:space="0"/>
              <w:bottom w:val="single" w:color="auto" w:sz="4" w:space="0"/>
              <w:right w:val="single" w:color="auto" w:sz="4" w:space="0"/>
            </w:tcBorders>
            <w:shd w:val="clear" w:color="auto" w:fill="auto"/>
            <w:vAlign w:val="center"/>
          </w:tcPr>
          <w:p w14:paraId="68F06D3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营运期</w:t>
            </w:r>
          </w:p>
        </w:tc>
      </w:tr>
      <w:tr w14:paraId="02F42F4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70" w:type="dxa"/>
            <w:vMerge w:val="restart"/>
            <w:tcBorders>
              <w:top w:val="single" w:color="auto" w:sz="4" w:space="0"/>
              <w:left w:val="single" w:color="auto" w:sz="4" w:space="0"/>
              <w:bottom w:val="single" w:color="auto" w:sz="4" w:space="0"/>
              <w:right w:val="single" w:color="auto" w:sz="4" w:space="0"/>
            </w:tcBorders>
            <w:vAlign w:val="center"/>
          </w:tcPr>
          <w:p w14:paraId="0FCC4E0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自然环境</w:t>
            </w:r>
          </w:p>
        </w:tc>
        <w:tc>
          <w:tcPr>
            <w:tcW w:w="2845" w:type="dxa"/>
            <w:tcBorders>
              <w:top w:val="single" w:color="auto" w:sz="4" w:space="0"/>
              <w:left w:val="single" w:color="auto" w:sz="4" w:space="0"/>
              <w:bottom w:val="single" w:color="auto" w:sz="4" w:space="0"/>
              <w:right w:val="single" w:color="auto" w:sz="4" w:space="0"/>
            </w:tcBorders>
            <w:vAlign w:val="center"/>
          </w:tcPr>
          <w:p w14:paraId="26D0BD5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w:t>
            </w:r>
          </w:p>
        </w:tc>
        <w:tc>
          <w:tcPr>
            <w:tcW w:w="1894" w:type="dxa"/>
            <w:tcBorders>
              <w:top w:val="single" w:color="auto" w:sz="4" w:space="0"/>
              <w:left w:val="single" w:color="auto" w:sz="4" w:space="0"/>
              <w:bottom w:val="single" w:color="auto" w:sz="4" w:space="0"/>
              <w:right w:val="single" w:color="auto" w:sz="4" w:space="0"/>
            </w:tcBorders>
            <w:vAlign w:val="center"/>
          </w:tcPr>
          <w:p w14:paraId="71F5C16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894" w:type="dxa"/>
            <w:tcBorders>
              <w:top w:val="single" w:color="auto" w:sz="4" w:space="0"/>
              <w:left w:val="single" w:color="auto" w:sz="4" w:space="0"/>
              <w:bottom w:val="single" w:color="auto" w:sz="4" w:space="0"/>
              <w:right w:val="single" w:color="auto" w:sz="4" w:space="0"/>
            </w:tcBorders>
            <w:vAlign w:val="center"/>
          </w:tcPr>
          <w:p w14:paraId="3DE7AF7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r>
      <w:tr w14:paraId="7C8A18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70" w:type="dxa"/>
            <w:vMerge w:val="continue"/>
            <w:tcBorders>
              <w:top w:val="single" w:color="auto" w:sz="4" w:space="0"/>
              <w:left w:val="single" w:color="auto" w:sz="4" w:space="0"/>
              <w:bottom w:val="single" w:color="auto" w:sz="4" w:space="0"/>
              <w:right w:val="single" w:color="auto" w:sz="4" w:space="0"/>
            </w:tcBorders>
            <w:vAlign w:val="center"/>
          </w:tcPr>
          <w:p w14:paraId="43BF541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2845" w:type="dxa"/>
            <w:tcBorders>
              <w:top w:val="single" w:color="auto" w:sz="4" w:space="0"/>
              <w:left w:val="single" w:color="auto" w:sz="4" w:space="0"/>
              <w:bottom w:val="single" w:color="auto" w:sz="4" w:space="0"/>
              <w:right w:val="single" w:color="auto" w:sz="4" w:space="0"/>
            </w:tcBorders>
            <w:vAlign w:val="center"/>
          </w:tcPr>
          <w:p w14:paraId="360B95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地表水水质</w:t>
            </w:r>
          </w:p>
        </w:tc>
        <w:tc>
          <w:tcPr>
            <w:tcW w:w="1894" w:type="dxa"/>
            <w:tcBorders>
              <w:top w:val="single" w:color="auto" w:sz="4" w:space="0"/>
              <w:left w:val="single" w:color="auto" w:sz="4" w:space="0"/>
              <w:bottom w:val="single" w:color="auto" w:sz="4" w:space="0"/>
              <w:right w:val="single" w:color="auto" w:sz="4" w:space="0"/>
            </w:tcBorders>
            <w:vAlign w:val="center"/>
          </w:tcPr>
          <w:p w14:paraId="6F5B053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c>
          <w:tcPr>
            <w:tcW w:w="1894" w:type="dxa"/>
            <w:tcBorders>
              <w:top w:val="single" w:color="auto" w:sz="4" w:space="0"/>
              <w:left w:val="single" w:color="auto" w:sz="4" w:space="0"/>
              <w:bottom w:val="single" w:color="auto" w:sz="4" w:space="0"/>
              <w:right w:val="single" w:color="auto" w:sz="4" w:space="0"/>
            </w:tcBorders>
            <w:vAlign w:val="center"/>
          </w:tcPr>
          <w:p w14:paraId="4188EE3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r>
      <w:tr w14:paraId="68D9AD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70" w:type="dxa"/>
            <w:vMerge w:val="continue"/>
            <w:tcBorders>
              <w:top w:val="single" w:color="auto" w:sz="4" w:space="0"/>
              <w:left w:val="single" w:color="auto" w:sz="4" w:space="0"/>
              <w:bottom w:val="single" w:color="auto" w:sz="4" w:space="0"/>
              <w:right w:val="single" w:color="auto" w:sz="4" w:space="0"/>
            </w:tcBorders>
            <w:vAlign w:val="center"/>
          </w:tcPr>
          <w:p w14:paraId="5DF6985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2845" w:type="dxa"/>
            <w:tcBorders>
              <w:top w:val="single" w:color="auto" w:sz="4" w:space="0"/>
              <w:left w:val="single" w:color="auto" w:sz="4" w:space="0"/>
              <w:bottom w:val="single" w:color="auto" w:sz="4" w:space="0"/>
              <w:right w:val="single" w:color="auto" w:sz="4" w:space="0"/>
            </w:tcBorders>
            <w:vAlign w:val="center"/>
          </w:tcPr>
          <w:p w14:paraId="3B023CA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环境噪声</w:t>
            </w:r>
          </w:p>
        </w:tc>
        <w:tc>
          <w:tcPr>
            <w:tcW w:w="1894" w:type="dxa"/>
            <w:tcBorders>
              <w:top w:val="single" w:color="auto" w:sz="4" w:space="0"/>
              <w:left w:val="single" w:color="auto" w:sz="4" w:space="0"/>
              <w:bottom w:val="single" w:color="auto" w:sz="4" w:space="0"/>
              <w:right w:val="single" w:color="auto" w:sz="4" w:space="0"/>
            </w:tcBorders>
            <w:vAlign w:val="center"/>
          </w:tcPr>
          <w:p w14:paraId="07FA369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894" w:type="dxa"/>
            <w:tcBorders>
              <w:top w:val="single" w:color="auto" w:sz="4" w:space="0"/>
              <w:left w:val="single" w:color="auto" w:sz="4" w:space="0"/>
              <w:bottom w:val="single" w:color="auto" w:sz="4" w:space="0"/>
              <w:right w:val="single" w:color="auto" w:sz="4" w:space="0"/>
            </w:tcBorders>
            <w:vAlign w:val="center"/>
          </w:tcPr>
          <w:p w14:paraId="1A8F9C7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r>
      <w:tr w14:paraId="18E49FB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70" w:type="dxa"/>
            <w:vMerge w:val="continue"/>
            <w:tcBorders>
              <w:top w:val="single" w:color="auto" w:sz="4" w:space="0"/>
              <w:left w:val="single" w:color="auto" w:sz="4" w:space="0"/>
              <w:bottom w:val="single" w:color="auto" w:sz="4" w:space="0"/>
              <w:right w:val="single" w:color="auto" w:sz="4" w:space="0"/>
            </w:tcBorders>
            <w:vAlign w:val="center"/>
          </w:tcPr>
          <w:p w14:paraId="66FDB3B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2845" w:type="dxa"/>
            <w:tcBorders>
              <w:top w:val="single" w:color="auto" w:sz="4" w:space="0"/>
              <w:left w:val="single" w:color="auto" w:sz="4" w:space="0"/>
              <w:bottom w:val="single" w:color="auto" w:sz="4" w:space="0"/>
              <w:right w:val="single" w:color="auto" w:sz="4" w:space="0"/>
            </w:tcBorders>
            <w:vAlign w:val="center"/>
          </w:tcPr>
          <w:p w14:paraId="17B3165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w:t>
            </w:r>
          </w:p>
        </w:tc>
        <w:tc>
          <w:tcPr>
            <w:tcW w:w="1894" w:type="dxa"/>
            <w:tcBorders>
              <w:top w:val="single" w:color="auto" w:sz="4" w:space="0"/>
              <w:left w:val="single" w:color="auto" w:sz="4" w:space="0"/>
              <w:bottom w:val="single" w:color="auto" w:sz="4" w:space="0"/>
              <w:right w:val="single" w:color="auto" w:sz="4" w:space="0"/>
            </w:tcBorders>
            <w:vAlign w:val="center"/>
          </w:tcPr>
          <w:p w14:paraId="27BD920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894" w:type="dxa"/>
            <w:tcBorders>
              <w:top w:val="single" w:color="auto" w:sz="4" w:space="0"/>
              <w:left w:val="single" w:color="auto" w:sz="4" w:space="0"/>
              <w:bottom w:val="single" w:color="auto" w:sz="4" w:space="0"/>
              <w:right w:val="single" w:color="auto" w:sz="4" w:space="0"/>
            </w:tcBorders>
            <w:vAlign w:val="center"/>
          </w:tcPr>
          <w:p w14:paraId="58ADFF6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r>
      <w:tr w14:paraId="5905A6A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70" w:type="dxa"/>
            <w:vMerge w:val="restart"/>
            <w:tcBorders>
              <w:top w:val="single" w:color="auto" w:sz="4" w:space="0"/>
              <w:left w:val="single" w:color="auto" w:sz="4" w:space="0"/>
              <w:bottom w:val="single" w:color="auto" w:sz="4" w:space="0"/>
              <w:right w:val="single" w:color="auto" w:sz="4" w:space="0"/>
            </w:tcBorders>
            <w:vAlign w:val="center"/>
          </w:tcPr>
          <w:p w14:paraId="0B951D1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生态环境</w:t>
            </w:r>
          </w:p>
        </w:tc>
        <w:tc>
          <w:tcPr>
            <w:tcW w:w="2845" w:type="dxa"/>
            <w:tcBorders>
              <w:top w:val="single" w:color="auto" w:sz="4" w:space="0"/>
              <w:left w:val="single" w:color="auto" w:sz="4" w:space="0"/>
              <w:bottom w:val="single" w:color="auto" w:sz="4" w:space="0"/>
              <w:right w:val="single" w:color="auto" w:sz="4" w:space="0"/>
            </w:tcBorders>
            <w:vAlign w:val="center"/>
          </w:tcPr>
          <w:p w14:paraId="11F3EE3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植被</w:t>
            </w:r>
          </w:p>
        </w:tc>
        <w:tc>
          <w:tcPr>
            <w:tcW w:w="1894" w:type="dxa"/>
            <w:tcBorders>
              <w:top w:val="single" w:color="auto" w:sz="4" w:space="0"/>
              <w:left w:val="single" w:color="auto" w:sz="4" w:space="0"/>
              <w:bottom w:val="single" w:color="auto" w:sz="4" w:space="0"/>
              <w:right w:val="single" w:color="auto" w:sz="4" w:space="0"/>
            </w:tcBorders>
            <w:vAlign w:val="center"/>
          </w:tcPr>
          <w:p w14:paraId="367A0EB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894" w:type="dxa"/>
            <w:tcBorders>
              <w:top w:val="single" w:color="auto" w:sz="4" w:space="0"/>
              <w:left w:val="single" w:color="auto" w:sz="4" w:space="0"/>
              <w:bottom w:val="single" w:color="auto" w:sz="4" w:space="0"/>
              <w:right w:val="single" w:color="auto" w:sz="4" w:space="0"/>
            </w:tcBorders>
            <w:vAlign w:val="center"/>
          </w:tcPr>
          <w:p w14:paraId="7B39236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r>
      <w:tr w14:paraId="412296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70" w:type="dxa"/>
            <w:vMerge w:val="continue"/>
            <w:tcBorders>
              <w:top w:val="single" w:color="auto" w:sz="4" w:space="0"/>
              <w:left w:val="single" w:color="auto" w:sz="4" w:space="0"/>
              <w:bottom w:val="single" w:color="auto" w:sz="4" w:space="0"/>
              <w:right w:val="single" w:color="auto" w:sz="4" w:space="0"/>
            </w:tcBorders>
            <w:vAlign w:val="center"/>
          </w:tcPr>
          <w:p w14:paraId="40C72A5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2845" w:type="dxa"/>
            <w:tcBorders>
              <w:top w:val="single" w:color="auto" w:sz="4" w:space="0"/>
              <w:left w:val="single" w:color="auto" w:sz="4" w:space="0"/>
              <w:bottom w:val="single" w:color="auto" w:sz="4" w:space="0"/>
              <w:right w:val="single" w:color="auto" w:sz="4" w:space="0"/>
            </w:tcBorders>
            <w:vAlign w:val="center"/>
          </w:tcPr>
          <w:p w14:paraId="26A72F2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水土流失</w:t>
            </w:r>
          </w:p>
        </w:tc>
        <w:tc>
          <w:tcPr>
            <w:tcW w:w="1894" w:type="dxa"/>
            <w:tcBorders>
              <w:top w:val="single" w:color="auto" w:sz="4" w:space="0"/>
              <w:left w:val="single" w:color="auto" w:sz="4" w:space="0"/>
              <w:bottom w:val="single" w:color="auto" w:sz="4" w:space="0"/>
              <w:right w:val="single" w:color="auto" w:sz="4" w:space="0"/>
            </w:tcBorders>
            <w:vAlign w:val="center"/>
          </w:tcPr>
          <w:p w14:paraId="01F0A52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894" w:type="dxa"/>
            <w:tcBorders>
              <w:top w:val="single" w:color="auto" w:sz="4" w:space="0"/>
              <w:left w:val="single" w:color="auto" w:sz="4" w:space="0"/>
              <w:bottom w:val="single" w:color="auto" w:sz="4" w:space="0"/>
              <w:right w:val="single" w:color="auto" w:sz="4" w:space="0"/>
            </w:tcBorders>
            <w:vAlign w:val="center"/>
          </w:tcPr>
          <w:p w14:paraId="2B93C79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r>
      <w:tr w14:paraId="709CA2C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70" w:type="dxa"/>
            <w:vMerge w:val="restart"/>
            <w:tcBorders>
              <w:top w:val="single" w:color="auto" w:sz="4" w:space="0"/>
              <w:left w:val="single" w:color="auto" w:sz="4" w:space="0"/>
              <w:bottom w:val="single" w:color="auto" w:sz="4" w:space="0"/>
              <w:right w:val="single" w:color="auto" w:sz="4" w:space="0"/>
            </w:tcBorders>
            <w:vAlign w:val="center"/>
          </w:tcPr>
          <w:p w14:paraId="3AE479B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社会环境</w:t>
            </w:r>
          </w:p>
        </w:tc>
        <w:tc>
          <w:tcPr>
            <w:tcW w:w="2845" w:type="dxa"/>
            <w:tcBorders>
              <w:top w:val="single" w:color="auto" w:sz="4" w:space="0"/>
              <w:left w:val="single" w:color="auto" w:sz="4" w:space="0"/>
              <w:bottom w:val="single" w:color="auto" w:sz="4" w:space="0"/>
              <w:right w:val="single" w:color="auto" w:sz="4" w:space="0"/>
            </w:tcBorders>
            <w:vAlign w:val="center"/>
          </w:tcPr>
          <w:p w14:paraId="1456EAD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交通</w:t>
            </w:r>
          </w:p>
        </w:tc>
        <w:tc>
          <w:tcPr>
            <w:tcW w:w="1894" w:type="dxa"/>
            <w:tcBorders>
              <w:top w:val="single" w:color="auto" w:sz="4" w:space="0"/>
              <w:left w:val="single" w:color="auto" w:sz="4" w:space="0"/>
              <w:bottom w:val="single" w:color="auto" w:sz="4" w:space="0"/>
              <w:right w:val="single" w:color="auto" w:sz="4" w:space="0"/>
            </w:tcBorders>
            <w:vAlign w:val="center"/>
          </w:tcPr>
          <w:p w14:paraId="4315A79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894" w:type="dxa"/>
            <w:tcBorders>
              <w:top w:val="single" w:color="auto" w:sz="4" w:space="0"/>
              <w:left w:val="single" w:color="auto" w:sz="4" w:space="0"/>
              <w:bottom w:val="single" w:color="auto" w:sz="4" w:space="0"/>
              <w:right w:val="single" w:color="auto" w:sz="4" w:space="0"/>
            </w:tcBorders>
            <w:vAlign w:val="center"/>
          </w:tcPr>
          <w:p w14:paraId="23B4BDF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r>
      <w:tr w14:paraId="066085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70" w:type="dxa"/>
            <w:vMerge w:val="continue"/>
            <w:tcBorders>
              <w:top w:val="single" w:color="auto" w:sz="4" w:space="0"/>
              <w:left w:val="single" w:color="auto" w:sz="4" w:space="0"/>
              <w:bottom w:val="single" w:color="auto" w:sz="4" w:space="0"/>
              <w:right w:val="single" w:color="auto" w:sz="4" w:space="0"/>
            </w:tcBorders>
            <w:vAlign w:val="center"/>
          </w:tcPr>
          <w:p w14:paraId="19FF325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2845" w:type="dxa"/>
            <w:tcBorders>
              <w:top w:val="single" w:color="auto" w:sz="4" w:space="0"/>
              <w:left w:val="single" w:color="auto" w:sz="4" w:space="0"/>
              <w:bottom w:val="single" w:color="auto" w:sz="4" w:space="0"/>
              <w:right w:val="single" w:color="auto" w:sz="4" w:space="0"/>
            </w:tcBorders>
            <w:vAlign w:val="center"/>
          </w:tcPr>
          <w:p w14:paraId="3670317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就业</w:t>
            </w:r>
          </w:p>
        </w:tc>
        <w:tc>
          <w:tcPr>
            <w:tcW w:w="1894" w:type="dxa"/>
            <w:tcBorders>
              <w:top w:val="single" w:color="auto" w:sz="4" w:space="0"/>
              <w:left w:val="single" w:color="auto" w:sz="4" w:space="0"/>
              <w:bottom w:val="single" w:color="auto" w:sz="4" w:space="0"/>
              <w:right w:val="single" w:color="auto" w:sz="4" w:space="0"/>
            </w:tcBorders>
            <w:vAlign w:val="center"/>
          </w:tcPr>
          <w:p w14:paraId="40127B2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894" w:type="dxa"/>
            <w:tcBorders>
              <w:top w:val="single" w:color="auto" w:sz="4" w:space="0"/>
              <w:left w:val="single" w:color="auto" w:sz="4" w:space="0"/>
              <w:bottom w:val="single" w:color="auto" w:sz="4" w:space="0"/>
              <w:right w:val="single" w:color="auto" w:sz="4" w:space="0"/>
            </w:tcBorders>
            <w:vAlign w:val="center"/>
          </w:tcPr>
          <w:p w14:paraId="24EDF36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r>
      <w:tr w14:paraId="532092C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70" w:type="dxa"/>
            <w:vMerge w:val="continue"/>
            <w:tcBorders>
              <w:top w:val="single" w:color="auto" w:sz="4" w:space="0"/>
              <w:left w:val="single" w:color="auto" w:sz="4" w:space="0"/>
              <w:bottom w:val="single" w:color="auto" w:sz="4" w:space="0"/>
              <w:right w:val="single" w:color="auto" w:sz="4" w:space="0"/>
            </w:tcBorders>
            <w:vAlign w:val="center"/>
          </w:tcPr>
          <w:p w14:paraId="7F9ADD9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2845" w:type="dxa"/>
            <w:tcBorders>
              <w:top w:val="single" w:color="auto" w:sz="4" w:space="0"/>
              <w:left w:val="single" w:color="auto" w:sz="4" w:space="0"/>
              <w:bottom w:val="single" w:color="auto" w:sz="4" w:space="0"/>
              <w:right w:val="single" w:color="auto" w:sz="4" w:space="0"/>
            </w:tcBorders>
            <w:vAlign w:val="center"/>
          </w:tcPr>
          <w:p w14:paraId="7BBE36D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社会经济</w:t>
            </w:r>
          </w:p>
        </w:tc>
        <w:tc>
          <w:tcPr>
            <w:tcW w:w="1894" w:type="dxa"/>
            <w:tcBorders>
              <w:top w:val="single" w:color="auto" w:sz="4" w:space="0"/>
              <w:left w:val="single" w:color="auto" w:sz="4" w:space="0"/>
              <w:bottom w:val="single" w:color="auto" w:sz="4" w:space="0"/>
              <w:right w:val="single" w:color="auto" w:sz="4" w:space="0"/>
            </w:tcBorders>
            <w:vAlign w:val="center"/>
          </w:tcPr>
          <w:p w14:paraId="750F38F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894" w:type="dxa"/>
            <w:tcBorders>
              <w:top w:val="single" w:color="auto" w:sz="4" w:space="0"/>
              <w:left w:val="single" w:color="auto" w:sz="4" w:space="0"/>
              <w:bottom w:val="single" w:color="auto" w:sz="4" w:space="0"/>
              <w:right w:val="single" w:color="auto" w:sz="4" w:space="0"/>
            </w:tcBorders>
            <w:vAlign w:val="center"/>
          </w:tcPr>
          <w:p w14:paraId="6872548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r>
      <w:tr w14:paraId="372E51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03" w:type="dxa"/>
            <w:gridSpan w:val="4"/>
            <w:tcBorders>
              <w:top w:val="single" w:color="auto" w:sz="4" w:space="0"/>
              <w:left w:val="single" w:color="auto" w:sz="4" w:space="0"/>
              <w:bottom w:val="single" w:color="auto" w:sz="4" w:space="0"/>
              <w:right w:val="single" w:color="auto" w:sz="4" w:space="0"/>
            </w:tcBorders>
            <w:vAlign w:val="center"/>
          </w:tcPr>
          <w:p w14:paraId="6C97AAE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注：“-”表示不利影响，“+”表示有利影响，数字大小表示影响程度；1—轻度影响；2—中度影响；3—重度影响。</w:t>
            </w:r>
          </w:p>
        </w:tc>
      </w:tr>
    </w:tbl>
    <w:p w14:paraId="398E580B">
      <w:pPr>
        <w:pStyle w:val="7"/>
        <w:pageBreakBefore w:val="0"/>
        <w:kinsoku/>
        <w:wordWrap/>
        <w:bidi w:val="0"/>
        <w:snapToGrid w:val="0"/>
        <w:spacing w:line="360" w:lineRule="auto"/>
        <w:ind w:left="0" w:leftChars="0" w:right="0" w:rightChars="0"/>
        <w:outlineLvl w:val="2"/>
        <w:rPr>
          <w:rFonts w:hint="default" w:ascii="Times New Roman" w:hAnsi="Times New Roman" w:eastAsia="宋体" w:cs="Times New Roman"/>
          <w:color w:val="auto"/>
          <w:highlight w:val="none"/>
        </w:rPr>
      </w:pPr>
      <w:bookmarkStart w:id="84" w:name="_Toc2937"/>
      <w:bookmarkStart w:id="85" w:name="_Toc23611"/>
      <w:r>
        <w:rPr>
          <w:rFonts w:hint="default" w:ascii="Times New Roman" w:hAnsi="Times New Roman" w:eastAsia="宋体" w:cs="Times New Roman"/>
          <w:color w:val="auto"/>
          <w:highlight w:val="none"/>
        </w:rPr>
        <w:t>表2.3-2各环境要素影响类型及程度</w:t>
      </w:r>
      <w:bookmarkEnd w:id="84"/>
      <w:bookmarkEnd w:id="85"/>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52"/>
        <w:gridCol w:w="1183"/>
        <w:gridCol w:w="1182"/>
        <w:gridCol w:w="1875"/>
        <w:gridCol w:w="1182"/>
        <w:gridCol w:w="1182"/>
        <w:gridCol w:w="721"/>
      </w:tblGrid>
      <w:tr w14:paraId="348B6E9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18" w:type="dxa"/>
            <w:gridSpan w:val="2"/>
            <w:tcBorders>
              <w:top w:val="single" w:color="auto" w:sz="4" w:space="0"/>
              <w:left w:val="single" w:color="auto" w:sz="4" w:space="0"/>
              <w:bottom w:val="single" w:color="auto" w:sz="4" w:space="0"/>
              <w:right w:val="single" w:color="auto" w:sz="4" w:space="0"/>
            </w:tcBorders>
            <w:vAlign w:val="center"/>
          </w:tcPr>
          <w:p w14:paraId="2CCE48D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要素</w:t>
            </w:r>
          </w:p>
        </w:tc>
        <w:tc>
          <w:tcPr>
            <w:tcW w:w="1286" w:type="dxa"/>
            <w:tcBorders>
              <w:top w:val="single" w:color="auto" w:sz="4" w:space="0"/>
              <w:left w:val="single" w:color="auto" w:sz="4" w:space="0"/>
              <w:bottom w:val="single" w:color="auto" w:sz="4" w:space="0"/>
              <w:right w:val="single" w:color="auto" w:sz="4" w:space="0"/>
            </w:tcBorders>
            <w:vAlign w:val="center"/>
          </w:tcPr>
          <w:p w14:paraId="435F151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影响程度</w:t>
            </w:r>
          </w:p>
        </w:tc>
        <w:tc>
          <w:tcPr>
            <w:tcW w:w="2053" w:type="dxa"/>
            <w:tcBorders>
              <w:top w:val="single" w:color="auto" w:sz="4" w:space="0"/>
              <w:left w:val="single" w:color="auto" w:sz="4" w:space="0"/>
              <w:bottom w:val="single" w:color="auto" w:sz="4" w:space="0"/>
              <w:right w:val="single" w:color="auto" w:sz="4" w:space="0"/>
            </w:tcBorders>
            <w:vAlign w:val="center"/>
          </w:tcPr>
          <w:p w14:paraId="6FFDA7D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类型</w:t>
            </w:r>
          </w:p>
        </w:tc>
        <w:tc>
          <w:tcPr>
            <w:tcW w:w="1286" w:type="dxa"/>
            <w:tcBorders>
              <w:top w:val="single" w:color="auto" w:sz="4" w:space="0"/>
              <w:left w:val="single" w:color="auto" w:sz="4" w:space="0"/>
              <w:bottom w:val="single" w:color="auto" w:sz="4" w:space="0"/>
              <w:right w:val="single" w:color="auto" w:sz="4" w:space="0"/>
            </w:tcBorders>
            <w:vAlign w:val="center"/>
          </w:tcPr>
          <w:p w14:paraId="2F25525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可逆性</w:t>
            </w:r>
          </w:p>
        </w:tc>
        <w:tc>
          <w:tcPr>
            <w:tcW w:w="1286" w:type="dxa"/>
            <w:tcBorders>
              <w:top w:val="single" w:color="auto" w:sz="4" w:space="0"/>
              <w:left w:val="single" w:color="auto" w:sz="4" w:space="0"/>
              <w:bottom w:val="single" w:color="auto" w:sz="4" w:space="0"/>
              <w:right w:val="single" w:color="auto" w:sz="4" w:space="0"/>
            </w:tcBorders>
            <w:vAlign w:val="center"/>
          </w:tcPr>
          <w:p w14:paraId="73F1C91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范围</w:t>
            </w:r>
          </w:p>
        </w:tc>
        <w:tc>
          <w:tcPr>
            <w:tcW w:w="774" w:type="dxa"/>
            <w:tcBorders>
              <w:top w:val="single" w:color="auto" w:sz="4" w:space="0"/>
              <w:left w:val="single" w:color="auto" w:sz="4" w:space="0"/>
              <w:bottom w:val="single" w:color="auto" w:sz="4" w:space="0"/>
              <w:right w:val="single" w:color="auto" w:sz="4" w:space="0"/>
            </w:tcBorders>
          </w:tcPr>
          <w:p w14:paraId="2781834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时限</w:t>
            </w:r>
          </w:p>
        </w:tc>
      </w:tr>
      <w:tr w14:paraId="7BAAE4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1" w:type="dxa"/>
            <w:vMerge w:val="restart"/>
            <w:tcBorders>
              <w:top w:val="single" w:color="auto" w:sz="4" w:space="0"/>
              <w:left w:val="single" w:color="auto" w:sz="4" w:space="0"/>
              <w:bottom w:val="single" w:color="auto" w:sz="4" w:space="0"/>
              <w:right w:val="single" w:color="auto" w:sz="4" w:space="0"/>
            </w:tcBorders>
            <w:vAlign w:val="center"/>
          </w:tcPr>
          <w:p w14:paraId="387797A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营运期</w:t>
            </w:r>
          </w:p>
        </w:tc>
        <w:tc>
          <w:tcPr>
            <w:tcW w:w="1287" w:type="dxa"/>
            <w:tcBorders>
              <w:top w:val="single" w:color="auto" w:sz="4" w:space="0"/>
              <w:left w:val="single" w:color="auto" w:sz="4" w:space="0"/>
              <w:bottom w:val="single" w:color="auto" w:sz="4" w:space="0"/>
              <w:right w:val="single" w:color="auto" w:sz="4" w:space="0"/>
            </w:tcBorders>
            <w:vAlign w:val="center"/>
          </w:tcPr>
          <w:p w14:paraId="277AA19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w:t>
            </w:r>
          </w:p>
        </w:tc>
        <w:tc>
          <w:tcPr>
            <w:tcW w:w="1286" w:type="dxa"/>
            <w:tcBorders>
              <w:top w:val="single" w:color="auto" w:sz="4" w:space="0"/>
              <w:left w:val="single" w:color="auto" w:sz="4" w:space="0"/>
              <w:bottom w:val="single" w:color="auto" w:sz="4" w:space="0"/>
              <w:right w:val="single" w:color="auto" w:sz="4" w:space="0"/>
            </w:tcBorders>
            <w:vAlign w:val="center"/>
          </w:tcPr>
          <w:p w14:paraId="2FFEC69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明显</w:t>
            </w:r>
          </w:p>
        </w:tc>
        <w:tc>
          <w:tcPr>
            <w:tcW w:w="2053" w:type="dxa"/>
            <w:tcBorders>
              <w:top w:val="single" w:color="auto" w:sz="4" w:space="0"/>
              <w:left w:val="single" w:color="auto" w:sz="4" w:space="0"/>
              <w:bottom w:val="single" w:color="auto" w:sz="4" w:space="0"/>
              <w:right w:val="single" w:color="auto" w:sz="4" w:space="0"/>
            </w:tcBorders>
            <w:vAlign w:val="center"/>
          </w:tcPr>
          <w:p w14:paraId="544FD61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有后续影响</w:t>
            </w:r>
          </w:p>
        </w:tc>
        <w:tc>
          <w:tcPr>
            <w:tcW w:w="1286" w:type="dxa"/>
            <w:tcBorders>
              <w:top w:val="single" w:color="auto" w:sz="4" w:space="0"/>
              <w:left w:val="single" w:color="auto" w:sz="4" w:space="0"/>
              <w:bottom w:val="single" w:color="auto" w:sz="4" w:space="0"/>
              <w:right w:val="single" w:color="auto" w:sz="4" w:space="0"/>
            </w:tcBorders>
            <w:vAlign w:val="center"/>
          </w:tcPr>
          <w:p w14:paraId="15B102A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基本可逆</w:t>
            </w:r>
          </w:p>
        </w:tc>
        <w:tc>
          <w:tcPr>
            <w:tcW w:w="1286" w:type="dxa"/>
            <w:tcBorders>
              <w:top w:val="single" w:color="auto" w:sz="4" w:space="0"/>
              <w:left w:val="single" w:color="auto" w:sz="4" w:space="0"/>
              <w:bottom w:val="single" w:color="auto" w:sz="4" w:space="0"/>
              <w:right w:val="single" w:color="auto" w:sz="4" w:space="0"/>
            </w:tcBorders>
            <w:vAlign w:val="center"/>
          </w:tcPr>
          <w:p w14:paraId="43311F8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局部</w:t>
            </w:r>
          </w:p>
        </w:tc>
        <w:tc>
          <w:tcPr>
            <w:tcW w:w="774" w:type="dxa"/>
            <w:tcBorders>
              <w:top w:val="single" w:color="auto" w:sz="4" w:space="0"/>
              <w:left w:val="single" w:color="auto" w:sz="4" w:space="0"/>
              <w:bottom w:val="single" w:color="auto" w:sz="4" w:space="0"/>
              <w:right w:val="single" w:color="auto" w:sz="4" w:space="0"/>
            </w:tcBorders>
            <w:vAlign w:val="center"/>
          </w:tcPr>
          <w:p w14:paraId="49105DF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长期</w:t>
            </w:r>
          </w:p>
        </w:tc>
      </w:tr>
      <w:tr w14:paraId="44A42EE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1" w:type="dxa"/>
            <w:vMerge w:val="continue"/>
            <w:tcBorders>
              <w:top w:val="single" w:color="auto" w:sz="4" w:space="0"/>
              <w:left w:val="single" w:color="auto" w:sz="4" w:space="0"/>
              <w:bottom w:val="single" w:color="auto" w:sz="4" w:space="0"/>
              <w:right w:val="single" w:color="auto" w:sz="4" w:space="0"/>
            </w:tcBorders>
            <w:vAlign w:val="center"/>
          </w:tcPr>
          <w:p w14:paraId="37BF4E3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287" w:type="dxa"/>
            <w:tcBorders>
              <w:top w:val="single" w:color="auto" w:sz="4" w:space="0"/>
              <w:left w:val="single" w:color="auto" w:sz="4" w:space="0"/>
              <w:bottom w:val="single" w:color="auto" w:sz="4" w:space="0"/>
              <w:right w:val="single" w:color="auto" w:sz="4" w:space="0"/>
            </w:tcBorders>
            <w:vAlign w:val="center"/>
          </w:tcPr>
          <w:p w14:paraId="05CA8AD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水环境</w:t>
            </w:r>
          </w:p>
        </w:tc>
        <w:tc>
          <w:tcPr>
            <w:tcW w:w="1286" w:type="dxa"/>
            <w:tcBorders>
              <w:top w:val="single" w:color="auto" w:sz="4" w:space="0"/>
              <w:left w:val="single" w:color="auto" w:sz="4" w:space="0"/>
              <w:bottom w:val="single" w:color="auto" w:sz="4" w:space="0"/>
              <w:right w:val="single" w:color="auto" w:sz="4" w:space="0"/>
            </w:tcBorders>
            <w:vAlign w:val="center"/>
          </w:tcPr>
          <w:p w14:paraId="3AB76E4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不明显</w:t>
            </w:r>
          </w:p>
        </w:tc>
        <w:tc>
          <w:tcPr>
            <w:tcW w:w="2053" w:type="dxa"/>
            <w:tcBorders>
              <w:top w:val="single" w:color="auto" w:sz="4" w:space="0"/>
              <w:left w:val="single" w:color="auto" w:sz="4" w:space="0"/>
              <w:bottom w:val="single" w:color="auto" w:sz="4" w:space="0"/>
              <w:right w:val="single" w:color="auto" w:sz="4" w:space="0"/>
            </w:tcBorders>
            <w:vAlign w:val="center"/>
          </w:tcPr>
          <w:p w14:paraId="675D89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有后续影响</w:t>
            </w:r>
          </w:p>
        </w:tc>
        <w:tc>
          <w:tcPr>
            <w:tcW w:w="1286" w:type="dxa"/>
            <w:tcBorders>
              <w:top w:val="single" w:color="auto" w:sz="4" w:space="0"/>
              <w:left w:val="single" w:color="auto" w:sz="4" w:space="0"/>
              <w:bottom w:val="single" w:color="auto" w:sz="4" w:space="0"/>
              <w:right w:val="single" w:color="auto" w:sz="4" w:space="0"/>
            </w:tcBorders>
            <w:vAlign w:val="center"/>
          </w:tcPr>
          <w:p w14:paraId="1FBA844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基本可逆</w:t>
            </w:r>
          </w:p>
        </w:tc>
        <w:tc>
          <w:tcPr>
            <w:tcW w:w="1286" w:type="dxa"/>
            <w:tcBorders>
              <w:top w:val="single" w:color="auto" w:sz="4" w:space="0"/>
              <w:left w:val="single" w:color="auto" w:sz="4" w:space="0"/>
              <w:bottom w:val="single" w:color="auto" w:sz="4" w:space="0"/>
              <w:right w:val="single" w:color="auto" w:sz="4" w:space="0"/>
            </w:tcBorders>
            <w:vAlign w:val="center"/>
          </w:tcPr>
          <w:p w14:paraId="19DCB4B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局部</w:t>
            </w:r>
          </w:p>
        </w:tc>
        <w:tc>
          <w:tcPr>
            <w:tcW w:w="774" w:type="dxa"/>
            <w:tcBorders>
              <w:top w:val="single" w:color="auto" w:sz="4" w:space="0"/>
              <w:left w:val="single" w:color="auto" w:sz="4" w:space="0"/>
              <w:bottom w:val="single" w:color="auto" w:sz="4" w:space="0"/>
              <w:right w:val="single" w:color="auto" w:sz="4" w:space="0"/>
            </w:tcBorders>
            <w:vAlign w:val="center"/>
          </w:tcPr>
          <w:p w14:paraId="39E4302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长期</w:t>
            </w:r>
          </w:p>
        </w:tc>
      </w:tr>
      <w:tr w14:paraId="65DE95C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1" w:type="dxa"/>
            <w:vMerge w:val="continue"/>
            <w:tcBorders>
              <w:top w:val="single" w:color="auto" w:sz="4" w:space="0"/>
              <w:left w:val="single" w:color="auto" w:sz="4" w:space="0"/>
              <w:bottom w:val="single" w:color="auto" w:sz="4" w:space="0"/>
              <w:right w:val="single" w:color="auto" w:sz="4" w:space="0"/>
            </w:tcBorders>
            <w:vAlign w:val="center"/>
          </w:tcPr>
          <w:p w14:paraId="6D841D9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287" w:type="dxa"/>
            <w:tcBorders>
              <w:top w:val="single" w:color="auto" w:sz="4" w:space="0"/>
              <w:left w:val="single" w:color="auto" w:sz="4" w:space="0"/>
              <w:bottom w:val="single" w:color="auto" w:sz="4" w:space="0"/>
              <w:right w:val="single" w:color="auto" w:sz="4" w:space="0"/>
            </w:tcBorders>
            <w:vAlign w:val="center"/>
          </w:tcPr>
          <w:p w14:paraId="31907CB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土壤环境</w:t>
            </w:r>
          </w:p>
        </w:tc>
        <w:tc>
          <w:tcPr>
            <w:tcW w:w="1286" w:type="dxa"/>
            <w:tcBorders>
              <w:top w:val="single" w:color="auto" w:sz="4" w:space="0"/>
              <w:left w:val="single" w:color="auto" w:sz="4" w:space="0"/>
              <w:bottom w:val="single" w:color="auto" w:sz="4" w:space="0"/>
              <w:right w:val="single" w:color="auto" w:sz="4" w:space="0"/>
            </w:tcBorders>
            <w:vAlign w:val="center"/>
          </w:tcPr>
          <w:p w14:paraId="278F72F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不明显</w:t>
            </w:r>
          </w:p>
        </w:tc>
        <w:tc>
          <w:tcPr>
            <w:tcW w:w="2053" w:type="dxa"/>
            <w:tcBorders>
              <w:top w:val="single" w:color="auto" w:sz="4" w:space="0"/>
              <w:left w:val="single" w:color="auto" w:sz="4" w:space="0"/>
              <w:bottom w:val="single" w:color="auto" w:sz="4" w:space="0"/>
              <w:right w:val="single" w:color="auto" w:sz="4" w:space="0"/>
            </w:tcBorders>
            <w:vAlign w:val="center"/>
          </w:tcPr>
          <w:p w14:paraId="3B92CA0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有后续影响</w:t>
            </w:r>
          </w:p>
        </w:tc>
        <w:tc>
          <w:tcPr>
            <w:tcW w:w="1286" w:type="dxa"/>
            <w:tcBorders>
              <w:top w:val="single" w:color="auto" w:sz="4" w:space="0"/>
              <w:left w:val="single" w:color="auto" w:sz="4" w:space="0"/>
              <w:bottom w:val="single" w:color="auto" w:sz="4" w:space="0"/>
              <w:right w:val="single" w:color="auto" w:sz="4" w:space="0"/>
            </w:tcBorders>
            <w:vAlign w:val="center"/>
          </w:tcPr>
          <w:p w14:paraId="1BCF29C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基本可逆</w:t>
            </w:r>
          </w:p>
        </w:tc>
        <w:tc>
          <w:tcPr>
            <w:tcW w:w="1286" w:type="dxa"/>
            <w:tcBorders>
              <w:top w:val="single" w:color="auto" w:sz="4" w:space="0"/>
              <w:left w:val="single" w:color="auto" w:sz="4" w:space="0"/>
              <w:bottom w:val="single" w:color="auto" w:sz="4" w:space="0"/>
              <w:right w:val="single" w:color="auto" w:sz="4" w:space="0"/>
            </w:tcBorders>
            <w:vAlign w:val="center"/>
          </w:tcPr>
          <w:p w14:paraId="2A76B79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局部</w:t>
            </w:r>
          </w:p>
        </w:tc>
        <w:tc>
          <w:tcPr>
            <w:tcW w:w="774" w:type="dxa"/>
            <w:tcBorders>
              <w:top w:val="single" w:color="auto" w:sz="4" w:space="0"/>
              <w:left w:val="single" w:color="auto" w:sz="4" w:space="0"/>
              <w:bottom w:val="single" w:color="auto" w:sz="4" w:space="0"/>
              <w:right w:val="single" w:color="auto" w:sz="4" w:space="0"/>
            </w:tcBorders>
            <w:vAlign w:val="center"/>
          </w:tcPr>
          <w:p w14:paraId="6C3A30E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长期</w:t>
            </w:r>
          </w:p>
        </w:tc>
      </w:tr>
      <w:tr w14:paraId="2740848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1" w:type="dxa"/>
            <w:vMerge w:val="continue"/>
            <w:tcBorders>
              <w:top w:val="single" w:color="auto" w:sz="4" w:space="0"/>
              <w:left w:val="single" w:color="auto" w:sz="4" w:space="0"/>
              <w:bottom w:val="single" w:color="auto" w:sz="4" w:space="0"/>
              <w:right w:val="single" w:color="auto" w:sz="4" w:space="0"/>
            </w:tcBorders>
            <w:vAlign w:val="center"/>
          </w:tcPr>
          <w:p w14:paraId="2B6057D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287" w:type="dxa"/>
            <w:tcBorders>
              <w:top w:val="single" w:color="auto" w:sz="4" w:space="0"/>
              <w:left w:val="single" w:color="auto" w:sz="4" w:space="0"/>
              <w:bottom w:val="single" w:color="auto" w:sz="4" w:space="0"/>
              <w:right w:val="single" w:color="auto" w:sz="4" w:space="0"/>
            </w:tcBorders>
            <w:vAlign w:val="center"/>
          </w:tcPr>
          <w:p w14:paraId="04F8B99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w:t>
            </w:r>
          </w:p>
        </w:tc>
        <w:tc>
          <w:tcPr>
            <w:tcW w:w="1286" w:type="dxa"/>
            <w:tcBorders>
              <w:top w:val="single" w:color="auto" w:sz="4" w:space="0"/>
              <w:left w:val="single" w:color="auto" w:sz="4" w:space="0"/>
              <w:bottom w:val="single" w:color="auto" w:sz="4" w:space="0"/>
              <w:right w:val="single" w:color="auto" w:sz="4" w:space="0"/>
            </w:tcBorders>
            <w:vAlign w:val="center"/>
          </w:tcPr>
          <w:p w14:paraId="4435361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较明显</w:t>
            </w:r>
          </w:p>
        </w:tc>
        <w:tc>
          <w:tcPr>
            <w:tcW w:w="2053" w:type="dxa"/>
            <w:tcBorders>
              <w:top w:val="single" w:color="auto" w:sz="4" w:space="0"/>
              <w:left w:val="single" w:color="auto" w:sz="4" w:space="0"/>
              <w:bottom w:val="single" w:color="auto" w:sz="4" w:space="0"/>
              <w:right w:val="single" w:color="auto" w:sz="4" w:space="0"/>
            </w:tcBorders>
            <w:vAlign w:val="center"/>
          </w:tcPr>
          <w:p w14:paraId="1C4AFF3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与声源同时存在</w:t>
            </w:r>
          </w:p>
        </w:tc>
        <w:tc>
          <w:tcPr>
            <w:tcW w:w="1286" w:type="dxa"/>
            <w:tcBorders>
              <w:top w:val="single" w:color="auto" w:sz="4" w:space="0"/>
              <w:left w:val="single" w:color="auto" w:sz="4" w:space="0"/>
              <w:bottom w:val="single" w:color="auto" w:sz="4" w:space="0"/>
              <w:right w:val="single" w:color="auto" w:sz="4" w:space="0"/>
            </w:tcBorders>
            <w:vAlign w:val="center"/>
          </w:tcPr>
          <w:p w14:paraId="1C0A3E9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可逆</w:t>
            </w:r>
          </w:p>
        </w:tc>
        <w:tc>
          <w:tcPr>
            <w:tcW w:w="1286" w:type="dxa"/>
            <w:tcBorders>
              <w:top w:val="single" w:color="auto" w:sz="4" w:space="0"/>
              <w:left w:val="single" w:color="auto" w:sz="4" w:space="0"/>
              <w:bottom w:val="single" w:color="auto" w:sz="4" w:space="0"/>
              <w:right w:val="single" w:color="auto" w:sz="4" w:space="0"/>
            </w:tcBorders>
            <w:vAlign w:val="center"/>
          </w:tcPr>
          <w:p w14:paraId="14349E8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局部</w:t>
            </w:r>
          </w:p>
        </w:tc>
        <w:tc>
          <w:tcPr>
            <w:tcW w:w="774" w:type="dxa"/>
            <w:tcBorders>
              <w:top w:val="single" w:color="auto" w:sz="4" w:space="0"/>
              <w:left w:val="single" w:color="auto" w:sz="4" w:space="0"/>
              <w:bottom w:val="single" w:color="auto" w:sz="4" w:space="0"/>
              <w:right w:val="single" w:color="auto" w:sz="4" w:space="0"/>
            </w:tcBorders>
            <w:vAlign w:val="center"/>
          </w:tcPr>
          <w:p w14:paraId="25C2AE5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长期</w:t>
            </w:r>
          </w:p>
        </w:tc>
      </w:tr>
      <w:tr w14:paraId="5961653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1" w:type="dxa"/>
            <w:vMerge w:val="continue"/>
            <w:tcBorders>
              <w:top w:val="single" w:color="auto" w:sz="4" w:space="0"/>
              <w:left w:val="single" w:color="auto" w:sz="4" w:space="0"/>
              <w:bottom w:val="single" w:color="auto" w:sz="4" w:space="0"/>
              <w:right w:val="single" w:color="auto" w:sz="4" w:space="0"/>
            </w:tcBorders>
            <w:vAlign w:val="center"/>
          </w:tcPr>
          <w:p w14:paraId="040EA9F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287" w:type="dxa"/>
            <w:tcBorders>
              <w:top w:val="single" w:color="auto" w:sz="4" w:space="0"/>
              <w:left w:val="single" w:color="auto" w:sz="4" w:space="0"/>
              <w:bottom w:val="single" w:color="auto" w:sz="4" w:space="0"/>
              <w:right w:val="single" w:color="auto" w:sz="4" w:space="0"/>
            </w:tcBorders>
            <w:vAlign w:val="center"/>
          </w:tcPr>
          <w:p w14:paraId="7141BD4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w:t>
            </w:r>
          </w:p>
        </w:tc>
        <w:tc>
          <w:tcPr>
            <w:tcW w:w="1286" w:type="dxa"/>
            <w:tcBorders>
              <w:top w:val="single" w:color="auto" w:sz="4" w:space="0"/>
              <w:left w:val="single" w:color="auto" w:sz="4" w:space="0"/>
              <w:bottom w:val="single" w:color="auto" w:sz="4" w:space="0"/>
              <w:right w:val="single" w:color="auto" w:sz="4" w:space="0"/>
            </w:tcBorders>
            <w:vAlign w:val="center"/>
          </w:tcPr>
          <w:p w14:paraId="4AB8B54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不明显</w:t>
            </w:r>
          </w:p>
        </w:tc>
        <w:tc>
          <w:tcPr>
            <w:tcW w:w="2053" w:type="dxa"/>
            <w:tcBorders>
              <w:top w:val="single" w:color="auto" w:sz="4" w:space="0"/>
              <w:left w:val="single" w:color="auto" w:sz="4" w:space="0"/>
              <w:bottom w:val="single" w:color="auto" w:sz="4" w:space="0"/>
              <w:right w:val="single" w:color="auto" w:sz="4" w:space="0"/>
            </w:tcBorders>
            <w:vAlign w:val="center"/>
          </w:tcPr>
          <w:p w14:paraId="227D3F0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286" w:type="dxa"/>
            <w:tcBorders>
              <w:top w:val="single" w:color="auto" w:sz="4" w:space="0"/>
              <w:left w:val="single" w:color="auto" w:sz="4" w:space="0"/>
              <w:bottom w:val="single" w:color="auto" w:sz="4" w:space="0"/>
              <w:right w:val="single" w:color="auto" w:sz="4" w:space="0"/>
            </w:tcBorders>
            <w:vAlign w:val="center"/>
          </w:tcPr>
          <w:p w14:paraId="1129C82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基本可逆</w:t>
            </w:r>
          </w:p>
        </w:tc>
        <w:tc>
          <w:tcPr>
            <w:tcW w:w="1286" w:type="dxa"/>
            <w:tcBorders>
              <w:top w:val="single" w:color="auto" w:sz="4" w:space="0"/>
              <w:left w:val="single" w:color="auto" w:sz="4" w:space="0"/>
              <w:bottom w:val="single" w:color="auto" w:sz="4" w:space="0"/>
              <w:right w:val="single" w:color="auto" w:sz="4" w:space="0"/>
            </w:tcBorders>
            <w:vAlign w:val="center"/>
          </w:tcPr>
          <w:p w14:paraId="30F6CFF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局部</w:t>
            </w:r>
          </w:p>
        </w:tc>
        <w:tc>
          <w:tcPr>
            <w:tcW w:w="774" w:type="dxa"/>
            <w:tcBorders>
              <w:top w:val="single" w:color="auto" w:sz="4" w:space="0"/>
              <w:left w:val="single" w:color="auto" w:sz="4" w:space="0"/>
              <w:bottom w:val="single" w:color="auto" w:sz="4" w:space="0"/>
              <w:right w:val="single" w:color="auto" w:sz="4" w:space="0"/>
            </w:tcBorders>
            <w:vAlign w:val="center"/>
          </w:tcPr>
          <w:p w14:paraId="45C117F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短期</w:t>
            </w:r>
          </w:p>
        </w:tc>
      </w:tr>
      <w:tr w14:paraId="5DCDEAD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1" w:type="dxa"/>
            <w:vMerge w:val="continue"/>
            <w:tcBorders>
              <w:top w:val="single" w:color="auto" w:sz="4" w:space="0"/>
              <w:left w:val="single" w:color="auto" w:sz="4" w:space="0"/>
              <w:bottom w:val="single" w:color="auto" w:sz="4" w:space="0"/>
              <w:right w:val="single" w:color="auto" w:sz="4" w:space="0"/>
            </w:tcBorders>
            <w:vAlign w:val="center"/>
          </w:tcPr>
          <w:p w14:paraId="7D34DFB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287" w:type="dxa"/>
            <w:tcBorders>
              <w:top w:val="single" w:color="auto" w:sz="4" w:space="0"/>
              <w:left w:val="single" w:color="auto" w:sz="4" w:space="0"/>
              <w:bottom w:val="single" w:color="auto" w:sz="4" w:space="0"/>
              <w:right w:val="single" w:color="auto" w:sz="4" w:space="0"/>
            </w:tcBorders>
            <w:vAlign w:val="center"/>
          </w:tcPr>
          <w:p w14:paraId="0BEF4D7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w:t>
            </w:r>
          </w:p>
        </w:tc>
        <w:tc>
          <w:tcPr>
            <w:tcW w:w="1286" w:type="dxa"/>
            <w:tcBorders>
              <w:top w:val="single" w:color="auto" w:sz="4" w:space="0"/>
              <w:left w:val="single" w:color="auto" w:sz="4" w:space="0"/>
              <w:bottom w:val="single" w:color="auto" w:sz="4" w:space="0"/>
              <w:right w:val="single" w:color="auto" w:sz="4" w:space="0"/>
            </w:tcBorders>
            <w:vAlign w:val="center"/>
          </w:tcPr>
          <w:p w14:paraId="74C0D57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不明显</w:t>
            </w:r>
          </w:p>
        </w:tc>
        <w:tc>
          <w:tcPr>
            <w:tcW w:w="2053" w:type="dxa"/>
            <w:tcBorders>
              <w:top w:val="single" w:color="auto" w:sz="4" w:space="0"/>
              <w:left w:val="single" w:color="auto" w:sz="4" w:space="0"/>
              <w:bottom w:val="single" w:color="auto" w:sz="4" w:space="0"/>
              <w:right w:val="single" w:color="auto" w:sz="4" w:space="0"/>
            </w:tcBorders>
            <w:vAlign w:val="center"/>
          </w:tcPr>
          <w:p w14:paraId="03ACC43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有后续影响</w:t>
            </w:r>
          </w:p>
        </w:tc>
        <w:tc>
          <w:tcPr>
            <w:tcW w:w="1286" w:type="dxa"/>
            <w:tcBorders>
              <w:top w:val="single" w:color="auto" w:sz="4" w:space="0"/>
              <w:left w:val="single" w:color="auto" w:sz="4" w:space="0"/>
              <w:bottom w:val="single" w:color="auto" w:sz="4" w:space="0"/>
              <w:right w:val="single" w:color="auto" w:sz="4" w:space="0"/>
            </w:tcBorders>
            <w:vAlign w:val="center"/>
          </w:tcPr>
          <w:p w14:paraId="720CA33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基本可逆</w:t>
            </w:r>
          </w:p>
        </w:tc>
        <w:tc>
          <w:tcPr>
            <w:tcW w:w="1286" w:type="dxa"/>
            <w:tcBorders>
              <w:top w:val="single" w:color="auto" w:sz="4" w:space="0"/>
              <w:left w:val="single" w:color="auto" w:sz="4" w:space="0"/>
              <w:bottom w:val="single" w:color="auto" w:sz="4" w:space="0"/>
              <w:right w:val="single" w:color="auto" w:sz="4" w:space="0"/>
            </w:tcBorders>
            <w:vAlign w:val="center"/>
          </w:tcPr>
          <w:p w14:paraId="2F03992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局部</w:t>
            </w:r>
          </w:p>
        </w:tc>
        <w:tc>
          <w:tcPr>
            <w:tcW w:w="774" w:type="dxa"/>
            <w:tcBorders>
              <w:top w:val="single" w:color="auto" w:sz="4" w:space="0"/>
              <w:left w:val="single" w:color="auto" w:sz="4" w:space="0"/>
              <w:bottom w:val="single" w:color="auto" w:sz="4" w:space="0"/>
              <w:right w:val="single" w:color="auto" w:sz="4" w:space="0"/>
            </w:tcBorders>
            <w:vAlign w:val="center"/>
          </w:tcPr>
          <w:p w14:paraId="5DE5399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短期</w:t>
            </w:r>
          </w:p>
        </w:tc>
      </w:tr>
    </w:tbl>
    <w:p w14:paraId="5FD9CB33">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Style w:val="53"/>
          <w:rFonts w:hint="default" w:ascii="Times New Roman" w:hAnsi="Times New Roman" w:eastAsia="宋体" w:cs="Times New Roman"/>
          <w:b/>
          <w:bCs/>
          <w:color w:val="auto"/>
          <w:highlight w:val="none"/>
        </w:rPr>
      </w:pPr>
      <w:bookmarkStart w:id="86" w:name="_Toc21385"/>
      <w:r>
        <w:rPr>
          <w:rStyle w:val="53"/>
          <w:rFonts w:hint="default" w:ascii="Times New Roman" w:hAnsi="Times New Roman" w:eastAsia="宋体" w:cs="Times New Roman"/>
          <w:b/>
          <w:bCs/>
          <w:color w:val="auto"/>
          <w:highlight w:val="none"/>
        </w:rPr>
        <w:t>2.3.2环境影响评价因子识别</w:t>
      </w:r>
      <w:bookmarkEnd w:id="86"/>
    </w:p>
    <w:p w14:paraId="5DE02ACE">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highlight w:val="none"/>
        </w:rPr>
        <w:t>根据项目建设内容，主要环境问题为恶臭污染防治问题。工程建设对环境的影响要素及因子见表2.3-3。</w:t>
      </w:r>
    </w:p>
    <w:p w14:paraId="5E53223C">
      <w:pPr>
        <w:pStyle w:val="7"/>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表2.3-3环境要素及污染因子分析</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028"/>
        <w:gridCol w:w="3187"/>
        <w:gridCol w:w="3062"/>
      </w:tblGrid>
      <w:tr w14:paraId="6BC2FB7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00" w:type="dxa"/>
            <w:tcBorders>
              <w:top w:val="single" w:color="auto" w:sz="4" w:space="0"/>
              <w:left w:val="single" w:color="auto" w:sz="4" w:space="0"/>
              <w:bottom w:val="single" w:color="auto" w:sz="4" w:space="0"/>
              <w:right w:val="single" w:color="auto" w:sz="4" w:space="0"/>
              <w:tl2br w:val="single" w:color="auto" w:sz="6" w:space="0"/>
            </w:tcBorders>
            <w:vAlign w:val="center"/>
          </w:tcPr>
          <w:p w14:paraId="32DF65D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right"/>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主要产生环节</w:t>
            </w:r>
          </w:p>
          <w:p w14:paraId="6AE682F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环境要素</w:t>
            </w:r>
          </w:p>
        </w:tc>
        <w:tc>
          <w:tcPr>
            <w:tcW w:w="3470" w:type="dxa"/>
            <w:tcBorders>
              <w:top w:val="single" w:color="auto" w:sz="4" w:space="0"/>
              <w:left w:val="single" w:color="auto" w:sz="4" w:space="0"/>
              <w:bottom w:val="single" w:color="auto" w:sz="4" w:space="0"/>
              <w:right w:val="single" w:color="auto" w:sz="4" w:space="0"/>
            </w:tcBorders>
            <w:vAlign w:val="center"/>
          </w:tcPr>
          <w:p w14:paraId="445DE1A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畜禽养殖</w:t>
            </w:r>
          </w:p>
        </w:tc>
        <w:tc>
          <w:tcPr>
            <w:tcW w:w="3333" w:type="dxa"/>
            <w:tcBorders>
              <w:top w:val="single" w:color="auto" w:sz="4" w:space="0"/>
              <w:left w:val="single" w:color="auto" w:sz="4" w:space="0"/>
              <w:bottom w:val="single" w:color="auto" w:sz="4" w:space="0"/>
              <w:right w:val="single" w:color="auto" w:sz="4" w:space="0"/>
            </w:tcBorders>
            <w:vAlign w:val="center"/>
          </w:tcPr>
          <w:p w14:paraId="7249C18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办公、生活</w:t>
            </w:r>
          </w:p>
        </w:tc>
      </w:tr>
      <w:tr w14:paraId="06224A0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00" w:type="dxa"/>
            <w:tcBorders>
              <w:top w:val="single" w:color="auto" w:sz="4" w:space="0"/>
              <w:left w:val="single" w:color="auto" w:sz="4" w:space="0"/>
              <w:bottom w:val="single" w:color="auto" w:sz="4" w:space="0"/>
              <w:right w:val="single" w:color="auto" w:sz="4" w:space="0"/>
            </w:tcBorders>
            <w:vAlign w:val="center"/>
          </w:tcPr>
          <w:p w14:paraId="635744B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w:t>
            </w:r>
          </w:p>
        </w:tc>
        <w:tc>
          <w:tcPr>
            <w:tcW w:w="3470" w:type="dxa"/>
            <w:tcBorders>
              <w:top w:val="single" w:color="auto" w:sz="4" w:space="0"/>
              <w:left w:val="single" w:color="auto" w:sz="4" w:space="0"/>
              <w:bottom w:val="single" w:color="auto" w:sz="4" w:space="0"/>
              <w:right w:val="single" w:color="auto" w:sz="4" w:space="0"/>
            </w:tcBorders>
            <w:vAlign w:val="center"/>
          </w:tcPr>
          <w:p w14:paraId="6309A10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S、臭气浓度、颗粒物</w:t>
            </w:r>
          </w:p>
        </w:tc>
        <w:tc>
          <w:tcPr>
            <w:tcW w:w="3333" w:type="dxa"/>
            <w:tcBorders>
              <w:top w:val="single" w:color="auto" w:sz="4" w:space="0"/>
              <w:left w:val="single" w:color="auto" w:sz="4" w:space="0"/>
              <w:bottom w:val="single" w:color="auto" w:sz="4" w:space="0"/>
              <w:right w:val="single" w:color="auto" w:sz="4" w:space="0"/>
            </w:tcBorders>
            <w:vAlign w:val="center"/>
          </w:tcPr>
          <w:p w14:paraId="7B300FD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5C63A8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00" w:type="dxa"/>
            <w:tcBorders>
              <w:top w:val="single" w:color="auto" w:sz="4" w:space="0"/>
              <w:left w:val="single" w:color="auto" w:sz="4" w:space="0"/>
              <w:bottom w:val="single" w:color="auto" w:sz="4" w:space="0"/>
              <w:right w:val="single" w:color="auto" w:sz="4" w:space="0"/>
            </w:tcBorders>
            <w:vAlign w:val="center"/>
          </w:tcPr>
          <w:p w14:paraId="459B87D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水环境</w:t>
            </w:r>
          </w:p>
        </w:tc>
        <w:tc>
          <w:tcPr>
            <w:tcW w:w="3470" w:type="dxa"/>
            <w:tcBorders>
              <w:top w:val="single" w:color="auto" w:sz="4" w:space="0"/>
              <w:left w:val="single" w:color="auto" w:sz="4" w:space="0"/>
              <w:bottom w:val="single" w:color="auto" w:sz="4" w:space="0"/>
              <w:right w:val="single" w:color="auto" w:sz="4" w:space="0"/>
            </w:tcBorders>
            <w:vAlign w:val="center"/>
          </w:tcPr>
          <w:p w14:paraId="6181FF6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COD、BOD</w:t>
            </w:r>
            <w:r>
              <w:rPr>
                <w:rFonts w:hint="default" w:ascii="Times New Roman" w:hAnsi="Times New Roman" w:eastAsia="宋体" w:cs="Times New Roman"/>
                <w:color w:val="auto"/>
                <w:sz w:val="21"/>
                <w:szCs w:val="21"/>
                <w:highlight w:val="none"/>
                <w:vertAlign w:val="subscript"/>
              </w:rPr>
              <w:t>5</w:t>
            </w:r>
            <w:r>
              <w:rPr>
                <w:rFonts w:hint="default" w:ascii="Times New Roman" w:hAnsi="Times New Roman" w:eastAsia="宋体" w:cs="Times New Roman"/>
                <w:color w:val="auto"/>
                <w:sz w:val="21"/>
                <w:szCs w:val="21"/>
                <w:highlight w:val="none"/>
              </w:rPr>
              <w:t>、氨氮、SS</w:t>
            </w:r>
          </w:p>
        </w:tc>
        <w:tc>
          <w:tcPr>
            <w:tcW w:w="3333" w:type="dxa"/>
            <w:tcBorders>
              <w:top w:val="single" w:color="auto" w:sz="4" w:space="0"/>
              <w:left w:val="single" w:color="auto" w:sz="4" w:space="0"/>
              <w:bottom w:val="single" w:color="auto" w:sz="4" w:space="0"/>
              <w:right w:val="single" w:color="auto" w:sz="4" w:space="0"/>
            </w:tcBorders>
            <w:vAlign w:val="center"/>
          </w:tcPr>
          <w:p w14:paraId="3A1A1BB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182160B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00" w:type="dxa"/>
            <w:tcBorders>
              <w:top w:val="single" w:color="auto" w:sz="4" w:space="0"/>
              <w:left w:val="single" w:color="auto" w:sz="4" w:space="0"/>
              <w:bottom w:val="single" w:color="auto" w:sz="4" w:space="0"/>
              <w:right w:val="single" w:color="auto" w:sz="4" w:space="0"/>
            </w:tcBorders>
            <w:vAlign w:val="center"/>
          </w:tcPr>
          <w:p w14:paraId="233BF59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土壤环境</w:t>
            </w:r>
          </w:p>
        </w:tc>
        <w:tc>
          <w:tcPr>
            <w:tcW w:w="3470" w:type="dxa"/>
            <w:tcBorders>
              <w:top w:val="single" w:color="auto" w:sz="4" w:space="0"/>
              <w:left w:val="single" w:color="auto" w:sz="4" w:space="0"/>
              <w:bottom w:val="single" w:color="auto" w:sz="4" w:space="0"/>
              <w:right w:val="single" w:color="auto" w:sz="4" w:space="0"/>
            </w:tcBorders>
            <w:vAlign w:val="center"/>
          </w:tcPr>
          <w:p w14:paraId="7F3AE24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0000FF"/>
                <w:sz w:val="21"/>
                <w:szCs w:val="21"/>
                <w:highlight w:val="none"/>
              </w:rPr>
              <w:t>pH</w:t>
            </w:r>
          </w:p>
        </w:tc>
        <w:tc>
          <w:tcPr>
            <w:tcW w:w="3333" w:type="dxa"/>
            <w:tcBorders>
              <w:top w:val="single" w:color="auto" w:sz="4" w:space="0"/>
              <w:left w:val="single" w:color="auto" w:sz="4" w:space="0"/>
              <w:bottom w:val="single" w:color="auto" w:sz="4" w:space="0"/>
              <w:right w:val="single" w:color="auto" w:sz="4" w:space="0"/>
            </w:tcBorders>
            <w:vAlign w:val="center"/>
          </w:tcPr>
          <w:p w14:paraId="0C3F380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3EA7F62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00" w:type="dxa"/>
            <w:tcBorders>
              <w:top w:val="single" w:color="auto" w:sz="4" w:space="0"/>
              <w:left w:val="single" w:color="auto" w:sz="4" w:space="0"/>
              <w:bottom w:val="single" w:color="auto" w:sz="4" w:space="0"/>
              <w:right w:val="single" w:color="auto" w:sz="4" w:space="0"/>
            </w:tcBorders>
            <w:vAlign w:val="center"/>
          </w:tcPr>
          <w:p w14:paraId="7862670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3470" w:type="dxa"/>
            <w:tcBorders>
              <w:top w:val="single" w:color="auto" w:sz="4" w:space="0"/>
              <w:left w:val="single" w:color="auto" w:sz="4" w:space="0"/>
              <w:bottom w:val="single" w:color="auto" w:sz="4" w:space="0"/>
              <w:right w:val="single" w:color="auto" w:sz="4" w:space="0"/>
            </w:tcBorders>
            <w:vAlign w:val="center"/>
          </w:tcPr>
          <w:p w14:paraId="4A3C55E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等效连续A声级</w:t>
            </w:r>
          </w:p>
        </w:tc>
        <w:tc>
          <w:tcPr>
            <w:tcW w:w="3333" w:type="dxa"/>
            <w:tcBorders>
              <w:top w:val="single" w:color="auto" w:sz="4" w:space="0"/>
              <w:left w:val="single" w:color="auto" w:sz="4" w:space="0"/>
              <w:bottom w:val="single" w:color="auto" w:sz="4" w:space="0"/>
              <w:right w:val="single" w:color="auto" w:sz="4" w:space="0"/>
            </w:tcBorders>
            <w:vAlign w:val="center"/>
          </w:tcPr>
          <w:p w14:paraId="45F0386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270E24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00" w:type="dxa"/>
            <w:tcBorders>
              <w:top w:val="single" w:color="auto" w:sz="4" w:space="0"/>
              <w:left w:val="single" w:color="auto" w:sz="4" w:space="0"/>
              <w:bottom w:val="single" w:color="auto" w:sz="4" w:space="0"/>
              <w:right w:val="single" w:color="auto" w:sz="4" w:space="0"/>
            </w:tcBorders>
            <w:vAlign w:val="center"/>
          </w:tcPr>
          <w:p w14:paraId="5F4398A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固体废物</w:t>
            </w:r>
          </w:p>
        </w:tc>
        <w:tc>
          <w:tcPr>
            <w:tcW w:w="3470" w:type="dxa"/>
            <w:tcBorders>
              <w:top w:val="single" w:color="auto" w:sz="4" w:space="0"/>
              <w:left w:val="single" w:color="auto" w:sz="4" w:space="0"/>
              <w:bottom w:val="single" w:color="auto" w:sz="4" w:space="0"/>
              <w:right w:val="single" w:color="auto" w:sz="4" w:space="0"/>
            </w:tcBorders>
            <w:vAlign w:val="center"/>
          </w:tcPr>
          <w:p w14:paraId="79F9BEC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一般工业固废、危险废物</w:t>
            </w:r>
          </w:p>
        </w:tc>
        <w:tc>
          <w:tcPr>
            <w:tcW w:w="3333" w:type="dxa"/>
            <w:tcBorders>
              <w:top w:val="single" w:color="auto" w:sz="4" w:space="0"/>
              <w:left w:val="single" w:color="auto" w:sz="4" w:space="0"/>
              <w:bottom w:val="single" w:color="auto" w:sz="4" w:space="0"/>
              <w:right w:val="single" w:color="auto" w:sz="4" w:space="0"/>
            </w:tcBorders>
            <w:vAlign w:val="center"/>
          </w:tcPr>
          <w:p w14:paraId="74C7647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生活垃圾</w:t>
            </w:r>
          </w:p>
        </w:tc>
      </w:tr>
      <w:tr w14:paraId="65812C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00" w:type="dxa"/>
            <w:tcBorders>
              <w:top w:val="single" w:color="auto" w:sz="4" w:space="0"/>
              <w:left w:val="single" w:color="auto" w:sz="4" w:space="0"/>
              <w:bottom w:val="single" w:color="auto" w:sz="4" w:space="0"/>
              <w:right w:val="single" w:color="auto" w:sz="4" w:space="0"/>
            </w:tcBorders>
            <w:vAlign w:val="center"/>
          </w:tcPr>
          <w:p w14:paraId="2EA39E0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w:t>
            </w:r>
          </w:p>
        </w:tc>
        <w:tc>
          <w:tcPr>
            <w:tcW w:w="3470" w:type="dxa"/>
            <w:tcBorders>
              <w:top w:val="single" w:color="auto" w:sz="4" w:space="0"/>
              <w:left w:val="single" w:color="auto" w:sz="4" w:space="0"/>
              <w:bottom w:val="single" w:color="auto" w:sz="4" w:space="0"/>
              <w:right w:val="single" w:color="auto" w:sz="4" w:space="0"/>
            </w:tcBorders>
            <w:vAlign w:val="center"/>
          </w:tcPr>
          <w:p w14:paraId="7F4BB4B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3333" w:type="dxa"/>
            <w:tcBorders>
              <w:top w:val="single" w:color="auto" w:sz="4" w:space="0"/>
              <w:left w:val="single" w:color="auto" w:sz="4" w:space="0"/>
              <w:bottom w:val="single" w:color="auto" w:sz="4" w:space="0"/>
              <w:right w:val="single" w:color="auto" w:sz="4" w:space="0"/>
            </w:tcBorders>
            <w:vAlign w:val="center"/>
          </w:tcPr>
          <w:p w14:paraId="4D5A596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bl>
    <w:p w14:paraId="6F3B5688">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87" w:name="_Toc30018"/>
      <w:bookmarkStart w:id="88" w:name="_Toc512871526"/>
      <w:bookmarkStart w:id="89" w:name="_Toc494206272"/>
      <w:r>
        <w:rPr>
          <w:rFonts w:hint="default" w:ascii="Times New Roman" w:hAnsi="Times New Roman" w:eastAsia="宋体" w:cs="Times New Roman"/>
          <w:color w:val="auto"/>
          <w:highlight w:val="none"/>
        </w:rPr>
        <w:t>2.3.3评价因子</w:t>
      </w:r>
      <w:bookmarkEnd w:id="87"/>
      <w:bookmarkEnd w:id="88"/>
      <w:bookmarkEnd w:id="89"/>
    </w:p>
    <w:p w14:paraId="4D0E7D33">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bookmarkStart w:id="90" w:name="_Toc99522804"/>
      <w:bookmarkStart w:id="91" w:name="_Toc107017650"/>
      <w:bookmarkStart w:id="92" w:name="_Toc130886257"/>
      <w:bookmarkStart w:id="93" w:name="_Toc99521441"/>
      <w:bookmarkStart w:id="94" w:name="_Toc100136974"/>
      <w:bookmarkStart w:id="95" w:name="_Toc137911603"/>
      <w:bookmarkStart w:id="96" w:name="_Toc99528910"/>
      <w:bookmarkStart w:id="97" w:name="_Toc99464213"/>
      <w:bookmarkStart w:id="98" w:name="_Toc99515320"/>
      <w:bookmarkStart w:id="99" w:name="_Toc99525759"/>
      <w:bookmarkStart w:id="100" w:name="_Toc107018065"/>
      <w:bookmarkStart w:id="101" w:name="_Toc107198790"/>
      <w:bookmarkStart w:id="102" w:name="_Toc107017967"/>
      <w:bookmarkStart w:id="103" w:name="_Toc99463834"/>
      <w:bookmarkStart w:id="104" w:name="_Toc99522956"/>
      <w:bookmarkStart w:id="105" w:name="_Toc99464074"/>
      <w:bookmarkStart w:id="106" w:name="_Toc130812435"/>
      <w:bookmarkStart w:id="107" w:name="_Toc99462105"/>
      <w:bookmarkStart w:id="108" w:name="_Toc107623018"/>
      <w:bookmarkStart w:id="109" w:name="_Toc108232570"/>
      <w:bookmarkStart w:id="110" w:name="_Toc99502178"/>
      <w:bookmarkStart w:id="111" w:name="_Toc138133774"/>
      <w:bookmarkStart w:id="112" w:name="_Toc99515895"/>
      <w:bookmarkStart w:id="113" w:name="_Toc100387936"/>
      <w:bookmarkStart w:id="114" w:name="_Toc130883552"/>
      <w:bookmarkStart w:id="115" w:name="_Toc107198581"/>
      <w:bookmarkStart w:id="116" w:name="_Toc107018164"/>
      <w:bookmarkStart w:id="117" w:name="_Toc107994824"/>
      <w:bookmarkStart w:id="118" w:name="_Toc99464344"/>
      <w:bookmarkStart w:id="119" w:name="_Toc108866877"/>
      <w:bookmarkStart w:id="120" w:name="_Toc107017772"/>
      <w:bookmarkStart w:id="121" w:name="_Toc99463669"/>
      <w:bookmarkStart w:id="122" w:name="_Toc100021404"/>
      <w:bookmarkStart w:id="123" w:name="_Toc99521747"/>
      <w:bookmarkStart w:id="124" w:name="_Toc140304616"/>
      <w:bookmarkStart w:id="125" w:name="_Toc100371799"/>
      <w:r>
        <w:rPr>
          <w:rFonts w:hint="default" w:ascii="Times New Roman" w:hAnsi="Times New Roman" w:eastAsia="宋体" w:cs="Times New Roman"/>
          <w:color w:val="auto"/>
          <w:highlight w:val="none"/>
        </w:rPr>
        <w:t>根据环境影响要素识别结果，结合建设项目工程特征、排污种类、排污去向及周围地区环境质量概况，确定本次评价因子包括现状评价因子、环境影响评价因子，评价因子见表2.3-4。</w:t>
      </w:r>
    </w:p>
    <w:p w14:paraId="40DA77D3">
      <w:pPr>
        <w:pStyle w:val="7"/>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表2.3-4评价因子一览表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45"/>
        <w:gridCol w:w="1110"/>
        <w:gridCol w:w="1110"/>
        <w:gridCol w:w="5112"/>
      </w:tblGrid>
      <w:tr w14:paraId="5ECE4B7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5" w:type="dxa"/>
            <w:tcBorders>
              <w:top w:val="single" w:color="auto" w:sz="4" w:space="0"/>
              <w:left w:val="single" w:color="auto" w:sz="4" w:space="0"/>
              <w:bottom w:val="single" w:color="auto" w:sz="4" w:space="0"/>
              <w:right w:val="single" w:color="auto" w:sz="4" w:space="0"/>
            </w:tcBorders>
            <w:vAlign w:val="center"/>
          </w:tcPr>
          <w:p w14:paraId="3D9B24A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阶段</w:t>
            </w:r>
          </w:p>
        </w:tc>
        <w:tc>
          <w:tcPr>
            <w:tcW w:w="1110" w:type="dxa"/>
            <w:tcBorders>
              <w:top w:val="single" w:color="auto" w:sz="4" w:space="0"/>
              <w:left w:val="single" w:color="auto" w:sz="4" w:space="0"/>
              <w:bottom w:val="single" w:color="auto" w:sz="4" w:space="0"/>
              <w:right w:val="single" w:color="auto" w:sz="4" w:space="0"/>
            </w:tcBorders>
            <w:vAlign w:val="center"/>
          </w:tcPr>
          <w:p w14:paraId="6F24797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环境要素</w:t>
            </w:r>
          </w:p>
        </w:tc>
        <w:tc>
          <w:tcPr>
            <w:tcW w:w="1110" w:type="dxa"/>
            <w:tcBorders>
              <w:top w:val="single" w:color="auto" w:sz="4" w:space="0"/>
              <w:left w:val="single" w:color="auto" w:sz="4" w:space="0"/>
              <w:bottom w:val="single" w:color="auto" w:sz="4" w:space="0"/>
              <w:right w:val="single" w:color="auto" w:sz="4" w:space="0"/>
            </w:tcBorders>
            <w:vAlign w:val="center"/>
          </w:tcPr>
          <w:p w14:paraId="7A39D54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评价类别</w:t>
            </w:r>
          </w:p>
        </w:tc>
        <w:tc>
          <w:tcPr>
            <w:tcW w:w="5112" w:type="dxa"/>
            <w:tcBorders>
              <w:top w:val="single" w:color="auto" w:sz="4" w:space="0"/>
              <w:left w:val="single" w:color="auto" w:sz="4" w:space="0"/>
              <w:bottom w:val="single" w:color="auto" w:sz="4" w:space="0"/>
              <w:right w:val="single" w:color="auto" w:sz="4" w:space="0"/>
            </w:tcBorders>
            <w:vAlign w:val="center"/>
          </w:tcPr>
          <w:p w14:paraId="0260D16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评价因子</w:t>
            </w:r>
          </w:p>
        </w:tc>
      </w:tr>
      <w:tr w14:paraId="1682C1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5" w:type="dxa"/>
            <w:vMerge w:val="restart"/>
            <w:tcBorders>
              <w:top w:val="single" w:color="auto" w:sz="4" w:space="0"/>
              <w:left w:val="single" w:color="auto" w:sz="4" w:space="0"/>
              <w:bottom w:val="single" w:color="auto" w:sz="4" w:space="0"/>
              <w:right w:val="single" w:color="auto" w:sz="4" w:space="0"/>
            </w:tcBorders>
            <w:vAlign w:val="center"/>
          </w:tcPr>
          <w:p w14:paraId="61D2DCA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施工期</w:t>
            </w:r>
          </w:p>
        </w:tc>
        <w:tc>
          <w:tcPr>
            <w:tcW w:w="1110" w:type="dxa"/>
            <w:tcBorders>
              <w:top w:val="single" w:color="auto" w:sz="4" w:space="0"/>
              <w:left w:val="single" w:color="auto" w:sz="4" w:space="0"/>
              <w:bottom w:val="single" w:color="auto" w:sz="4" w:space="0"/>
              <w:right w:val="single" w:color="auto" w:sz="4" w:space="0"/>
            </w:tcBorders>
            <w:vAlign w:val="center"/>
          </w:tcPr>
          <w:p w14:paraId="4599E3B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大气环境</w:t>
            </w:r>
          </w:p>
        </w:tc>
        <w:tc>
          <w:tcPr>
            <w:tcW w:w="1110" w:type="dxa"/>
            <w:vMerge w:val="restart"/>
            <w:tcBorders>
              <w:top w:val="single" w:color="auto" w:sz="4" w:space="0"/>
              <w:left w:val="single" w:color="auto" w:sz="4" w:space="0"/>
              <w:bottom w:val="single" w:color="auto" w:sz="4" w:space="0"/>
              <w:right w:val="single" w:color="auto" w:sz="4" w:space="0"/>
            </w:tcBorders>
            <w:vAlign w:val="center"/>
          </w:tcPr>
          <w:p w14:paraId="5419BB9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影响分析</w:t>
            </w:r>
          </w:p>
        </w:tc>
        <w:tc>
          <w:tcPr>
            <w:tcW w:w="5112" w:type="dxa"/>
            <w:tcBorders>
              <w:top w:val="single" w:color="auto" w:sz="4" w:space="0"/>
              <w:left w:val="single" w:color="auto" w:sz="4" w:space="0"/>
              <w:bottom w:val="single" w:color="auto" w:sz="4" w:space="0"/>
              <w:right w:val="single" w:color="auto" w:sz="4" w:space="0"/>
            </w:tcBorders>
            <w:vAlign w:val="center"/>
          </w:tcPr>
          <w:p w14:paraId="6E6C311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施工扬尘</w:t>
            </w:r>
            <w:r>
              <w:rPr>
                <w:rFonts w:hint="default" w:ascii="Times New Roman" w:hAnsi="Times New Roman" w:eastAsia="宋体" w:cs="Times New Roman"/>
                <w:color w:val="auto"/>
                <w:sz w:val="21"/>
                <w:szCs w:val="21"/>
                <w:highlight w:val="none"/>
                <w:lang w:eastAsia="zh-CN"/>
              </w:rPr>
              <w:t>、焊接烟尘、机械废气</w:t>
            </w:r>
          </w:p>
        </w:tc>
      </w:tr>
      <w:tr w14:paraId="0076744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5" w:type="dxa"/>
            <w:vMerge w:val="continue"/>
            <w:tcBorders>
              <w:top w:val="single" w:color="auto" w:sz="4" w:space="0"/>
              <w:left w:val="single" w:color="auto" w:sz="4" w:space="0"/>
              <w:bottom w:val="single" w:color="auto" w:sz="4" w:space="0"/>
              <w:right w:val="single" w:color="auto" w:sz="4" w:space="0"/>
            </w:tcBorders>
            <w:vAlign w:val="center"/>
          </w:tcPr>
          <w:p w14:paraId="3B0E95C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1110" w:type="dxa"/>
            <w:tcBorders>
              <w:top w:val="single" w:color="auto" w:sz="4" w:space="0"/>
              <w:left w:val="single" w:color="auto" w:sz="4" w:space="0"/>
              <w:bottom w:val="single" w:color="auto" w:sz="4" w:space="0"/>
              <w:right w:val="single" w:color="auto" w:sz="4" w:space="0"/>
            </w:tcBorders>
            <w:vAlign w:val="center"/>
          </w:tcPr>
          <w:p w14:paraId="518C619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w:t>
            </w:r>
          </w:p>
        </w:tc>
        <w:tc>
          <w:tcPr>
            <w:tcW w:w="1110" w:type="dxa"/>
            <w:vMerge w:val="continue"/>
            <w:tcBorders>
              <w:top w:val="single" w:color="auto" w:sz="4" w:space="0"/>
              <w:left w:val="single" w:color="auto" w:sz="4" w:space="0"/>
              <w:bottom w:val="single" w:color="auto" w:sz="4" w:space="0"/>
              <w:right w:val="single" w:color="auto" w:sz="4" w:space="0"/>
            </w:tcBorders>
            <w:vAlign w:val="center"/>
          </w:tcPr>
          <w:p w14:paraId="19B80B0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5112" w:type="dxa"/>
            <w:tcBorders>
              <w:top w:val="single" w:color="auto" w:sz="4" w:space="0"/>
              <w:left w:val="single" w:color="auto" w:sz="4" w:space="0"/>
              <w:bottom w:val="single" w:color="auto" w:sz="4" w:space="0"/>
              <w:right w:val="single" w:color="auto" w:sz="4" w:space="0"/>
            </w:tcBorders>
            <w:vAlign w:val="center"/>
          </w:tcPr>
          <w:p w14:paraId="322DE91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建筑施工噪声和交通运输噪声</w:t>
            </w:r>
          </w:p>
        </w:tc>
      </w:tr>
      <w:tr w14:paraId="4D1A162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5" w:type="dxa"/>
            <w:vMerge w:val="continue"/>
            <w:tcBorders>
              <w:top w:val="single" w:color="auto" w:sz="4" w:space="0"/>
              <w:left w:val="single" w:color="auto" w:sz="4" w:space="0"/>
              <w:bottom w:val="single" w:color="auto" w:sz="4" w:space="0"/>
              <w:right w:val="single" w:color="auto" w:sz="4" w:space="0"/>
            </w:tcBorders>
            <w:vAlign w:val="center"/>
          </w:tcPr>
          <w:p w14:paraId="672BF82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1110" w:type="dxa"/>
            <w:tcBorders>
              <w:top w:val="single" w:color="auto" w:sz="4" w:space="0"/>
              <w:left w:val="single" w:color="auto" w:sz="4" w:space="0"/>
              <w:bottom w:val="single" w:color="auto" w:sz="4" w:space="0"/>
              <w:right w:val="single" w:color="auto" w:sz="4" w:space="0"/>
            </w:tcBorders>
            <w:vAlign w:val="center"/>
          </w:tcPr>
          <w:p w14:paraId="235C24E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水环境</w:t>
            </w:r>
          </w:p>
        </w:tc>
        <w:tc>
          <w:tcPr>
            <w:tcW w:w="1110" w:type="dxa"/>
            <w:vMerge w:val="continue"/>
            <w:tcBorders>
              <w:top w:val="single" w:color="auto" w:sz="4" w:space="0"/>
              <w:left w:val="single" w:color="auto" w:sz="4" w:space="0"/>
              <w:bottom w:val="single" w:color="auto" w:sz="4" w:space="0"/>
              <w:right w:val="single" w:color="auto" w:sz="4" w:space="0"/>
            </w:tcBorders>
            <w:vAlign w:val="center"/>
          </w:tcPr>
          <w:p w14:paraId="4FA83C7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5112" w:type="dxa"/>
            <w:tcBorders>
              <w:top w:val="single" w:color="auto" w:sz="4" w:space="0"/>
              <w:left w:val="single" w:color="auto" w:sz="4" w:space="0"/>
              <w:bottom w:val="single" w:color="auto" w:sz="4" w:space="0"/>
              <w:right w:val="single" w:color="auto" w:sz="4" w:space="0"/>
            </w:tcBorders>
            <w:vAlign w:val="center"/>
          </w:tcPr>
          <w:p w14:paraId="4518C3C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施工废水、</w:t>
            </w:r>
            <w:r>
              <w:rPr>
                <w:rFonts w:hint="default" w:ascii="Times New Roman" w:hAnsi="Times New Roman" w:eastAsia="宋体" w:cs="Times New Roman"/>
                <w:color w:val="auto"/>
                <w:sz w:val="21"/>
                <w:szCs w:val="21"/>
                <w:highlight w:val="none"/>
                <w:lang w:eastAsia="zh-CN"/>
              </w:rPr>
              <w:t>生活污水</w:t>
            </w:r>
          </w:p>
        </w:tc>
      </w:tr>
      <w:tr w14:paraId="7E45569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5" w:type="dxa"/>
            <w:vMerge w:val="continue"/>
            <w:tcBorders>
              <w:top w:val="single" w:color="auto" w:sz="4" w:space="0"/>
              <w:left w:val="single" w:color="auto" w:sz="4" w:space="0"/>
              <w:bottom w:val="single" w:color="auto" w:sz="4" w:space="0"/>
              <w:right w:val="single" w:color="auto" w:sz="4" w:space="0"/>
            </w:tcBorders>
            <w:vAlign w:val="center"/>
          </w:tcPr>
          <w:p w14:paraId="0D68EE2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1110" w:type="dxa"/>
            <w:tcBorders>
              <w:top w:val="single" w:color="auto" w:sz="4" w:space="0"/>
              <w:left w:val="single" w:color="auto" w:sz="4" w:space="0"/>
              <w:bottom w:val="single" w:color="auto" w:sz="4" w:space="0"/>
              <w:right w:val="single" w:color="auto" w:sz="4" w:space="0"/>
            </w:tcBorders>
            <w:vAlign w:val="center"/>
          </w:tcPr>
          <w:p w14:paraId="29C4039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固体废物</w:t>
            </w:r>
          </w:p>
        </w:tc>
        <w:tc>
          <w:tcPr>
            <w:tcW w:w="1110" w:type="dxa"/>
            <w:vMerge w:val="continue"/>
            <w:tcBorders>
              <w:top w:val="single" w:color="auto" w:sz="4" w:space="0"/>
              <w:left w:val="single" w:color="auto" w:sz="4" w:space="0"/>
              <w:bottom w:val="single" w:color="auto" w:sz="4" w:space="0"/>
              <w:right w:val="single" w:color="auto" w:sz="4" w:space="0"/>
            </w:tcBorders>
            <w:vAlign w:val="center"/>
          </w:tcPr>
          <w:p w14:paraId="20820E8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5112" w:type="dxa"/>
            <w:tcBorders>
              <w:top w:val="single" w:color="auto" w:sz="4" w:space="0"/>
              <w:left w:val="single" w:color="auto" w:sz="4" w:space="0"/>
              <w:bottom w:val="single" w:color="auto" w:sz="4" w:space="0"/>
              <w:right w:val="single" w:color="auto" w:sz="4" w:space="0"/>
            </w:tcBorders>
            <w:vAlign w:val="center"/>
          </w:tcPr>
          <w:p w14:paraId="47151B2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建筑垃圾、生活垃圾</w:t>
            </w:r>
          </w:p>
        </w:tc>
      </w:tr>
      <w:tr w14:paraId="3085F2B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5" w:type="dxa"/>
            <w:vMerge w:val="restart"/>
            <w:tcBorders>
              <w:top w:val="single" w:color="auto" w:sz="4" w:space="0"/>
              <w:left w:val="single" w:color="auto" w:sz="4" w:space="0"/>
              <w:bottom w:val="single" w:color="auto" w:sz="4" w:space="0"/>
              <w:right w:val="single" w:color="auto" w:sz="4" w:space="0"/>
            </w:tcBorders>
            <w:vAlign w:val="center"/>
          </w:tcPr>
          <w:p w14:paraId="3F88C34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bookmarkStart w:id="126" w:name="_Toc140304622"/>
            <w:bookmarkStart w:id="127" w:name="_Toc107018069"/>
            <w:bookmarkStart w:id="128" w:name="_Toc107198794"/>
            <w:bookmarkStart w:id="129" w:name="_Toc107018168"/>
            <w:bookmarkStart w:id="130" w:name="_Toc107623022"/>
            <w:bookmarkStart w:id="131" w:name="_Toc130886263"/>
            <w:bookmarkStart w:id="132" w:name="_Toc108232574"/>
            <w:bookmarkStart w:id="133" w:name="_Toc130883558"/>
            <w:bookmarkStart w:id="134" w:name="_Toc107994828"/>
            <w:bookmarkStart w:id="135" w:name="_Toc130812439"/>
            <w:bookmarkStart w:id="136" w:name="_Toc137911609"/>
            <w:bookmarkStart w:id="137" w:name="_Toc107017776"/>
            <w:bookmarkStart w:id="138" w:name="_Toc138133780"/>
            <w:bookmarkStart w:id="139" w:name="_Toc107198585"/>
            <w:bookmarkStart w:id="140" w:name="_Toc107017971"/>
            <w:bookmarkStart w:id="141" w:name="_Toc108866881"/>
            <w:bookmarkStart w:id="142" w:name="_Toc107017654"/>
            <w:r>
              <w:rPr>
                <w:rFonts w:hint="default" w:ascii="Times New Roman" w:hAnsi="Times New Roman" w:eastAsia="宋体" w:cs="Times New Roman"/>
                <w:color w:val="auto"/>
                <w:sz w:val="21"/>
                <w:szCs w:val="21"/>
                <w:highlight w:val="none"/>
              </w:rPr>
              <w:t>运营期</w:t>
            </w:r>
          </w:p>
        </w:tc>
        <w:tc>
          <w:tcPr>
            <w:tcW w:w="1110" w:type="dxa"/>
            <w:vMerge w:val="restart"/>
            <w:tcBorders>
              <w:top w:val="single" w:color="auto" w:sz="4" w:space="0"/>
              <w:left w:val="single" w:color="auto" w:sz="4" w:space="0"/>
              <w:bottom w:val="single" w:color="auto" w:sz="4" w:space="0"/>
              <w:right w:val="single" w:color="auto" w:sz="4" w:space="0"/>
            </w:tcBorders>
            <w:vAlign w:val="center"/>
          </w:tcPr>
          <w:p w14:paraId="74DB161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大气环境</w:t>
            </w:r>
          </w:p>
        </w:tc>
        <w:tc>
          <w:tcPr>
            <w:tcW w:w="1110" w:type="dxa"/>
            <w:tcBorders>
              <w:top w:val="single" w:color="auto" w:sz="4" w:space="0"/>
              <w:left w:val="single" w:color="auto" w:sz="4" w:space="0"/>
              <w:bottom w:val="single" w:color="auto" w:sz="4" w:space="0"/>
              <w:right w:val="single" w:color="auto" w:sz="4" w:space="0"/>
            </w:tcBorders>
            <w:vAlign w:val="center"/>
          </w:tcPr>
          <w:p w14:paraId="0E0CC99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5112" w:type="dxa"/>
            <w:tcBorders>
              <w:top w:val="single" w:color="auto" w:sz="4" w:space="0"/>
              <w:left w:val="single" w:color="auto" w:sz="4" w:space="0"/>
              <w:bottom w:val="single" w:color="auto" w:sz="4" w:space="0"/>
              <w:right w:val="single" w:color="auto" w:sz="4" w:space="0"/>
            </w:tcBorders>
            <w:vAlign w:val="center"/>
          </w:tcPr>
          <w:p w14:paraId="7BCF19E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基本污染物：NO</w:t>
            </w:r>
            <w:r>
              <w:rPr>
                <w:rFonts w:hint="default" w:ascii="Times New Roman" w:hAnsi="Times New Roman" w:eastAsia="宋体" w:cs="Times New Roman"/>
                <w:bCs/>
                <w:color w:val="auto"/>
                <w:sz w:val="21"/>
                <w:szCs w:val="21"/>
                <w:highlight w:val="none"/>
                <w:vertAlign w:val="subscript"/>
              </w:rPr>
              <w:t>2</w:t>
            </w:r>
            <w:r>
              <w:rPr>
                <w:rFonts w:hint="default" w:ascii="Times New Roman" w:hAnsi="Times New Roman" w:eastAsia="宋体" w:cs="Times New Roman"/>
                <w:bCs/>
                <w:color w:val="auto"/>
                <w:sz w:val="21"/>
                <w:szCs w:val="21"/>
                <w:highlight w:val="none"/>
              </w:rPr>
              <w:t>、SO</w:t>
            </w:r>
            <w:r>
              <w:rPr>
                <w:rFonts w:hint="default" w:ascii="Times New Roman" w:hAnsi="Times New Roman" w:eastAsia="宋体" w:cs="Times New Roman"/>
                <w:bCs/>
                <w:color w:val="auto"/>
                <w:sz w:val="21"/>
                <w:szCs w:val="21"/>
                <w:highlight w:val="none"/>
                <w:vertAlign w:val="subscript"/>
              </w:rPr>
              <w:t>2</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bCs/>
                <w:color w:val="auto"/>
                <w:sz w:val="21"/>
                <w:szCs w:val="21"/>
                <w:highlight w:val="none"/>
              </w:rPr>
              <w:t>CO</w:t>
            </w:r>
            <w:r>
              <w:rPr>
                <w:rFonts w:hint="default" w:ascii="Times New Roman" w:hAnsi="Times New Roman" w:eastAsia="宋体" w:cs="Times New Roman"/>
                <w:color w:val="auto"/>
                <w:sz w:val="21"/>
                <w:szCs w:val="21"/>
                <w:highlight w:val="none"/>
              </w:rPr>
              <w:t>、O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bCs/>
                <w:color w:val="auto"/>
                <w:sz w:val="21"/>
                <w:szCs w:val="21"/>
                <w:highlight w:val="none"/>
              </w:rPr>
              <w:t>PM</w:t>
            </w:r>
            <w:r>
              <w:rPr>
                <w:rFonts w:hint="default" w:ascii="Times New Roman" w:hAnsi="Times New Roman" w:eastAsia="宋体" w:cs="Times New Roman"/>
                <w:bCs/>
                <w:color w:val="auto"/>
                <w:sz w:val="21"/>
                <w:szCs w:val="21"/>
                <w:highlight w:val="none"/>
                <w:vertAlign w:val="subscript"/>
              </w:rPr>
              <w:t>10</w:t>
            </w:r>
            <w:r>
              <w:rPr>
                <w:rFonts w:hint="default" w:ascii="Times New Roman" w:hAnsi="Times New Roman" w:eastAsia="宋体" w:cs="Times New Roman"/>
                <w:bCs/>
                <w:color w:val="auto"/>
                <w:sz w:val="21"/>
                <w:szCs w:val="21"/>
                <w:highlight w:val="none"/>
              </w:rPr>
              <w:t>、</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r>
              <w:rPr>
                <w:rFonts w:hint="default" w:ascii="Times New Roman" w:hAnsi="Times New Roman" w:eastAsia="宋体" w:cs="Times New Roman"/>
                <w:color w:val="auto"/>
                <w:sz w:val="21"/>
                <w:szCs w:val="21"/>
                <w:highlight w:val="none"/>
              </w:rPr>
              <w:t>；</w:t>
            </w:r>
          </w:p>
          <w:p w14:paraId="2D16E43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其他污染物：H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bCs/>
                <w:color w:val="auto"/>
                <w:sz w:val="21"/>
                <w:szCs w:val="21"/>
                <w:highlight w:val="none"/>
              </w:rPr>
              <w:t>TSP</w:t>
            </w:r>
          </w:p>
        </w:tc>
      </w:tr>
      <w:tr w14:paraId="57D418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5" w:type="dxa"/>
            <w:vMerge w:val="continue"/>
            <w:tcBorders>
              <w:top w:val="single" w:color="auto" w:sz="4" w:space="0"/>
              <w:left w:val="single" w:color="auto" w:sz="4" w:space="0"/>
              <w:bottom w:val="single" w:color="auto" w:sz="4" w:space="0"/>
              <w:right w:val="single" w:color="auto" w:sz="4" w:space="0"/>
            </w:tcBorders>
          </w:tcPr>
          <w:p w14:paraId="5FA8ABF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1110" w:type="dxa"/>
            <w:vMerge w:val="continue"/>
            <w:tcBorders>
              <w:top w:val="single" w:color="auto" w:sz="4" w:space="0"/>
              <w:left w:val="single" w:color="auto" w:sz="4" w:space="0"/>
              <w:bottom w:val="single" w:color="auto" w:sz="4" w:space="0"/>
              <w:right w:val="single" w:color="auto" w:sz="4" w:space="0"/>
            </w:tcBorders>
            <w:vAlign w:val="center"/>
          </w:tcPr>
          <w:p w14:paraId="758D2E2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1110" w:type="dxa"/>
            <w:tcBorders>
              <w:top w:val="single" w:color="auto" w:sz="4" w:space="0"/>
              <w:left w:val="single" w:color="auto" w:sz="4" w:space="0"/>
              <w:bottom w:val="single" w:color="auto" w:sz="4" w:space="0"/>
              <w:right w:val="single" w:color="auto" w:sz="4" w:space="0"/>
            </w:tcBorders>
            <w:vAlign w:val="center"/>
          </w:tcPr>
          <w:p w14:paraId="62887C9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5112" w:type="dxa"/>
            <w:tcBorders>
              <w:top w:val="single" w:color="auto" w:sz="4" w:space="0"/>
              <w:left w:val="single" w:color="auto" w:sz="4" w:space="0"/>
              <w:bottom w:val="single" w:color="auto" w:sz="4" w:space="0"/>
              <w:right w:val="single" w:color="auto" w:sz="4" w:space="0"/>
            </w:tcBorders>
            <w:vAlign w:val="center"/>
          </w:tcPr>
          <w:p w14:paraId="6559EF5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bCs/>
                <w:color w:val="auto"/>
                <w:sz w:val="21"/>
                <w:szCs w:val="21"/>
                <w:highlight w:val="none"/>
              </w:rPr>
              <w:t>TSP</w:t>
            </w:r>
            <w:r>
              <w:rPr>
                <w:rFonts w:hint="default" w:ascii="Times New Roman" w:hAnsi="Times New Roman" w:eastAsia="宋体" w:cs="Times New Roman"/>
                <w:bCs/>
                <w:color w:val="auto"/>
                <w:sz w:val="21"/>
                <w:szCs w:val="21"/>
                <w:highlight w:val="none"/>
                <w:lang w:eastAsia="zh-CN"/>
              </w:rPr>
              <w:t>、臭气浓度</w:t>
            </w:r>
          </w:p>
        </w:tc>
      </w:tr>
      <w:tr w14:paraId="0C66693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5" w:type="dxa"/>
            <w:vMerge w:val="continue"/>
            <w:tcBorders>
              <w:top w:val="single" w:color="auto" w:sz="4" w:space="0"/>
              <w:left w:val="single" w:color="auto" w:sz="4" w:space="0"/>
              <w:bottom w:val="single" w:color="auto" w:sz="4" w:space="0"/>
              <w:right w:val="single" w:color="auto" w:sz="4" w:space="0"/>
            </w:tcBorders>
          </w:tcPr>
          <w:p w14:paraId="17283B5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1110" w:type="dxa"/>
            <w:vMerge w:val="restart"/>
            <w:tcBorders>
              <w:top w:val="single" w:color="auto" w:sz="4" w:space="0"/>
              <w:left w:val="single" w:color="auto" w:sz="4" w:space="0"/>
              <w:bottom w:val="single" w:color="auto" w:sz="4" w:space="0"/>
              <w:right w:val="single" w:color="auto" w:sz="4" w:space="0"/>
            </w:tcBorders>
            <w:vAlign w:val="center"/>
          </w:tcPr>
          <w:p w14:paraId="7909FB6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地下水环境</w:t>
            </w:r>
          </w:p>
        </w:tc>
        <w:tc>
          <w:tcPr>
            <w:tcW w:w="1110" w:type="dxa"/>
            <w:tcBorders>
              <w:top w:val="single" w:color="auto" w:sz="4" w:space="0"/>
              <w:left w:val="single" w:color="auto" w:sz="4" w:space="0"/>
              <w:bottom w:val="single" w:color="auto" w:sz="4" w:space="0"/>
              <w:right w:val="single" w:color="auto" w:sz="4" w:space="0"/>
            </w:tcBorders>
            <w:vAlign w:val="center"/>
          </w:tcPr>
          <w:p w14:paraId="69A97DF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5112" w:type="dxa"/>
            <w:tcBorders>
              <w:top w:val="single" w:color="auto" w:sz="4" w:space="0"/>
              <w:left w:val="single" w:color="auto" w:sz="4" w:space="0"/>
              <w:bottom w:val="single" w:color="auto" w:sz="4" w:space="0"/>
              <w:right w:val="single" w:color="auto" w:sz="4" w:space="0"/>
            </w:tcBorders>
            <w:vAlign w:val="center"/>
          </w:tcPr>
          <w:p w14:paraId="4B5DDBA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pH、总硬度、溶解性总固体、氨氮、六价铬、亚硝酸盐、硝酸盐、氟化物、耗氧量、挥发性酚类、氰化物</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铅、镉、铁、锰、砷、汞、氯化物、硫酸盐、总大肠菌群、</w:t>
            </w:r>
            <w:r>
              <w:rPr>
                <w:rFonts w:hint="default" w:ascii="Times New Roman" w:hAnsi="Times New Roman" w:eastAsia="宋体" w:cs="Times New Roman"/>
                <w:color w:val="auto"/>
                <w:sz w:val="21"/>
                <w:szCs w:val="21"/>
                <w:highlight w:val="none"/>
                <w:lang w:eastAsia="zh-CN"/>
              </w:rPr>
              <w:t>菌落总数、碳酸盐、重碳酸盐、色度、肉眼可见物、浑浊度、臭、硫化物、铜、锌、</w:t>
            </w:r>
            <w:r>
              <w:rPr>
                <w:rFonts w:hint="default" w:ascii="Times New Roman" w:hAnsi="Times New Roman" w:eastAsia="宋体" w:cs="Times New Roman"/>
                <w:color w:val="auto"/>
                <w:sz w:val="21"/>
                <w:szCs w:val="21"/>
                <w:highlight w:val="none"/>
                <w:lang w:val="en-US" w:eastAsia="zh-CN"/>
              </w:rPr>
              <w:t>阴离子表面活性剂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苯</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甲苯</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硒、铝</w:t>
            </w:r>
            <w:r>
              <w:rPr>
                <w:rFonts w:hint="default" w:ascii="Times New Roman" w:hAnsi="Times New Roman" w:eastAsia="宋体" w:cs="Times New Roman"/>
                <w:color w:val="auto"/>
                <w:sz w:val="21"/>
                <w:szCs w:val="21"/>
                <w:highlight w:val="none"/>
                <w:lang w:eastAsia="zh-CN"/>
              </w:rPr>
              <w:t>、钠、</w:t>
            </w:r>
            <w:r>
              <w:rPr>
                <w:rFonts w:hint="default" w:ascii="Times New Roman" w:hAnsi="Times New Roman" w:eastAsia="宋体" w:cs="Times New Roman"/>
                <w:color w:val="auto"/>
                <w:sz w:val="21"/>
                <w:szCs w:val="21"/>
                <w:highlight w:val="none"/>
                <w:lang w:val="en-US" w:eastAsia="zh-CN"/>
              </w:rPr>
              <w:t>碘化物、三氯甲烷、四氯化碳、</w:t>
            </w:r>
            <w:r>
              <w:rPr>
                <w:rFonts w:hint="default" w:ascii="Times New Roman" w:hAnsi="Times New Roman" w:eastAsia="宋体" w:cs="Times New Roman"/>
                <w:color w:val="auto"/>
                <w:sz w:val="21"/>
                <w:szCs w:val="21"/>
                <w:highlight w:val="none"/>
              </w:rPr>
              <w:t>K</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Na</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Ca</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Cl</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rPr>
              <w:t>SO</w:t>
            </w:r>
            <w:r>
              <w:rPr>
                <w:rFonts w:hint="default" w:ascii="Times New Roman" w:hAnsi="Times New Roman" w:eastAsia="宋体" w:cs="Times New Roman"/>
                <w:color w:val="auto"/>
                <w:sz w:val="21"/>
                <w:szCs w:val="21"/>
                <w:highlight w:val="none"/>
                <w:vertAlign w:val="subscript"/>
                <w:lang w:val="en-US"/>
              </w:rPr>
              <w:t>4</w:t>
            </w:r>
            <w:r>
              <w:rPr>
                <w:rFonts w:hint="default" w:ascii="Times New Roman" w:hAnsi="Times New Roman" w:eastAsia="宋体" w:cs="Times New Roman"/>
                <w:color w:val="auto"/>
                <w:sz w:val="21"/>
                <w:szCs w:val="21"/>
                <w:highlight w:val="none"/>
                <w:vertAlign w:val="superscript"/>
                <w:lang w:val="en-US"/>
              </w:rPr>
              <w:t>2-</w:t>
            </w:r>
          </w:p>
        </w:tc>
      </w:tr>
      <w:tr w14:paraId="1E767DD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5" w:type="dxa"/>
            <w:vMerge w:val="continue"/>
            <w:tcBorders>
              <w:top w:val="single" w:color="auto" w:sz="4" w:space="0"/>
              <w:left w:val="single" w:color="auto" w:sz="4" w:space="0"/>
              <w:bottom w:val="single" w:color="auto" w:sz="4" w:space="0"/>
              <w:right w:val="single" w:color="auto" w:sz="4" w:space="0"/>
            </w:tcBorders>
          </w:tcPr>
          <w:p w14:paraId="4EACEC5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1110" w:type="dxa"/>
            <w:vMerge w:val="continue"/>
            <w:tcBorders>
              <w:top w:val="single" w:color="auto" w:sz="4" w:space="0"/>
              <w:left w:val="single" w:color="auto" w:sz="4" w:space="0"/>
              <w:bottom w:val="single" w:color="auto" w:sz="4" w:space="0"/>
              <w:right w:val="single" w:color="auto" w:sz="4" w:space="0"/>
            </w:tcBorders>
            <w:vAlign w:val="center"/>
          </w:tcPr>
          <w:p w14:paraId="62FA5D0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1110" w:type="dxa"/>
            <w:tcBorders>
              <w:top w:val="single" w:color="auto" w:sz="4" w:space="0"/>
              <w:left w:val="single" w:color="auto" w:sz="4" w:space="0"/>
              <w:bottom w:val="single" w:color="auto" w:sz="4" w:space="0"/>
              <w:right w:val="single" w:color="auto" w:sz="4" w:space="0"/>
            </w:tcBorders>
            <w:vAlign w:val="center"/>
          </w:tcPr>
          <w:p w14:paraId="5C22876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预测评价</w:t>
            </w:r>
          </w:p>
        </w:tc>
        <w:tc>
          <w:tcPr>
            <w:tcW w:w="5112" w:type="dxa"/>
            <w:tcBorders>
              <w:top w:val="single" w:color="auto" w:sz="4" w:space="0"/>
              <w:left w:val="single" w:color="auto" w:sz="4" w:space="0"/>
              <w:bottom w:val="single" w:color="auto" w:sz="4" w:space="0"/>
              <w:right w:val="single" w:color="auto" w:sz="4" w:space="0"/>
            </w:tcBorders>
            <w:vAlign w:val="center"/>
          </w:tcPr>
          <w:p w14:paraId="624DA36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氨氮</w:t>
            </w:r>
          </w:p>
        </w:tc>
      </w:tr>
      <w:tr w14:paraId="58029C1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5" w:type="dxa"/>
            <w:vMerge w:val="continue"/>
            <w:tcBorders>
              <w:top w:val="single" w:color="auto" w:sz="4" w:space="0"/>
              <w:left w:val="single" w:color="auto" w:sz="4" w:space="0"/>
              <w:bottom w:val="single" w:color="auto" w:sz="4" w:space="0"/>
              <w:right w:val="single" w:color="auto" w:sz="4" w:space="0"/>
            </w:tcBorders>
          </w:tcPr>
          <w:p w14:paraId="5A13D0F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1110" w:type="dxa"/>
            <w:vMerge w:val="restart"/>
            <w:tcBorders>
              <w:top w:val="single" w:color="auto" w:sz="4" w:space="0"/>
              <w:left w:val="single" w:color="auto" w:sz="4" w:space="0"/>
              <w:bottom w:val="single" w:color="auto" w:sz="4" w:space="0"/>
              <w:right w:val="single" w:color="auto" w:sz="4" w:space="0"/>
            </w:tcBorders>
            <w:vAlign w:val="center"/>
          </w:tcPr>
          <w:p w14:paraId="4A50D03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土壤环境</w:t>
            </w:r>
          </w:p>
        </w:tc>
        <w:tc>
          <w:tcPr>
            <w:tcW w:w="1110" w:type="dxa"/>
            <w:tcBorders>
              <w:top w:val="single" w:color="auto" w:sz="4" w:space="0"/>
              <w:left w:val="single" w:color="auto" w:sz="4" w:space="0"/>
              <w:bottom w:val="single" w:color="auto" w:sz="4" w:space="0"/>
              <w:right w:val="single" w:color="auto" w:sz="4" w:space="0"/>
            </w:tcBorders>
            <w:vAlign w:val="center"/>
          </w:tcPr>
          <w:p w14:paraId="33DE757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5112" w:type="dxa"/>
            <w:tcBorders>
              <w:top w:val="single" w:color="auto" w:sz="4" w:space="0"/>
              <w:left w:val="single" w:color="auto" w:sz="4" w:space="0"/>
              <w:bottom w:val="single" w:color="auto" w:sz="4" w:space="0"/>
              <w:right w:val="single" w:color="auto" w:sz="4" w:space="0"/>
            </w:tcBorders>
            <w:vAlign w:val="center"/>
          </w:tcPr>
          <w:p w14:paraId="46B42A9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pH、镉、汞、砷、铅、铬、铜、镍、锌</w:t>
            </w:r>
          </w:p>
        </w:tc>
      </w:tr>
      <w:tr w14:paraId="7564F55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5" w:type="dxa"/>
            <w:vMerge w:val="continue"/>
            <w:tcBorders>
              <w:top w:val="single" w:color="auto" w:sz="4" w:space="0"/>
              <w:left w:val="single" w:color="auto" w:sz="4" w:space="0"/>
              <w:bottom w:val="single" w:color="auto" w:sz="4" w:space="0"/>
              <w:right w:val="single" w:color="auto" w:sz="4" w:space="0"/>
            </w:tcBorders>
          </w:tcPr>
          <w:p w14:paraId="540285D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1110" w:type="dxa"/>
            <w:vMerge w:val="continue"/>
            <w:tcBorders>
              <w:top w:val="single" w:color="auto" w:sz="4" w:space="0"/>
              <w:left w:val="single" w:color="auto" w:sz="4" w:space="0"/>
              <w:bottom w:val="single" w:color="auto" w:sz="4" w:space="0"/>
              <w:right w:val="single" w:color="auto" w:sz="4" w:space="0"/>
            </w:tcBorders>
            <w:vAlign w:val="center"/>
          </w:tcPr>
          <w:p w14:paraId="3D1C91C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1110" w:type="dxa"/>
            <w:tcBorders>
              <w:top w:val="single" w:color="auto" w:sz="4" w:space="0"/>
              <w:left w:val="single" w:color="auto" w:sz="4" w:space="0"/>
              <w:bottom w:val="single" w:color="auto" w:sz="4" w:space="0"/>
              <w:right w:val="single" w:color="auto" w:sz="4" w:space="0"/>
            </w:tcBorders>
            <w:vAlign w:val="center"/>
          </w:tcPr>
          <w:p w14:paraId="1EE07C1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预测因子</w:t>
            </w:r>
          </w:p>
        </w:tc>
        <w:tc>
          <w:tcPr>
            <w:tcW w:w="5112" w:type="dxa"/>
            <w:tcBorders>
              <w:top w:val="single" w:color="auto" w:sz="4" w:space="0"/>
              <w:left w:val="single" w:color="auto" w:sz="4" w:space="0"/>
              <w:bottom w:val="single" w:color="auto" w:sz="4" w:space="0"/>
              <w:right w:val="single" w:color="auto" w:sz="4" w:space="0"/>
            </w:tcBorders>
            <w:vAlign w:val="center"/>
          </w:tcPr>
          <w:p w14:paraId="5C65203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0000FF"/>
                <w:sz w:val="21"/>
                <w:szCs w:val="21"/>
                <w:highlight w:val="none"/>
              </w:rPr>
              <w:t>pH</w:t>
            </w:r>
          </w:p>
        </w:tc>
      </w:tr>
      <w:tr w14:paraId="4346B2C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5" w:type="dxa"/>
            <w:vMerge w:val="continue"/>
            <w:tcBorders>
              <w:top w:val="single" w:color="auto" w:sz="4" w:space="0"/>
              <w:left w:val="single" w:color="auto" w:sz="4" w:space="0"/>
              <w:bottom w:val="single" w:color="auto" w:sz="4" w:space="0"/>
              <w:right w:val="single" w:color="auto" w:sz="4" w:space="0"/>
            </w:tcBorders>
          </w:tcPr>
          <w:p w14:paraId="3EB8634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1110" w:type="dxa"/>
            <w:vMerge w:val="restart"/>
            <w:tcBorders>
              <w:top w:val="single" w:color="auto" w:sz="4" w:space="0"/>
              <w:left w:val="single" w:color="auto" w:sz="4" w:space="0"/>
              <w:bottom w:val="single" w:color="auto" w:sz="4" w:space="0"/>
              <w:right w:val="single" w:color="auto" w:sz="4" w:space="0"/>
            </w:tcBorders>
            <w:vAlign w:val="center"/>
          </w:tcPr>
          <w:p w14:paraId="6F8A2A3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w:t>
            </w:r>
          </w:p>
        </w:tc>
        <w:tc>
          <w:tcPr>
            <w:tcW w:w="1110" w:type="dxa"/>
            <w:tcBorders>
              <w:top w:val="single" w:color="auto" w:sz="4" w:space="0"/>
              <w:left w:val="single" w:color="auto" w:sz="4" w:space="0"/>
              <w:bottom w:val="single" w:color="auto" w:sz="4" w:space="0"/>
              <w:right w:val="single" w:color="auto" w:sz="4" w:space="0"/>
            </w:tcBorders>
            <w:vAlign w:val="center"/>
          </w:tcPr>
          <w:p w14:paraId="22737AC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5112" w:type="dxa"/>
            <w:tcBorders>
              <w:top w:val="single" w:color="auto" w:sz="4" w:space="0"/>
              <w:left w:val="single" w:color="auto" w:sz="4" w:space="0"/>
              <w:bottom w:val="single" w:color="auto" w:sz="4" w:space="0"/>
              <w:right w:val="single" w:color="auto" w:sz="4" w:space="0"/>
            </w:tcBorders>
            <w:vAlign w:val="center"/>
          </w:tcPr>
          <w:p w14:paraId="12C24E1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等效连续A声级</w:t>
            </w:r>
          </w:p>
        </w:tc>
      </w:tr>
      <w:tr w14:paraId="47D53F9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5" w:type="dxa"/>
            <w:vMerge w:val="continue"/>
            <w:tcBorders>
              <w:top w:val="single" w:color="auto" w:sz="4" w:space="0"/>
              <w:left w:val="single" w:color="auto" w:sz="4" w:space="0"/>
              <w:bottom w:val="single" w:color="auto" w:sz="4" w:space="0"/>
              <w:right w:val="single" w:color="auto" w:sz="4" w:space="0"/>
            </w:tcBorders>
          </w:tcPr>
          <w:p w14:paraId="4A6BC4B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1110" w:type="dxa"/>
            <w:vMerge w:val="continue"/>
            <w:tcBorders>
              <w:top w:val="single" w:color="auto" w:sz="4" w:space="0"/>
              <w:left w:val="single" w:color="auto" w:sz="4" w:space="0"/>
              <w:bottom w:val="single" w:color="auto" w:sz="4" w:space="0"/>
              <w:right w:val="single" w:color="auto" w:sz="4" w:space="0"/>
            </w:tcBorders>
            <w:vAlign w:val="center"/>
          </w:tcPr>
          <w:p w14:paraId="1A4FBEF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1110" w:type="dxa"/>
            <w:tcBorders>
              <w:top w:val="single" w:color="auto" w:sz="4" w:space="0"/>
              <w:left w:val="single" w:color="auto" w:sz="4" w:space="0"/>
              <w:bottom w:val="single" w:color="auto" w:sz="4" w:space="0"/>
              <w:right w:val="single" w:color="auto" w:sz="4" w:space="0"/>
            </w:tcBorders>
            <w:vAlign w:val="center"/>
          </w:tcPr>
          <w:p w14:paraId="1652CF4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5112" w:type="dxa"/>
            <w:tcBorders>
              <w:top w:val="single" w:color="auto" w:sz="4" w:space="0"/>
              <w:left w:val="single" w:color="auto" w:sz="4" w:space="0"/>
              <w:bottom w:val="single" w:color="auto" w:sz="4" w:space="0"/>
              <w:right w:val="single" w:color="auto" w:sz="4" w:space="0"/>
            </w:tcBorders>
            <w:vAlign w:val="center"/>
          </w:tcPr>
          <w:p w14:paraId="319E2BF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等效连续A声级</w:t>
            </w:r>
          </w:p>
        </w:tc>
      </w:tr>
      <w:tr w14:paraId="3381FC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5" w:type="dxa"/>
            <w:vMerge w:val="continue"/>
            <w:tcBorders>
              <w:top w:val="single" w:color="auto" w:sz="4" w:space="0"/>
              <w:left w:val="single" w:color="auto" w:sz="4" w:space="0"/>
              <w:bottom w:val="single" w:color="auto" w:sz="4" w:space="0"/>
              <w:right w:val="single" w:color="auto" w:sz="4" w:space="0"/>
            </w:tcBorders>
          </w:tcPr>
          <w:p w14:paraId="14C5E5B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1110" w:type="dxa"/>
            <w:vMerge w:val="restart"/>
            <w:tcBorders>
              <w:top w:val="single" w:color="auto" w:sz="4" w:space="0"/>
              <w:left w:val="single" w:color="auto" w:sz="4" w:space="0"/>
              <w:bottom w:val="single" w:color="auto" w:sz="4" w:space="0"/>
              <w:right w:val="single" w:color="auto" w:sz="4" w:space="0"/>
            </w:tcBorders>
            <w:vAlign w:val="center"/>
          </w:tcPr>
          <w:p w14:paraId="54E5672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生态环境</w:t>
            </w:r>
          </w:p>
        </w:tc>
        <w:tc>
          <w:tcPr>
            <w:tcW w:w="1110" w:type="dxa"/>
            <w:tcBorders>
              <w:top w:val="single" w:color="auto" w:sz="4" w:space="0"/>
              <w:left w:val="single" w:color="auto" w:sz="4" w:space="0"/>
              <w:bottom w:val="single" w:color="auto" w:sz="4" w:space="0"/>
              <w:right w:val="single" w:color="auto" w:sz="4" w:space="0"/>
            </w:tcBorders>
            <w:vAlign w:val="center"/>
          </w:tcPr>
          <w:p w14:paraId="0C9BB2C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5112" w:type="dxa"/>
            <w:tcBorders>
              <w:top w:val="single" w:color="auto" w:sz="4" w:space="0"/>
              <w:left w:val="single" w:color="auto" w:sz="4" w:space="0"/>
              <w:bottom w:val="single" w:color="auto" w:sz="4" w:space="0"/>
              <w:right w:val="single" w:color="auto" w:sz="4" w:space="0"/>
            </w:tcBorders>
            <w:vAlign w:val="center"/>
          </w:tcPr>
          <w:p w14:paraId="22ED2EE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lang w:val="pt-BR"/>
              </w:rPr>
              <w:t>土地利用、动植物资源及种类</w:t>
            </w:r>
          </w:p>
        </w:tc>
      </w:tr>
      <w:tr w14:paraId="21DE1E7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5" w:type="dxa"/>
            <w:vMerge w:val="continue"/>
            <w:tcBorders>
              <w:top w:val="single" w:color="auto" w:sz="4" w:space="0"/>
              <w:left w:val="single" w:color="auto" w:sz="4" w:space="0"/>
              <w:bottom w:val="single" w:color="auto" w:sz="4" w:space="0"/>
              <w:right w:val="single" w:color="auto" w:sz="4" w:space="0"/>
            </w:tcBorders>
          </w:tcPr>
          <w:p w14:paraId="23208D7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1110" w:type="dxa"/>
            <w:vMerge w:val="continue"/>
            <w:tcBorders>
              <w:top w:val="single" w:color="auto" w:sz="4" w:space="0"/>
              <w:left w:val="single" w:color="auto" w:sz="4" w:space="0"/>
              <w:bottom w:val="single" w:color="auto" w:sz="4" w:space="0"/>
              <w:right w:val="single" w:color="auto" w:sz="4" w:space="0"/>
            </w:tcBorders>
            <w:vAlign w:val="center"/>
          </w:tcPr>
          <w:p w14:paraId="1AD89A2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1110" w:type="dxa"/>
            <w:tcBorders>
              <w:top w:val="single" w:color="auto" w:sz="4" w:space="0"/>
              <w:left w:val="single" w:color="auto" w:sz="4" w:space="0"/>
              <w:bottom w:val="single" w:color="auto" w:sz="4" w:space="0"/>
              <w:right w:val="single" w:color="auto" w:sz="4" w:space="0"/>
            </w:tcBorders>
            <w:vAlign w:val="center"/>
          </w:tcPr>
          <w:p w14:paraId="6D38820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bCs/>
                <w:color w:val="auto"/>
                <w:sz w:val="21"/>
                <w:szCs w:val="21"/>
                <w:highlight w:val="none"/>
                <w:lang w:val="pt-BR"/>
              </w:rPr>
            </w:pPr>
            <w:r>
              <w:rPr>
                <w:rFonts w:hint="default" w:ascii="Times New Roman" w:hAnsi="Times New Roman" w:eastAsia="宋体" w:cs="Times New Roman"/>
                <w:bCs/>
                <w:color w:val="auto"/>
                <w:sz w:val="21"/>
                <w:szCs w:val="21"/>
                <w:highlight w:val="none"/>
                <w:lang w:val="pt-BR"/>
              </w:rPr>
              <w:t>影响预测</w:t>
            </w:r>
          </w:p>
        </w:tc>
        <w:tc>
          <w:tcPr>
            <w:tcW w:w="5112" w:type="dxa"/>
            <w:tcBorders>
              <w:top w:val="single" w:color="auto" w:sz="4" w:space="0"/>
              <w:left w:val="single" w:color="auto" w:sz="4" w:space="0"/>
              <w:bottom w:val="single" w:color="auto" w:sz="4" w:space="0"/>
              <w:right w:val="single" w:color="auto" w:sz="4" w:space="0"/>
            </w:tcBorders>
            <w:vAlign w:val="center"/>
          </w:tcPr>
          <w:p w14:paraId="2BA72F9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Cs/>
                <w:color w:val="auto"/>
                <w:sz w:val="21"/>
                <w:szCs w:val="21"/>
                <w:highlight w:val="none"/>
                <w:lang w:val="pt-BR"/>
              </w:rPr>
            </w:pPr>
            <w:r>
              <w:rPr>
                <w:rFonts w:hint="default" w:ascii="Times New Roman" w:hAnsi="Times New Roman" w:eastAsia="宋体" w:cs="Times New Roman"/>
                <w:bCs/>
                <w:color w:val="auto"/>
                <w:sz w:val="21"/>
                <w:szCs w:val="21"/>
                <w:highlight w:val="none"/>
                <w:lang w:val="pt-BR"/>
              </w:rPr>
              <w:t>土地利用、动植物资源</w:t>
            </w:r>
          </w:p>
        </w:tc>
      </w:tr>
      <w:tr w14:paraId="590615B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5" w:type="dxa"/>
            <w:vMerge w:val="continue"/>
            <w:tcBorders>
              <w:top w:val="single" w:color="auto" w:sz="4" w:space="0"/>
              <w:left w:val="single" w:color="auto" w:sz="4" w:space="0"/>
              <w:bottom w:val="single" w:color="auto" w:sz="4" w:space="0"/>
              <w:right w:val="single" w:color="auto" w:sz="4" w:space="0"/>
            </w:tcBorders>
          </w:tcPr>
          <w:p w14:paraId="453D163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1110" w:type="dxa"/>
            <w:tcBorders>
              <w:top w:val="single" w:color="auto" w:sz="4" w:space="0"/>
              <w:left w:val="single" w:color="auto" w:sz="4" w:space="0"/>
              <w:bottom w:val="single" w:color="auto" w:sz="4" w:space="0"/>
              <w:right w:val="single" w:color="auto" w:sz="4" w:space="0"/>
            </w:tcBorders>
            <w:vAlign w:val="center"/>
          </w:tcPr>
          <w:p w14:paraId="7EA912A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风险环境</w:t>
            </w:r>
          </w:p>
        </w:tc>
        <w:tc>
          <w:tcPr>
            <w:tcW w:w="1110" w:type="dxa"/>
            <w:tcBorders>
              <w:top w:val="single" w:color="auto" w:sz="4" w:space="0"/>
              <w:left w:val="single" w:color="auto" w:sz="4" w:space="0"/>
              <w:bottom w:val="single" w:color="auto" w:sz="4" w:space="0"/>
              <w:right w:val="single" w:color="auto" w:sz="4" w:space="0"/>
            </w:tcBorders>
            <w:vAlign w:val="center"/>
          </w:tcPr>
          <w:p w14:paraId="1772104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bCs/>
                <w:color w:val="auto"/>
                <w:sz w:val="21"/>
                <w:szCs w:val="21"/>
                <w:highlight w:val="none"/>
                <w:lang w:val="pt-BR"/>
              </w:rPr>
            </w:pPr>
            <w:r>
              <w:rPr>
                <w:rFonts w:hint="default" w:ascii="Times New Roman" w:hAnsi="Times New Roman" w:eastAsia="宋体" w:cs="Times New Roman"/>
                <w:color w:val="auto"/>
                <w:sz w:val="21"/>
                <w:szCs w:val="21"/>
                <w:highlight w:val="none"/>
              </w:rPr>
              <w:t>影响评价</w:t>
            </w:r>
          </w:p>
        </w:tc>
        <w:tc>
          <w:tcPr>
            <w:tcW w:w="5112" w:type="dxa"/>
            <w:tcBorders>
              <w:top w:val="single" w:color="auto" w:sz="4" w:space="0"/>
              <w:left w:val="single" w:color="auto" w:sz="4" w:space="0"/>
              <w:bottom w:val="single" w:color="auto" w:sz="4" w:space="0"/>
              <w:right w:val="single" w:color="auto" w:sz="4" w:space="0"/>
            </w:tcBorders>
            <w:vAlign w:val="center"/>
          </w:tcPr>
          <w:p w14:paraId="1E1944A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Cs/>
                <w:color w:val="auto"/>
                <w:sz w:val="21"/>
                <w:szCs w:val="21"/>
                <w:highlight w:val="none"/>
                <w:lang w:val="pt-BR"/>
              </w:rPr>
            </w:pPr>
            <w:r>
              <w:rPr>
                <w:rFonts w:hint="default" w:ascii="Times New Roman" w:hAnsi="Times New Roman" w:eastAsia="宋体" w:cs="Times New Roman"/>
                <w:color w:val="auto"/>
                <w:sz w:val="21"/>
                <w:szCs w:val="21"/>
                <w:highlight w:val="none"/>
              </w:rPr>
              <w:t>/</w:t>
            </w:r>
          </w:p>
        </w:tc>
      </w:tr>
      <w:tr w14:paraId="36BDE40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45" w:type="dxa"/>
            <w:vMerge w:val="continue"/>
            <w:tcBorders>
              <w:top w:val="single" w:color="auto" w:sz="4" w:space="0"/>
              <w:left w:val="single" w:color="auto" w:sz="4" w:space="0"/>
              <w:bottom w:val="single" w:color="auto" w:sz="4" w:space="0"/>
              <w:right w:val="single" w:color="auto" w:sz="4" w:space="0"/>
            </w:tcBorders>
          </w:tcPr>
          <w:p w14:paraId="3AD1E8D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1110" w:type="dxa"/>
            <w:tcBorders>
              <w:top w:val="single" w:color="auto" w:sz="4" w:space="0"/>
              <w:left w:val="single" w:color="auto" w:sz="4" w:space="0"/>
              <w:bottom w:val="single" w:color="auto" w:sz="4" w:space="0"/>
              <w:right w:val="single" w:color="auto" w:sz="4" w:space="0"/>
            </w:tcBorders>
            <w:vAlign w:val="center"/>
          </w:tcPr>
          <w:p w14:paraId="2D3CCC4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固体废物</w:t>
            </w:r>
          </w:p>
        </w:tc>
        <w:tc>
          <w:tcPr>
            <w:tcW w:w="1110" w:type="dxa"/>
            <w:tcBorders>
              <w:top w:val="single" w:color="auto" w:sz="4" w:space="0"/>
              <w:left w:val="single" w:color="auto" w:sz="4" w:space="0"/>
              <w:bottom w:val="single" w:color="auto" w:sz="4" w:space="0"/>
              <w:right w:val="single" w:color="auto" w:sz="4" w:space="0"/>
            </w:tcBorders>
            <w:vAlign w:val="center"/>
          </w:tcPr>
          <w:p w14:paraId="30C2F8C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5112" w:type="dxa"/>
            <w:tcBorders>
              <w:top w:val="single" w:color="auto" w:sz="4" w:space="0"/>
              <w:left w:val="single" w:color="auto" w:sz="4" w:space="0"/>
              <w:bottom w:val="single" w:color="auto" w:sz="4" w:space="0"/>
              <w:right w:val="single" w:color="auto" w:sz="4" w:space="0"/>
            </w:tcBorders>
            <w:vAlign w:val="center"/>
          </w:tcPr>
          <w:p w14:paraId="020CC0A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固体废物产生及处置情况</w:t>
            </w:r>
          </w:p>
        </w:tc>
      </w:tr>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tbl>
    <w:p w14:paraId="6870A608">
      <w:pPr>
        <w:pStyle w:val="3"/>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0"/>
        <w:rPr>
          <w:rFonts w:hint="default" w:ascii="Times New Roman" w:hAnsi="Times New Roman" w:eastAsia="宋体" w:cs="Times New Roman"/>
          <w:color w:val="auto"/>
          <w:highlight w:val="none"/>
        </w:rPr>
      </w:pPr>
      <w:bookmarkStart w:id="143" w:name="_Toc15709"/>
      <w:r>
        <w:rPr>
          <w:rFonts w:hint="default" w:ascii="Times New Roman" w:hAnsi="Times New Roman" w:eastAsia="宋体" w:cs="Times New Roman"/>
          <w:color w:val="auto"/>
          <w:highlight w:val="none"/>
        </w:rPr>
        <w:t>2.4环境功能区划及评价标准</w:t>
      </w:r>
      <w:bookmarkEnd w:id="143"/>
    </w:p>
    <w:p w14:paraId="1871A9AB">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144" w:name="_Toc20649"/>
      <w:r>
        <w:rPr>
          <w:rFonts w:hint="default" w:ascii="Times New Roman" w:hAnsi="Times New Roman" w:eastAsia="宋体" w:cs="Times New Roman"/>
          <w:color w:val="auto"/>
          <w:highlight w:val="none"/>
        </w:rPr>
        <w:t>2.4.1环境功能区划</w:t>
      </w:r>
      <w:bookmarkEnd w:id="144"/>
    </w:p>
    <w:p w14:paraId="2384211F">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根据评价区功能区划和环境保护目标的要求，环境空气为二类功能区；地下水为农业及生活用水区，为Ⅲ类水质要求；</w:t>
      </w:r>
      <w:r>
        <w:rPr>
          <w:rFonts w:hint="default" w:ascii="Times New Roman" w:hAnsi="Times New Roman" w:eastAsia="宋体" w:cs="Times New Roman"/>
          <w:color w:val="FFC000"/>
          <w:highlight w:val="none"/>
        </w:rPr>
        <w:t>声环境为</w:t>
      </w:r>
      <w:r>
        <w:rPr>
          <w:rFonts w:hint="default" w:ascii="Times New Roman" w:hAnsi="Times New Roman" w:eastAsia="宋体" w:cs="Times New Roman"/>
          <w:color w:val="FFC000"/>
          <w:highlight w:val="none"/>
          <w:lang w:val="en-US" w:eastAsia="zh-CN"/>
        </w:rPr>
        <w:t>1</w:t>
      </w:r>
      <w:r>
        <w:rPr>
          <w:rFonts w:hint="default" w:ascii="Times New Roman" w:hAnsi="Times New Roman" w:eastAsia="宋体" w:cs="Times New Roman"/>
          <w:color w:val="FFC000"/>
          <w:highlight w:val="none"/>
        </w:rPr>
        <w:t>类功能区。</w:t>
      </w:r>
    </w:p>
    <w:p w14:paraId="1794FD7A">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145" w:name="_Toc14747"/>
      <w:r>
        <w:rPr>
          <w:rFonts w:hint="default" w:ascii="Times New Roman" w:hAnsi="Times New Roman" w:eastAsia="宋体" w:cs="Times New Roman"/>
          <w:color w:val="auto"/>
          <w:highlight w:val="none"/>
        </w:rPr>
        <w:t>2.4.2环境质量标准</w:t>
      </w:r>
      <w:bookmarkEnd w:id="145"/>
    </w:p>
    <w:p w14:paraId="2C0D04B4">
      <w:pPr>
        <w:pStyle w:val="6"/>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2.4.2.1环境空气</w:t>
      </w:r>
    </w:p>
    <w:p w14:paraId="04D3988C">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项目所在区域属于环境空气质量二类功能区，</w:t>
      </w:r>
      <w:r>
        <w:rPr>
          <w:rFonts w:hint="default" w:ascii="Times New Roman" w:hAnsi="Times New Roman" w:eastAsia="宋体" w:cs="Times New Roman"/>
          <w:bCs/>
          <w:color w:val="auto"/>
          <w:highlight w:val="none"/>
        </w:rPr>
        <w:t>PM</w:t>
      </w:r>
      <w:r>
        <w:rPr>
          <w:rFonts w:hint="default" w:ascii="Times New Roman" w:hAnsi="Times New Roman" w:eastAsia="宋体" w:cs="Times New Roman"/>
          <w:bCs/>
          <w:color w:val="auto"/>
          <w:highlight w:val="none"/>
          <w:vertAlign w:val="subscript"/>
        </w:rPr>
        <w:t>10</w:t>
      </w:r>
      <w:r>
        <w:rPr>
          <w:rFonts w:hint="default" w:ascii="Times New Roman" w:hAnsi="Times New Roman" w:eastAsia="宋体" w:cs="Times New Roman"/>
          <w:bCs/>
          <w:color w:val="auto"/>
          <w:highlight w:val="none"/>
        </w:rPr>
        <w:t>、PM</w:t>
      </w:r>
      <w:r>
        <w:rPr>
          <w:rFonts w:hint="default" w:ascii="Times New Roman" w:hAnsi="Times New Roman" w:eastAsia="宋体" w:cs="Times New Roman"/>
          <w:bCs/>
          <w:color w:val="auto"/>
          <w:highlight w:val="none"/>
          <w:vertAlign w:val="subscript"/>
        </w:rPr>
        <w:t>2.5</w:t>
      </w:r>
      <w:r>
        <w:rPr>
          <w:rFonts w:hint="default" w:ascii="Times New Roman" w:hAnsi="Times New Roman" w:eastAsia="宋体" w:cs="Times New Roman"/>
          <w:bCs/>
          <w:color w:val="auto"/>
          <w:highlight w:val="none"/>
        </w:rPr>
        <w:t>、SO</w:t>
      </w:r>
      <w:r>
        <w:rPr>
          <w:rFonts w:hint="default" w:ascii="Times New Roman" w:hAnsi="Times New Roman" w:eastAsia="宋体" w:cs="Times New Roman"/>
          <w:bCs/>
          <w:color w:val="auto"/>
          <w:highlight w:val="none"/>
          <w:vertAlign w:val="subscript"/>
        </w:rPr>
        <w:t>2</w:t>
      </w:r>
      <w:r>
        <w:rPr>
          <w:rFonts w:hint="default" w:ascii="Times New Roman" w:hAnsi="Times New Roman" w:eastAsia="宋体" w:cs="Times New Roman"/>
          <w:bCs/>
          <w:color w:val="auto"/>
          <w:highlight w:val="none"/>
        </w:rPr>
        <w:t>、NO</w:t>
      </w:r>
      <w:r>
        <w:rPr>
          <w:rFonts w:hint="default" w:ascii="Times New Roman" w:hAnsi="Times New Roman" w:eastAsia="宋体" w:cs="Times New Roman"/>
          <w:bCs/>
          <w:color w:val="auto"/>
          <w:highlight w:val="none"/>
          <w:vertAlign w:val="subscript"/>
        </w:rPr>
        <w:t>2</w:t>
      </w:r>
      <w:r>
        <w:rPr>
          <w:rFonts w:hint="default" w:ascii="Times New Roman" w:hAnsi="Times New Roman" w:eastAsia="宋体" w:cs="Times New Roman"/>
          <w:bCs/>
          <w:color w:val="auto"/>
          <w:highlight w:val="none"/>
        </w:rPr>
        <w:t>、CO、O</w:t>
      </w:r>
      <w:r>
        <w:rPr>
          <w:rFonts w:hint="default" w:ascii="Times New Roman" w:hAnsi="Times New Roman" w:eastAsia="宋体" w:cs="Times New Roman"/>
          <w:bCs/>
          <w:color w:val="auto"/>
          <w:highlight w:val="none"/>
          <w:vertAlign w:val="subscript"/>
        </w:rPr>
        <w:t>3</w:t>
      </w:r>
      <w:r>
        <w:rPr>
          <w:rFonts w:hint="default" w:ascii="Times New Roman" w:hAnsi="Times New Roman" w:eastAsia="宋体" w:cs="Times New Roman"/>
          <w:bCs/>
          <w:color w:val="auto"/>
          <w:highlight w:val="none"/>
        </w:rPr>
        <w:t>、TSP</w:t>
      </w:r>
      <w:r>
        <w:rPr>
          <w:rFonts w:hint="default" w:ascii="Times New Roman" w:hAnsi="Times New Roman" w:eastAsia="宋体" w:cs="Times New Roman"/>
          <w:color w:val="auto"/>
          <w:highlight w:val="none"/>
        </w:rPr>
        <w:t>执行《环境空气质量标准》（GB3095-2012）中的二级标准；NH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S执行《</w:t>
      </w:r>
      <w:r>
        <w:rPr>
          <w:rFonts w:hint="default" w:ascii="Times New Roman" w:hAnsi="Times New Roman" w:eastAsia="宋体" w:cs="Times New Roman"/>
          <w:color w:val="auto"/>
          <w:highlight w:val="none"/>
          <w:lang w:eastAsia="zh-CN"/>
        </w:rPr>
        <w:t>环境影响评价技术导则</w:t>
      </w:r>
      <w:r>
        <w:rPr>
          <w:rFonts w:hint="default" w:ascii="Times New Roman" w:hAnsi="Times New Roman" w:eastAsia="宋体" w:cs="Times New Roman"/>
          <w:color w:val="auto"/>
          <w:highlight w:val="none"/>
        </w:rPr>
        <w:t>大气环境》（HJ2.2-2018）中的附录D其他污染物空气质量浓度参考限值，详见下表。</w:t>
      </w:r>
    </w:p>
    <w:p w14:paraId="024B0FB8">
      <w:pPr>
        <w:pStyle w:val="7"/>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表2.4-1环境空气质量标准</w:t>
      </w:r>
    </w:p>
    <w:tbl>
      <w:tblPr>
        <w:tblStyle w:val="40"/>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0"/>
        <w:gridCol w:w="870"/>
        <w:gridCol w:w="870"/>
        <w:gridCol w:w="2382"/>
        <w:gridCol w:w="1153"/>
        <w:gridCol w:w="2342"/>
      </w:tblGrid>
      <w:tr w14:paraId="03875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6" w:type="dxa"/>
            <w:vMerge w:val="restart"/>
            <w:vAlign w:val="center"/>
          </w:tcPr>
          <w:p w14:paraId="2F5610B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938" w:type="dxa"/>
            <w:vMerge w:val="restart"/>
            <w:vAlign w:val="center"/>
          </w:tcPr>
          <w:p w14:paraId="179957C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4796" w:type="dxa"/>
            <w:gridSpan w:val="3"/>
            <w:vAlign w:val="center"/>
          </w:tcPr>
          <w:p w14:paraId="7058813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浓度限值（单位：μg/Nm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c>
          <w:tcPr>
            <w:tcW w:w="2564" w:type="dxa"/>
            <w:vMerge w:val="restart"/>
            <w:vAlign w:val="center"/>
          </w:tcPr>
          <w:p w14:paraId="578B09A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标准来源</w:t>
            </w:r>
          </w:p>
        </w:tc>
      </w:tr>
      <w:tr w14:paraId="4D541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6" w:type="dxa"/>
            <w:vMerge w:val="continue"/>
            <w:vAlign w:val="center"/>
          </w:tcPr>
          <w:p w14:paraId="13B6B1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sz w:val="21"/>
                <w:szCs w:val="21"/>
                <w:highlight w:val="none"/>
              </w:rPr>
            </w:pPr>
          </w:p>
        </w:tc>
        <w:tc>
          <w:tcPr>
            <w:tcW w:w="938" w:type="dxa"/>
            <w:vMerge w:val="continue"/>
            <w:vAlign w:val="center"/>
          </w:tcPr>
          <w:p w14:paraId="0594CC2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sz w:val="21"/>
                <w:szCs w:val="21"/>
                <w:highlight w:val="none"/>
              </w:rPr>
            </w:pPr>
          </w:p>
        </w:tc>
        <w:tc>
          <w:tcPr>
            <w:tcW w:w="938" w:type="dxa"/>
            <w:vAlign w:val="center"/>
          </w:tcPr>
          <w:p w14:paraId="393308E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年平均</w:t>
            </w:r>
          </w:p>
        </w:tc>
        <w:tc>
          <w:tcPr>
            <w:tcW w:w="2608" w:type="dxa"/>
            <w:vAlign w:val="center"/>
          </w:tcPr>
          <w:p w14:paraId="492E1BD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日平均</w:t>
            </w:r>
          </w:p>
        </w:tc>
        <w:tc>
          <w:tcPr>
            <w:tcW w:w="1250" w:type="dxa"/>
            <w:vAlign w:val="center"/>
          </w:tcPr>
          <w:p w14:paraId="018295F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小时平均</w:t>
            </w:r>
          </w:p>
        </w:tc>
        <w:tc>
          <w:tcPr>
            <w:tcW w:w="2564" w:type="dxa"/>
            <w:vMerge w:val="continue"/>
            <w:vAlign w:val="center"/>
          </w:tcPr>
          <w:p w14:paraId="43EDC9D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sz w:val="21"/>
                <w:szCs w:val="21"/>
                <w:highlight w:val="none"/>
              </w:rPr>
            </w:pPr>
          </w:p>
        </w:tc>
      </w:tr>
      <w:tr w14:paraId="707E6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6" w:type="dxa"/>
            <w:vAlign w:val="center"/>
          </w:tcPr>
          <w:p w14:paraId="4946BE3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938" w:type="dxa"/>
            <w:vAlign w:val="center"/>
          </w:tcPr>
          <w:p w14:paraId="2B2B9D6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938" w:type="dxa"/>
            <w:vAlign w:val="center"/>
          </w:tcPr>
          <w:p w14:paraId="05E0C6A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2608" w:type="dxa"/>
            <w:vAlign w:val="center"/>
          </w:tcPr>
          <w:p w14:paraId="7AAD453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150</w:t>
            </w:r>
          </w:p>
        </w:tc>
        <w:tc>
          <w:tcPr>
            <w:tcW w:w="1250" w:type="dxa"/>
            <w:vAlign w:val="center"/>
          </w:tcPr>
          <w:p w14:paraId="33D01AB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500</w:t>
            </w:r>
          </w:p>
        </w:tc>
        <w:tc>
          <w:tcPr>
            <w:tcW w:w="2564" w:type="dxa"/>
            <w:vMerge w:val="restart"/>
            <w:vAlign w:val="center"/>
          </w:tcPr>
          <w:p w14:paraId="4D53ABF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《环境空气质量标准》（GB3095-2012）</w:t>
            </w:r>
          </w:p>
          <w:p w14:paraId="577ADF6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二级标准</w:t>
            </w:r>
          </w:p>
        </w:tc>
      </w:tr>
      <w:tr w14:paraId="5347E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6" w:type="dxa"/>
            <w:vAlign w:val="center"/>
          </w:tcPr>
          <w:p w14:paraId="161E670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938" w:type="dxa"/>
            <w:vAlign w:val="center"/>
          </w:tcPr>
          <w:p w14:paraId="70F7768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p>
        </w:tc>
        <w:tc>
          <w:tcPr>
            <w:tcW w:w="938" w:type="dxa"/>
            <w:vAlign w:val="center"/>
          </w:tcPr>
          <w:p w14:paraId="075D138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2608" w:type="dxa"/>
            <w:vAlign w:val="center"/>
          </w:tcPr>
          <w:p w14:paraId="795E9CA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80</w:t>
            </w:r>
          </w:p>
        </w:tc>
        <w:tc>
          <w:tcPr>
            <w:tcW w:w="1250" w:type="dxa"/>
            <w:vAlign w:val="center"/>
          </w:tcPr>
          <w:p w14:paraId="3489714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w:t>
            </w:r>
          </w:p>
        </w:tc>
        <w:tc>
          <w:tcPr>
            <w:tcW w:w="2564" w:type="dxa"/>
            <w:vMerge w:val="continue"/>
            <w:vAlign w:val="center"/>
          </w:tcPr>
          <w:p w14:paraId="430F4D4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60EB7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6" w:type="dxa"/>
            <w:vAlign w:val="center"/>
          </w:tcPr>
          <w:p w14:paraId="0A660BF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938" w:type="dxa"/>
            <w:vAlign w:val="center"/>
          </w:tcPr>
          <w:p w14:paraId="6ABB5F4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c>
          <w:tcPr>
            <w:tcW w:w="938" w:type="dxa"/>
            <w:vAlign w:val="center"/>
          </w:tcPr>
          <w:p w14:paraId="7EC7E36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w:t>
            </w:r>
          </w:p>
        </w:tc>
        <w:tc>
          <w:tcPr>
            <w:tcW w:w="2608" w:type="dxa"/>
            <w:vAlign w:val="center"/>
          </w:tcPr>
          <w:p w14:paraId="703352D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300</w:t>
            </w:r>
          </w:p>
        </w:tc>
        <w:tc>
          <w:tcPr>
            <w:tcW w:w="1250" w:type="dxa"/>
            <w:vAlign w:val="center"/>
          </w:tcPr>
          <w:p w14:paraId="7294250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564" w:type="dxa"/>
            <w:vMerge w:val="continue"/>
            <w:vAlign w:val="center"/>
          </w:tcPr>
          <w:p w14:paraId="35F1B44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47B16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6" w:type="dxa"/>
            <w:vAlign w:val="center"/>
          </w:tcPr>
          <w:p w14:paraId="1A15B76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938" w:type="dxa"/>
            <w:vAlign w:val="center"/>
          </w:tcPr>
          <w:p w14:paraId="63B9FD0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p>
        </w:tc>
        <w:tc>
          <w:tcPr>
            <w:tcW w:w="938" w:type="dxa"/>
            <w:vAlign w:val="center"/>
          </w:tcPr>
          <w:p w14:paraId="6D10821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w:t>
            </w:r>
          </w:p>
        </w:tc>
        <w:tc>
          <w:tcPr>
            <w:tcW w:w="2608" w:type="dxa"/>
            <w:vAlign w:val="center"/>
          </w:tcPr>
          <w:p w14:paraId="14B9E7B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150</w:t>
            </w:r>
          </w:p>
        </w:tc>
        <w:tc>
          <w:tcPr>
            <w:tcW w:w="1250" w:type="dxa"/>
            <w:vAlign w:val="center"/>
          </w:tcPr>
          <w:p w14:paraId="4512DFF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564" w:type="dxa"/>
            <w:vMerge w:val="continue"/>
            <w:vAlign w:val="center"/>
          </w:tcPr>
          <w:p w14:paraId="24A2E63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09BBC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6" w:type="dxa"/>
            <w:vAlign w:val="center"/>
          </w:tcPr>
          <w:p w14:paraId="11379BB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938" w:type="dxa"/>
            <w:vAlign w:val="center"/>
          </w:tcPr>
          <w:p w14:paraId="2B09961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p>
        </w:tc>
        <w:tc>
          <w:tcPr>
            <w:tcW w:w="938" w:type="dxa"/>
            <w:vAlign w:val="center"/>
          </w:tcPr>
          <w:p w14:paraId="23EF2B1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w:t>
            </w:r>
          </w:p>
        </w:tc>
        <w:tc>
          <w:tcPr>
            <w:tcW w:w="2608" w:type="dxa"/>
            <w:vAlign w:val="center"/>
          </w:tcPr>
          <w:p w14:paraId="648B0A7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75</w:t>
            </w:r>
          </w:p>
        </w:tc>
        <w:tc>
          <w:tcPr>
            <w:tcW w:w="1250" w:type="dxa"/>
            <w:vAlign w:val="center"/>
          </w:tcPr>
          <w:p w14:paraId="46B6AEF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564" w:type="dxa"/>
            <w:vMerge w:val="continue"/>
            <w:vAlign w:val="center"/>
          </w:tcPr>
          <w:p w14:paraId="5203BF0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265D1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6" w:type="dxa"/>
            <w:vAlign w:val="center"/>
          </w:tcPr>
          <w:p w14:paraId="085E66F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938" w:type="dxa"/>
            <w:vAlign w:val="center"/>
          </w:tcPr>
          <w:p w14:paraId="0A42F54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O</w:t>
            </w:r>
            <w:r>
              <w:rPr>
                <w:rFonts w:hint="default" w:ascii="Times New Roman" w:hAnsi="Times New Roman" w:eastAsia="宋体" w:cs="Times New Roman"/>
                <w:color w:val="auto"/>
                <w:sz w:val="21"/>
                <w:szCs w:val="21"/>
                <w:highlight w:val="none"/>
                <w:vertAlign w:val="subscript"/>
              </w:rPr>
              <w:t>3</w:t>
            </w:r>
          </w:p>
        </w:tc>
        <w:tc>
          <w:tcPr>
            <w:tcW w:w="938" w:type="dxa"/>
            <w:vAlign w:val="center"/>
          </w:tcPr>
          <w:p w14:paraId="41D780C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608" w:type="dxa"/>
            <w:vAlign w:val="center"/>
          </w:tcPr>
          <w:p w14:paraId="5DB4843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160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日最大</w:t>
            </w: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小时平均</w:t>
            </w:r>
            <w:r>
              <w:rPr>
                <w:rFonts w:hint="default" w:ascii="Times New Roman" w:hAnsi="Times New Roman" w:eastAsia="宋体" w:cs="Times New Roman"/>
                <w:color w:val="auto"/>
                <w:sz w:val="21"/>
                <w:szCs w:val="21"/>
                <w:highlight w:val="none"/>
                <w:lang w:eastAsia="zh-CN"/>
              </w:rPr>
              <w:t>）</w:t>
            </w:r>
          </w:p>
        </w:tc>
        <w:tc>
          <w:tcPr>
            <w:tcW w:w="1250" w:type="dxa"/>
            <w:vAlign w:val="center"/>
          </w:tcPr>
          <w:p w14:paraId="2296DEA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w:t>
            </w:r>
          </w:p>
        </w:tc>
        <w:tc>
          <w:tcPr>
            <w:tcW w:w="2564" w:type="dxa"/>
            <w:vMerge w:val="continue"/>
            <w:vAlign w:val="center"/>
          </w:tcPr>
          <w:p w14:paraId="3F71964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191EB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6" w:type="dxa"/>
            <w:vAlign w:val="center"/>
          </w:tcPr>
          <w:p w14:paraId="095A6D0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938" w:type="dxa"/>
            <w:vAlign w:val="center"/>
          </w:tcPr>
          <w:p w14:paraId="54AEBA7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w:t>
            </w:r>
          </w:p>
        </w:tc>
        <w:tc>
          <w:tcPr>
            <w:tcW w:w="938" w:type="dxa"/>
            <w:vAlign w:val="center"/>
          </w:tcPr>
          <w:p w14:paraId="24783AF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608" w:type="dxa"/>
            <w:vAlign w:val="center"/>
          </w:tcPr>
          <w:p w14:paraId="32D8A78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4</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lang w:eastAsia="zh-CN"/>
              </w:rPr>
              <w:t>）</w:t>
            </w:r>
          </w:p>
        </w:tc>
        <w:tc>
          <w:tcPr>
            <w:tcW w:w="1250" w:type="dxa"/>
            <w:vAlign w:val="center"/>
          </w:tcPr>
          <w:p w14:paraId="4E16F85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lang w:eastAsia="zh-CN"/>
              </w:rPr>
              <w:t>）</w:t>
            </w:r>
          </w:p>
        </w:tc>
        <w:tc>
          <w:tcPr>
            <w:tcW w:w="2564" w:type="dxa"/>
            <w:vMerge w:val="continue"/>
            <w:vAlign w:val="center"/>
          </w:tcPr>
          <w:p w14:paraId="1512914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43DE2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6" w:type="dxa"/>
            <w:vAlign w:val="center"/>
          </w:tcPr>
          <w:p w14:paraId="0EEF502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938" w:type="dxa"/>
            <w:vAlign w:val="center"/>
          </w:tcPr>
          <w:p w14:paraId="4F26BFC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Cs/>
                <w:color w:val="auto"/>
                <w:sz w:val="21"/>
                <w:szCs w:val="21"/>
                <w:highlight w:val="none"/>
                <w:lang w:bidi="en-US"/>
              </w:rPr>
            </w:pPr>
            <w:r>
              <w:rPr>
                <w:rFonts w:hint="default" w:ascii="Times New Roman" w:hAnsi="Times New Roman" w:eastAsia="宋体" w:cs="Times New Roman"/>
                <w:bCs/>
                <w:color w:val="auto"/>
                <w:sz w:val="21"/>
                <w:szCs w:val="21"/>
                <w:highlight w:val="none"/>
                <w:lang w:bidi="en-US"/>
              </w:rPr>
              <w:t>NH</w:t>
            </w:r>
            <w:r>
              <w:rPr>
                <w:rFonts w:hint="default" w:ascii="Times New Roman" w:hAnsi="Times New Roman" w:eastAsia="宋体" w:cs="Times New Roman"/>
                <w:bCs/>
                <w:color w:val="auto"/>
                <w:sz w:val="21"/>
                <w:szCs w:val="21"/>
                <w:highlight w:val="none"/>
                <w:vertAlign w:val="subscript"/>
                <w:lang w:bidi="en-US"/>
              </w:rPr>
              <w:t>3</w:t>
            </w:r>
          </w:p>
        </w:tc>
        <w:tc>
          <w:tcPr>
            <w:tcW w:w="938" w:type="dxa"/>
            <w:vAlign w:val="center"/>
          </w:tcPr>
          <w:p w14:paraId="3C39C2A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608" w:type="dxa"/>
            <w:vAlign w:val="center"/>
          </w:tcPr>
          <w:p w14:paraId="7986B5A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250" w:type="dxa"/>
            <w:vAlign w:val="center"/>
          </w:tcPr>
          <w:p w14:paraId="692CF29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w:t>
            </w:r>
          </w:p>
        </w:tc>
        <w:tc>
          <w:tcPr>
            <w:tcW w:w="2564" w:type="dxa"/>
            <w:vMerge w:val="restart"/>
            <w:vAlign w:val="center"/>
          </w:tcPr>
          <w:p w14:paraId="32E9B3C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环境影响评价技术导则</w:t>
            </w:r>
            <w:r>
              <w:rPr>
                <w:rFonts w:hint="default" w:ascii="Times New Roman" w:hAnsi="Times New Roman" w:eastAsia="宋体" w:cs="Times New Roman"/>
                <w:color w:val="auto"/>
                <w:sz w:val="21"/>
                <w:szCs w:val="21"/>
                <w:highlight w:val="none"/>
              </w:rPr>
              <w:t>大气环境》（HJ2.2-2018）附录D</w:t>
            </w:r>
          </w:p>
        </w:tc>
      </w:tr>
      <w:tr w14:paraId="6955B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6" w:type="dxa"/>
            <w:vAlign w:val="center"/>
          </w:tcPr>
          <w:p w14:paraId="694F0A6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c>
          <w:tcPr>
            <w:tcW w:w="938" w:type="dxa"/>
            <w:vAlign w:val="center"/>
          </w:tcPr>
          <w:p w14:paraId="15F498B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Cs/>
                <w:color w:val="auto"/>
                <w:sz w:val="21"/>
                <w:szCs w:val="21"/>
                <w:highlight w:val="none"/>
                <w:lang w:bidi="en-US"/>
              </w:rPr>
            </w:pPr>
            <w:r>
              <w:rPr>
                <w:rFonts w:hint="default" w:ascii="Times New Roman" w:hAnsi="Times New Roman" w:eastAsia="宋体" w:cs="Times New Roman"/>
                <w:bCs/>
                <w:color w:val="auto"/>
                <w:sz w:val="21"/>
                <w:szCs w:val="21"/>
                <w:highlight w:val="none"/>
                <w:lang w:bidi="en-US"/>
              </w:rPr>
              <w:t>H</w:t>
            </w:r>
            <w:r>
              <w:rPr>
                <w:rFonts w:hint="default" w:ascii="Times New Roman" w:hAnsi="Times New Roman" w:eastAsia="宋体" w:cs="Times New Roman"/>
                <w:bCs/>
                <w:color w:val="auto"/>
                <w:sz w:val="21"/>
                <w:szCs w:val="21"/>
                <w:highlight w:val="none"/>
                <w:vertAlign w:val="subscript"/>
                <w:lang w:bidi="en-US"/>
              </w:rPr>
              <w:t>2</w:t>
            </w:r>
            <w:r>
              <w:rPr>
                <w:rFonts w:hint="default" w:ascii="Times New Roman" w:hAnsi="Times New Roman" w:eastAsia="宋体" w:cs="Times New Roman"/>
                <w:bCs/>
                <w:color w:val="auto"/>
                <w:sz w:val="21"/>
                <w:szCs w:val="21"/>
                <w:highlight w:val="none"/>
                <w:lang w:bidi="en-US"/>
              </w:rPr>
              <w:t>S</w:t>
            </w:r>
          </w:p>
        </w:tc>
        <w:tc>
          <w:tcPr>
            <w:tcW w:w="938" w:type="dxa"/>
            <w:vAlign w:val="center"/>
          </w:tcPr>
          <w:p w14:paraId="2C3FFA5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608" w:type="dxa"/>
            <w:vAlign w:val="center"/>
          </w:tcPr>
          <w:p w14:paraId="66D37C2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250" w:type="dxa"/>
            <w:vAlign w:val="center"/>
          </w:tcPr>
          <w:p w14:paraId="4DA0B13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2564" w:type="dxa"/>
            <w:vMerge w:val="continue"/>
            <w:vAlign w:val="center"/>
          </w:tcPr>
          <w:p w14:paraId="2E26A3D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bl>
    <w:p w14:paraId="5BEF5EC6">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2.4.4.2地下水</w:t>
      </w:r>
    </w:p>
    <w:p w14:paraId="154DDBB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eastAsia="zh-CN"/>
        </w:rPr>
        <w:t>区域</w:t>
      </w:r>
      <w:r>
        <w:rPr>
          <w:rFonts w:hint="default" w:ascii="Times New Roman" w:hAnsi="Times New Roman" w:eastAsia="宋体" w:cs="Times New Roman"/>
          <w:color w:val="auto"/>
          <w:highlight w:val="none"/>
        </w:rPr>
        <w:t>地下水</w:t>
      </w:r>
      <w:r>
        <w:rPr>
          <w:rFonts w:hint="default" w:ascii="Times New Roman" w:hAnsi="Times New Roman" w:eastAsia="宋体" w:cs="Times New Roman"/>
          <w:color w:val="auto"/>
          <w:highlight w:val="none"/>
          <w:lang w:eastAsia="zh-CN"/>
        </w:rPr>
        <w:t>环境质量</w:t>
      </w:r>
      <w:r>
        <w:rPr>
          <w:rFonts w:hint="default" w:ascii="Times New Roman" w:hAnsi="Times New Roman" w:eastAsia="宋体" w:cs="Times New Roman"/>
          <w:color w:val="auto"/>
          <w:highlight w:val="none"/>
        </w:rPr>
        <w:t>执行《地下水质量标准》（GB/T14848-2017</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Ⅲ</w:t>
      </w:r>
      <w:r>
        <w:rPr>
          <w:rFonts w:hint="default" w:ascii="Times New Roman" w:hAnsi="Times New Roman" w:eastAsia="宋体" w:cs="Times New Roman"/>
          <w:color w:val="auto"/>
          <w:highlight w:val="none"/>
        </w:rPr>
        <w:t>类标准，详见下表。</w:t>
      </w:r>
    </w:p>
    <w:p w14:paraId="10EA10CB">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表2.4-2地下水质量标准（单位：mg/L，pH值无量纲）</w:t>
      </w:r>
    </w:p>
    <w:tbl>
      <w:tblPr>
        <w:tblStyle w:val="40"/>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6"/>
        <w:gridCol w:w="2938"/>
        <w:gridCol w:w="2900"/>
        <w:gridCol w:w="1783"/>
      </w:tblGrid>
      <w:tr w14:paraId="1F974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23936D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3205" w:type="dxa"/>
            <w:vAlign w:val="center"/>
          </w:tcPr>
          <w:p w14:paraId="0A05B63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项目</w:t>
            </w:r>
          </w:p>
        </w:tc>
        <w:tc>
          <w:tcPr>
            <w:tcW w:w="3164" w:type="dxa"/>
            <w:vAlign w:val="center"/>
          </w:tcPr>
          <w:p w14:paraId="02CD644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Ⅲ类标准</w:t>
            </w:r>
          </w:p>
        </w:tc>
        <w:tc>
          <w:tcPr>
            <w:tcW w:w="1936" w:type="dxa"/>
            <w:vAlign w:val="center"/>
          </w:tcPr>
          <w:p w14:paraId="4050E42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标准来源</w:t>
            </w:r>
          </w:p>
        </w:tc>
      </w:tr>
      <w:tr w14:paraId="52296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68" w:type="dxa"/>
            <w:gridSpan w:val="3"/>
            <w:vAlign w:val="center"/>
          </w:tcPr>
          <w:p w14:paraId="05C240D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感官性状及一般化学指标</w:t>
            </w:r>
          </w:p>
        </w:tc>
        <w:tc>
          <w:tcPr>
            <w:tcW w:w="1936" w:type="dxa"/>
            <w:vMerge w:val="restart"/>
            <w:vAlign w:val="center"/>
          </w:tcPr>
          <w:p w14:paraId="50FD0E3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《地下水质量标准》（GB/T14848-2017）</w:t>
            </w:r>
            <w:r>
              <w:rPr>
                <w:rFonts w:hint="default" w:ascii="Times New Roman" w:hAnsi="Times New Roman" w:eastAsia="宋体" w:cs="Times New Roman"/>
                <w:color w:val="0000FF"/>
                <w:sz w:val="21"/>
                <w:szCs w:val="21"/>
                <w:highlight w:val="none"/>
              </w:rPr>
              <w:t>Ⅲ类标准</w:t>
            </w:r>
          </w:p>
        </w:tc>
      </w:tr>
      <w:tr w14:paraId="37E39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170C434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3205" w:type="dxa"/>
            <w:vAlign w:val="center"/>
          </w:tcPr>
          <w:p w14:paraId="1052931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色</w:t>
            </w:r>
          </w:p>
        </w:tc>
        <w:tc>
          <w:tcPr>
            <w:tcW w:w="3164" w:type="dxa"/>
            <w:vAlign w:val="center"/>
          </w:tcPr>
          <w:p w14:paraId="4BF7D28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1936" w:type="dxa"/>
            <w:vMerge w:val="continue"/>
            <w:vAlign w:val="center"/>
          </w:tcPr>
          <w:p w14:paraId="206FDC0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61BC0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407B6AA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w:t>
            </w:r>
          </w:p>
        </w:tc>
        <w:tc>
          <w:tcPr>
            <w:tcW w:w="3205" w:type="dxa"/>
            <w:vAlign w:val="center"/>
          </w:tcPr>
          <w:p w14:paraId="2C75AC7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嗅和味</w:t>
            </w:r>
          </w:p>
        </w:tc>
        <w:tc>
          <w:tcPr>
            <w:tcW w:w="3164" w:type="dxa"/>
            <w:vAlign w:val="center"/>
          </w:tcPr>
          <w:p w14:paraId="031EE9F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无</w:t>
            </w:r>
          </w:p>
        </w:tc>
        <w:tc>
          <w:tcPr>
            <w:tcW w:w="1936" w:type="dxa"/>
            <w:vMerge w:val="continue"/>
            <w:vAlign w:val="center"/>
          </w:tcPr>
          <w:p w14:paraId="75DDEAC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38784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2D53C91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w:t>
            </w:r>
          </w:p>
        </w:tc>
        <w:tc>
          <w:tcPr>
            <w:tcW w:w="3205" w:type="dxa"/>
            <w:vAlign w:val="center"/>
          </w:tcPr>
          <w:p w14:paraId="1F64D78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浑浊度</w:t>
            </w:r>
          </w:p>
        </w:tc>
        <w:tc>
          <w:tcPr>
            <w:tcW w:w="3164" w:type="dxa"/>
            <w:vAlign w:val="center"/>
          </w:tcPr>
          <w:p w14:paraId="522E11D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1936" w:type="dxa"/>
            <w:vMerge w:val="continue"/>
            <w:vAlign w:val="center"/>
          </w:tcPr>
          <w:p w14:paraId="2543D97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0D468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6AE0B2F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4</w:t>
            </w:r>
          </w:p>
        </w:tc>
        <w:tc>
          <w:tcPr>
            <w:tcW w:w="3205" w:type="dxa"/>
            <w:vAlign w:val="center"/>
          </w:tcPr>
          <w:p w14:paraId="54C6FF7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肉眼可见物</w:t>
            </w:r>
          </w:p>
        </w:tc>
        <w:tc>
          <w:tcPr>
            <w:tcW w:w="3164" w:type="dxa"/>
            <w:vAlign w:val="center"/>
          </w:tcPr>
          <w:p w14:paraId="2376CED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w:t>
            </w:r>
          </w:p>
        </w:tc>
        <w:tc>
          <w:tcPr>
            <w:tcW w:w="1936" w:type="dxa"/>
            <w:vMerge w:val="continue"/>
            <w:vAlign w:val="center"/>
          </w:tcPr>
          <w:p w14:paraId="166A820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42B5C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76AF9B6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5</w:t>
            </w:r>
          </w:p>
        </w:tc>
        <w:tc>
          <w:tcPr>
            <w:tcW w:w="3205" w:type="dxa"/>
            <w:vAlign w:val="center"/>
          </w:tcPr>
          <w:p w14:paraId="486A357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pH</w:t>
            </w:r>
          </w:p>
        </w:tc>
        <w:tc>
          <w:tcPr>
            <w:tcW w:w="3164" w:type="dxa"/>
            <w:vAlign w:val="center"/>
          </w:tcPr>
          <w:p w14:paraId="27B2097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6.5-8.5</w:t>
            </w:r>
          </w:p>
        </w:tc>
        <w:tc>
          <w:tcPr>
            <w:tcW w:w="1936" w:type="dxa"/>
            <w:vMerge w:val="continue"/>
            <w:vAlign w:val="center"/>
          </w:tcPr>
          <w:p w14:paraId="20D0AC6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5364E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4D17AB1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6</w:t>
            </w:r>
          </w:p>
        </w:tc>
        <w:tc>
          <w:tcPr>
            <w:tcW w:w="3205" w:type="dxa"/>
            <w:vAlign w:val="center"/>
          </w:tcPr>
          <w:p w14:paraId="405D855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总硬度</w:t>
            </w:r>
          </w:p>
        </w:tc>
        <w:tc>
          <w:tcPr>
            <w:tcW w:w="3164" w:type="dxa"/>
            <w:vAlign w:val="center"/>
          </w:tcPr>
          <w:p w14:paraId="0369AD3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450</w:t>
            </w:r>
          </w:p>
        </w:tc>
        <w:tc>
          <w:tcPr>
            <w:tcW w:w="1936" w:type="dxa"/>
            <w:vMerge w:val="continue"/>
            <w:vAlign w:val="center"/>
          </w:tcPr>
          <w:p w14:paraId="06DEDF4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64FE5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70D0157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7</w:t>
            </w:r>
          </w:p>
        </w:tc>
        <w:tc>
          <w:tcPr>
            <w:tcW w:w="3205" w:type="dxa"/>
            <w:vAlign w:val="center"/>
          </w:tcPr>
          <w:p w14:paraId="387E41A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溶解性总固体</w:t>
            </w:r>
          </w:p>
        </w:tc>
        <w:tc>
          <w:tcPr>
            <w:tcW w:w="3164" w:type="dxa"/>
            <w:vAlign w:val="center"/>
          </w:tcPr>
          <w:p w14:paraId="120F7F7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1000</w:t>
            </w:r>
          </w:p>
        </w:tc>
        <w:tc>
          <w:tcPr>
            <w:tcW w:w="1936" w:type="dxa"/>
            <w:vMerge w:val="continue"/>
            <w:vAlign w:val="center"/>
          </w:tcPr>
          <w:p w14:paraId="260BF1B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1ADD2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2683525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8</w:t>
            </w:r>
          </w:p>
        </w:tc>
        <w:tc>
          <w:tcPr>
            <w:tcW w:w="3205" w:type="dxa"/>
            <w:vAlign w:val="center"/>
          </w:tcPr>
          <w:p w14:paraId="07BB937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硫酸盐</w:t>
            </w:r>
          </w:p>
        </w:tc>
        <w:tc>
          <w:tcPr>
            <w:tcW w:w="3164" w:type="dxa"/>
            <w:vAlign w:val="center"/>
          </w:tcPr>
          <w:p w14:paraId="38D9E3E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250</w:t>
            </w:r>
          </w:p>
        </w:tc>
        <w:tc>
          <w:tcPr>
            <w:tcW w:w="1936" w:type="dxa"/>
            <w:vMerge w:val="continue"/>
            <w:vAlign w:val="center"/>
          </w:tcPr>
          <w:p w14:paraId="2777D2C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6B9BF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3BFB595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9</w:t>
            </w:r>
          </w:p>
        </w:tc>
        <w:tc>
          <w:tcPr>
            <w:tcW w:w="3205" w:type="dxa"/>
            <w:vAlign w:val="center"/>
          </w:tcPr>
          <w:p w14:paraId="4B19841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氯化物</w:t>
            </w:r>
          </w:p>
        </w:tc>
        <w:tc>
          <w:tcPr>
            <w:tcW w:w="3164" w:type="dxa"/>
            <w:vAlign w:val="center"/>
          </w:tcPr>
          <w:p w14:paraId="74F982D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250</w:t>
            </w:r>
          </w:p>
        </w:tc>
        <w:tc>
          <w:tcPr>
            <w:tcW w:w="1936" w:type="dxa"/>
            <w:vMerge w:val="continue"/>
            <w:vAlign w:val="center"/>
          </w:tcPr>
          <w:p w14:paraId="05FDF78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0983F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2900240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10</w:t>
            </w:r>
          </w:p>
        </w:tc>
        <w:tc>
          <w:tcPr>
            <w:tcW w:w="3205" w:type="dxa"/>
            <w:vAlign w:val="center"/>
          </w:tcPr>
          <w:p w14:paraId="0749945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铁</w:t>
            </w:r>
          </w:p>
        </w:tc>
        <w:tc>
          <w:tcPr>
            <w:tcW w:w="3164" w:type="dxa"/>
            <w:vAlign w:val="center"/>
          </w:tcPr>
          <w:p w14:paraId="4D2388E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0.3</w:t>
            </w:r>
          </w:p>
        </w:tc>
        <w:tc>
          <w:tcPr>
            <w:tcW w:w="1936" w:type="dxa"/>
            <w:vMerge w:val="continue"/>
            <w:vAlign w:val="center"/>
          </w:tcPr>
          <w:p w14:paraId="01C74CE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0915E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2B1F266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11</w:t>
            </w:r>
          </w:p>
        </w:tc>
        <w:tc>
          <w:tcPr>
            <w:tcW w:w="3205" w:type="dxa"/>
            <w:vAlign w:val="center"/>
          </w:tcPr>
          <w:p w14:paraId="0359D7C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锰</w:t>
            </w:r>
          </w:p>
        </w:tc>
        <w:tc>
          <w:tcPr>
            <w:tcW w:w="3164" w:type="dxa"/>
            <w:vAlign w:val="center"/>
          </w:tcPr>
          <w:p w14:paraId="6E6394B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0.10</w:t>
            </w:r>
          </w:p>
        </w:tc>
        <w:tc>
          <w:tcPr>
            <w:tcW w:w="1936" w:type="dxa"/>
            <w:vMerge w:val="continue"/>
            <w:vAlign w:val="center"/>
          </w:tcPr>
          <w:p w14:paraId="28B4202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07CBD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7021C7E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12</w:t>
            </w:r>
          </w:p>
        </w:tc>
        <w:tc>
          <w:tcPr>
            <w:tcW w:w="3205" w:type="dxa"/>
            <w:vAlign w:val="center"/>
          </w:tcPr>
          <w:p w14:paraId="12138A0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铜</w:t>
            </w:r>
          </w:p>
        </w:tc>
        <w:tc>
          <w:tcPr>
            <w:tcW w:w="3164" w:type="dxa"/>
            <w:vAlign w:val="center"/>
          </w:tcPr>
          <w:p w14:paraId="414E5CD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1936" w:type="dxa"/>
            <w:vMerge w:val="continue"/>
            <w:vAlign w:val="center"/>
          </w:tcPr>
          <w:p w14:paraId="5C3A838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6437DD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608B533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13</w:t>
            </w:r>
          </w:p>
        </w:tc>
        <w:tc>
          <w:tcPr>
            <w:tcW w:w="3205" w:type="dxa"/>
            <w:vAlign w:val="center"/>
          </w:tcPr>
          <w:p w14:paraId="15FE00F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锌</w:t>
            </w:r>
          </w:p>
        </w:tc>
        <w:tc>
          <w:tcPr>
            <w:tcW w:w="3164" w:type="dxa"/>
            <w:vAlign w:val="center"/>
          </w:tcPr>
          <w:p w14:paraId="6EE343E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936" w:type="dxa"/>
            <w:vMerge w:val="continue"/>
            <w:vAlign w:val="center"/>
          </w:tcPr>
          <w:p w14:paraId="5F1F87A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61883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1CFBE80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14</w:t>
            </w:r>
          </w:p>
        </w:tc>
        <w:tc>
          <w:tcPr>
            <w:tcW w:w="3205" w:type="dxa"/>
            <w:vAlign w:val="center"/>
          </w:tcPr>
          <w:p w14:paraId="2FE18B8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铝</w:t>
            </w:r>
          </w:p>
        </w:tc>
        <w:tc>
          <w:tcPr>
            <w:tcW w:w="3164" w:type="dxa"/>
            <w:vAlign w:val="center"/>
          </w:tcPr>
          <w:p w14:paraId="586DF76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w:t>
            </w:r>
          </w:p>
        </w:tc>
        <w:tc>
          <w:tcPr>
            <w:tcW w:w="1936" w:type="dxa"/>
            <w:vMerge w:val="continue"/>
            <w:vAlign w:val="center"/>
          </w:tcPr>
          <w:p w14:paraId="26718C1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1F4FE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04501DD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15</w:t>
            </w:r>
          </w:p>
        </w:tc>
        <w:tc>
          <w:tcPr>
            <w:tcW w:w="3205" w:type="dxa"/>
            <w:vAlign w:val="center"/>
          </w:tcPr>
          <w:p w14:paraId="521DEA6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挥发性酚类</w:t>
            </w:r>
          </w:p>
        </w:tc>
        <w:tc>
          <w:tcPr>
            <w:tcW w:w="3164" w:type="dxa"/>
            <w:vAlign w:val="center"/>
          </w:tcPr>
          <w:p w14:paraId="300099A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0.002</w:t>
            </w:r>
          </w:p>
        </w:tc>
        <w:tc>
          <w:tcPr>
            <w:tcW w:w="1936" w:type="dxa"/>
            <w:vMerge w:val="continue"/>
            <w:vAlign w:val="center"/>
          </w:tcPr>
          <w:p w14:paraId="73AC5C8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33AFC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6930097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16</w:t>
            </w:r>
          </w:p>
        </w:tc>
        <w:tc>
          <w:tcPr>
            <w:tcW w:w="3205" w:type="dxa"/>
            <w:vAlign w:val="center"/>
          </w:tcPr>
          <w:p w14:paraId="68E0E27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阴离子表面活性剂</w:t>
            </w:r>
          </w:p>
        </w:tc>
        <w:tc>
          <w:tcPr>
            <w:tcW w:w="3164" w:type="dxa"/>
            <w:vAlign w:val="center"/>
          </w:tcPr>
          <w:p w14:paraId="49CAB84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0.3</w:t>
            </w:r>
          </w:p>
        </w:tc>
        <w:tc>
          <w:tcPr>
            <w:tcW w:w="1936" w:type="dxa"/>
            <w:vMerge w:val="continue"/>
            <w:vAlign w:val="center"/>
          </w:tcPr>
          <w:p w14:paraId="45E3AEB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0BAF5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62CBC94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17</w:t>
            </w:r>
          </w:p>
        </w:tc>
        <w:tc>
          <w:tcPr>
            <w:tcW w:w="3205" w:type="dxa"/>
            <w:vAlign w:val="center"/>
          </w:tcPr>
          <w:p w14:paraId="2B17450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耗氧量</w:t>
            </w:r>
          </w:p>
        </w:tc>
        <w:tc>
          <w:tcPr>
            <w:tcW w:w="3164" w:type="dxa"/>
            <w:vAlign w:val="center"/>
          </w:tcPr>
          <w:p w14:paraId="03FE402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3.0</w:t>
            </w:r>
          </w:p>
        </w:tc>
        <w:tc>
          <w:tcPr>
            <w:tcW w:w="1936" w:type="dxa"/>
            <w:vMerge w:val="continue"/>
            <w:vAlign w:val="center"/>
          </w:tcPr>
          <w:p w14:paraId="5E66F13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6AF80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101B668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18</w:t>
            </w:r>
          </w:p>
        </w:tc>
        <w:tc>
          <w:tcPr>
            <w:tcW w:w="3205" w:type="dxa"/>
            <w:vAlign w:val="center"/>
          </w:tcPr>
          <w:p w14:paraId="52DDFA2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氨氮</w:t>
            </w:r>
          </w:p>
        </w:tc>
        <w:tc>
          <w:tcPr>
            <w:tcW w:w="3164" w:type="dxa"/>
            <w:vAlign w:val="center"/>
          </w:tcPr>
          <w:p w14:paraId="6D2079C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GB"/>
              </w:rPr>
              <w:t>0.5</w:t>
            </w:r>
          </w:p>
        </w:tc>
        <w:tc>
          <w:tcPr>
            <w:tcW w:w="1936" w:type="dxa"/>
            <w:vMerge w:val="continue"/>
            <w:vAlign w:val="center"/>
          </w:tcPr>
          <w:p w14:paraId="74B280A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53EEB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0F09D52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19</w:t>
            </w:r>
          </w:p>
        </w:tc>
        <w:tc>
          <w:tcPr>
            <w:tcW w:w="3205" w:type="dxa"/>
            <w:vAlign w:val="center"/>
          </w:tcPr>
          <w:p w14:paraId="286E104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硫化物</w:t>
            </w:r>
          </w:p>
        </w:tc>
        <w:tc>
          <w:tcPr>
            <w:tcW w:w="3164" w:type="dxa"/>
            <w:vAlign w:val="center"/>
          </w:tcPr>
          <w:p w14:paraId="438683E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0.02</w:t>
            </w:r>
          </w:p>
        </w:tc>
        <w:tc>
          <w:tcPr>
            <w:tcW w:w="1936" w:type="dxa"/>
            <w:vMerge w:val="continue"/>
            <w:vAlign w:val="center"/>
          </w:tcPr>
          <w:p w14:paraId="4F86E37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491AE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22DE073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20</w:t>
            </w:r>
          </w:p>
        </w:tc>
        <w:tc>
          <w:tcPr>
            <w:tcW w:w="3205" w:type="dxa"/>
            <w:vAlign w:val="center"/>
          </w:tcPr>
          <w:p w14:paraId="3E61DF8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钠</w:t>
            </w:r>
          </w:p>
        </w:tc>
        <w:tc>
          <w:tcPr>
            <w:tcW w:w="3164" w:type="dxa"/>
            <w:vAlign w:val="center"/>
          </w:tcPr>
          <w:p w14:paraId="348988B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200</w:t>
            </w:r>
          </w:p>
        </w:tc>
        <w:tc>
          <w:tcPr>
            <w:tcW w:w="1936" w:type="dxa"/>
            <w:vMerge w:val="continue"/>
            <w:vAlign w:val="center"/>
          </w:tcPr>
          <w:p w14:paraId="3C726CE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4CB2D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68" w:type="dxa"/>
            <w:gridSpan w:val="3"/>
            <w:vAlign w:val="center"/>
          </w:tcPr>
          <w:p w14:paraId="27A807C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微生物指标</w:t>
            </w:r>
          </w:p>
        </w:tc>
        <w:tc>
          <w:tcPr>
            <w:tcW w:w="1936" w:type="dxa"/>
            <w:vMerge w:val="continue"/>
            <w:vAlign w:val="center"/>
          </w:tcPr>
          <w:p w14:paraId="3C81A73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6BC4D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18818F2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21</w:t>
            </w:r>
          </w:p>
        </w:tc>
        <w:tc>
          <w:tcPr>
            <w:tcW w:w="3205" w:type="dxa"/>
            <w:vAlign w:val="center"/>
          </w:tcPr>
          <w:p w14:paraId="7D5B5BC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总大肠菌群</w:t>
            </w:r>
          </w:p>
        </w:tc>
        <w:tc>
          <w:tcPr>
            <w:tcW w:w="3164" w:type="dxa"/>
            <w:vAlign w:val="center"/>
          </w:tcPr>
          <w:p w14:paraId="27645C0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MPN</w:t>
            </w:r>
            <w:r>
              <w:rPr>
                <w:rFonts w:hint="default" w:ascii="Times New Roman" w:hAnsi="Times New Roman" w:eastAsia="宋体" w:cs="Times New Roman"/>
                <w:color w:val="auto"/>
                <w:sz w:val="21"/>
                <w:szCs w:val="21"/>
                <w:highlight w:val="none"/>
                <w:vertAlign w:val="superscript"/>
              </w:rPr>
              <w:t>b</w:t>
            </w:r>
            <w:r>
              <w:rPr>
                <w:rFonts w:hint="default" w:ascii="Times New Roman" w:hAnsi="Times New Roman" w:eastAsia="宋体" w:cs="Times New Roman"/>
                <w:color w:val="auto"/>
                <w:sz w:val="21"/>
                <w:szCs w:val="21"/>
                <w:highlight w:val="none"/>
              </w:rPr>
              <w:t>/100ml</w:t>
            </w:r>
            <w:r>
              <w:rPr>
                <w:rFonts w:hint="default" w:ascii="Times New Roman" w:hAnsi="Times New Roman" w:eastAsia="宋体" w:cs="Times New Roman"/>
                <w:color w:val="auto"/>
                <w:sz w:val="21"/>
                <w:szCs w:val="21"/>
                <w:highlight w:val="none"/>
                <w:lang w:eastAsia="zh-CN"/>
              </w:rPr>
              <w:t>）</w:t>
            </w:r>
          </w:p>
        </w:tc>
        <w:tc>
          <w:tcPr>
            <w:tcW w:w="1936" w:type="dxa"/>
            <w:vMerge w:val="continue"/>
            <w:vAlign w:val="center"/>
          </w:tcPr>
          <w:p w14:paraId="158D38C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74BC1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4FA541B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22</w:t>
            </w:r>
          </w:p>
        </w:tc>
        <w:tc>
          <w:tcPr>
            <w:tcW w:w="3205" w:type="dxa"/>
            <w:vAlign w:val="center"/>
          </w:tcPr>
          <w:p w14:paraId="304F1F2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菌落总数</w:t>
            </w:r>
          </w:p>
        </w:tc>
        <w:tc>
          <w:tcPr>
            <w:tcW w:w="3164" w:type="dxa"/>
            <w:vAlign w:val="center"/>
          </w:tcPr>
          <w:p w14:paraId="6E90551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100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CFU/ml</w:t>
            </w:r>
            <w:r>
              <w:rPr>
                <w:rFonts w:hint="default" w:ascii="Times New Roman" w:hAnsi="Times New Roman" w:eastAsia="宋体" w:cs="Times New Roman"/>
                <w:color w:val="auto"/>
                <w:sz w:val="21"/>
                <w:szCs w:val="21"/>
                <w:highlight w:val="none"/>
                <w:lang w:eastAsia="zh-CN"/>
              </w:rPr>
              <w:t>）</w:t>
            </w:r>
          </w:p>
        </w:tc>
        <w:tc>
          <w:tcPr>
            <w:tcW w:w="1936" w:type="dxa"/>
            <w:vMerge w:val="continue"/>
            <w:vAlign w:val="center"/>
          </w:tcPr>
          <w:p w14:paraId="0118FD9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72EA2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68" w:type="dxa"/>
            <w:gridSpan w:val="3"/>
            <w:vAlign w:val="center"/>
          </w:tcPr>
          <w:p w14:paraId="09E6956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毒理学指标</w:t>
            </w:r>
          </w:p>
        </w:tc>
        <w:tc>
          <w:tcPr>
            <w:tcW w:w="1936" w:type="dxa"/>
            <w:vMerge w:val="continue"/>
            <w:vAlign w:val="center"/>
          </w:tcPr>
          <w:p w14:paraId="754596A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07E70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55DDDA6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23</w:t>
            </w:r>
          </w:p>
        </w:tc>
        <w:tc>
          <w:tcPr>
            <w:tcW w:w="3205" w:type="dxa"/>
            <w:vAlign w:val="center"/>
          </w:tcPr>
          <w:p w14:paraId="2E5EF89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亚硝酸盐（以氮计）</w:t>
            </w:r>
          </w:p>
        </w:tc>
        <w:tc>
          <w:tcPr>
            <w:tcW w:w="3164" w:type="dxa"/>
            <w:vAlign w:val="center"/>
          </w:tcPr>
          <w:p w14:paraId="147B650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1.0</w:t>
            </w:r>
          </w:p>
        </w:tc>
        <w:tc>
          <w:tcPr>
            <w:tcW w:w="1936" w:type="dxa"/>
            <w:vMerge w:val="continue"/>
            <w:vAlign w:val="center"/>
          </w:tcPr>
          <w:p w14:paraId="64DBE34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51E83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181BA48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w:t>
            </w:r>
          </w:p>
        </w:tc>
        <w:tc>
          <w:tcPr>
            <w:tcW w:w="3205" w:type="dxa"/>
            <w:vAlign w:val="center"/>
          </w:tcPr>
          <w:p w14:paraId="7A847C1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硝酸盐（以氮计）</w:t>
            </w:r>
          </w:p>
        </w:tc>
        <w:tc>
          <w:tcPr>
            <w:tcW w:w="3164" w:type="dxa"/>
            <w:vAlign w:val="center"/>
          </w:tcPr>
          <w:p w14:paraId="4C3C311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20</w:t>
            </w:r>
          </w:p>
        </w:tc>
        <w:tc>
          <w:tcPr>
            <w:tcW w:w="1936" w:type="dxa"/>
            <w:vMerge w:val="continue"/>
            <w:vAlign w:val="center"/>
          </w:tcPr>
          <w:p w14:paraId="1149101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6A897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477AB5A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w:t>
            </w:r>
          </w:p>
        </w:tc>
        <w:tc>
          <w:tcPr>
            <w:tcW w:w="3205" w:type="dxa"/>
            <w:vAlign w:val="center"/>
          </w:tcPr>
          <w:p w14:paraId="12168DF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氰化物</w:t>
            </w:r>
          </w:p>
        </w:tc>
        <w:tc>
          <w:tcPr>
            <w:tcW w:w="3164" w:type="dxa"/>
            <w:vAlign w:val="center"/>
          </w:tcPr>
          <w:p w14:paraId="5D38197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0.05</w:t>
            </w:r>
          </w:p>
        </w:tc>
        <w:tc>
          <w:tcPr>
            <w:tcW w:w="1936" w:type="dxa"/>
            <w:vMerge w:val="continue"/>
            <w:vAlign w:val="center"/>
          </w:tcPr>
          <w:p w14:paraId="1BDE5FD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4CED3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7EE5634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26</w:t>
            </w:r>
          </w:p>
        </w:tc>
        <w:tc>
          <w:tcPr>
            <w:tcW w:w="3205" w:type="dxa"/>
            <w:vAlign w:val="center"/>
          </w:tcPr>
          <w:p w14:paraId="7F3B242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氟化物</w:t>
            </w:r>
          </w:p>
        </w:tc>
        <w:tc>
          <w:tcPr>
            <w:tcW w:w="3164" w:type="dxa"/>
            <w:vAlign w:val="center"/>
          </w:tcPr>
          <w:p w14:paraId="2A12ABF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1936" w:type="dxa"/>
            <w:vMerge w:val="continue"/>
            <w:vAlign w:val="center"/>
          </w:tcPr>
          <w:p w14:paraId="3407F66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464E6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33C7B5A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27</w:t>
            </w:r>
          </w:p>
        </w:tc>
        <w:tc>
          <w:tcPr>
            <w:tcW w:w="3205" w:type="dxa"/>
            <w:vAlign w:val="center"/>
          </w:tcPr>
          <w:p w14:paraId="647DBAC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碘化物</w:t>
            </w:r>
          </w:p>
        </w:tc>
        <w:tc>
          <w:tcPr>
            <w:tcW w:w="3164" w:type="dxa"/>
            <w:vAlign w:val="center"/>
          </w:tcPr>
          <w:p w14:paraId="128E15C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0.08</w:t>
            </w:r>
          </w:p>
        </w:tc>
        <w:tc>
          <w:tcPr>
            <w:tcW w:w="1936" w:type="dxa"/>
            <w:vMerge w:val="continue"/>
            <w:vAlign w:val="center"/>
          </w:tcPr>
          <w:p w14:paraId="1997626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50FDD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5EA5654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28</w:t>
            </w:r>
          </w:p>
        </w:tc>
        <w:tc>
          <w:tcPr>
            <w:tcW w:w="3205" w:type="dxa"/>
            <w:vAlign w:val="center"/>
          </w:tcPr>
          <w:p w14:paraId="2315703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汞</w:t>
            </w:r>
          </w:p>
        </w:tc>
        <w:tc>
          <w:tcPr>
            <w:tcW w:w="3164" w:type="dxa"/>
            <w:vAlign w:val="center"/>
          </w:tcPr>
          <w:p w14:paraId="7B65433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0.001</w:t>
            </w:r>
          </w:p>
        </w:tc>
        <w:tc>
          <w:tcPr>
            <w:tcW w:w="1936" w:type="dxa"/>
            <w:vMerge w:val="continue"/>
            <w:vAlign w:val="center"/>
          </w:tcPr>
          <w:p w14:paraId="32E90ED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5DD7C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5A2546E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29</w:t>
            </w:r>
          </w:p>
        </w:tc>
        <w:tc>
          <w:tcPr>
            <w:tcW w:w="3205" w:type="dxa"/>
            <w:vAlign w:val="center"/>
          </w:tcPr>
          <w:p w14:paraId="1593580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砷</w:t>
            </w:r>
          </w:p>
        </w:tc>
        <w:tc>
          <w:tcPr>
            <w:tcW w:w="3164" w:type="dxa"/>
            <w:vAlign w:val="center"/>
          </w:tcPr>
          <w:p w14:paraId="31C13CF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0.01</w:t>
            </w:r>
          </w:p>
        </w:tc>
        <w:tc>
          <w:tcPr>
            <w:tcW w:w="1936" w:type="dxa"/>
            <w:vMerge w:val="continue"/>
            <w:vAlign w:val="center"/>
          </w:tcPr>
          <w:p w14:paraId="2E62296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35965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04DB0BB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w:t>
            </w:r>
          </w:p>
        </w:tc>
        <w:tc>
          <w:tcPr>
            <w:tcW w:w="3205" w:type="dxa"/>
            <w:vAlign w:val="center"/>
          </w:tcPr>
          <w:p w14:paraId="5E20222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硒</w:t>
            </w:r>
          </w:p>
        </w:tc>
        <w:tc>
          <w:tcPr>
            <w:tcW w:w="3164" w:type="dxa"/>
            <w:vAlign w:val="center"/>
          </w:tcPr>
          <w:p w14:paraId="15DBE3A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0.01</w:t>
            </w:r>
          </w:p>
        </w:tc>
        <w:tc>
          <w:tcPr>
            <w:tcW w:w="1936" w:type="dxa"/>
            <w:vMerge w:val="continue"/>
            <w:vAlign w:val="center"/>
          </w:tcPr>
          <w:p w14:paraId="2B61BF5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2D93B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298E571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31</w:t>
            </w:r>
          </w:p>
        </w:tc>
        <w:tc>
          <w:tcPr>
            <w:tcW w:w="3205" w:type="dxa"/>
            <w:vAlign w:val="center"/>
          </w:tcPr>
          <w:p w14:paraId="36803FA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镉</w:t>
            </w:r>
          </w:p>
        </w:tc>
        <w:tc>
          <w:tcPr>
            <w:tcW w:w="3164" w:type="dxa"/>
            <w:vAlign w:val="center"/>
          </w:tcPr>
          <w:p w14:paraId="67237C1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0.005</w:t>
            </w:r>
          </w:p>
        </w:tc>
        <w:tc>
          <w:tcPr>
            <w:tcW w:w="1936" w:type="dxa"/>
            <w:vMerge w:val="continue"/>
            <w:vAlign w:val="center"/>
          </w:tcPr>
          <w:p w14:paraId="3774F17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08E27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2F7D85C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32</w:t>
            </w:r>
          </w:p>
        </w:tc>
        <w:tc>
          <w:tcPr>
            <w:tcW w:w="3205" w:type="dxa"/>
            <w:vAlign w:val="center"/>
          </w:tcPr>
          <w:p w14:paraId="5999D53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铬</w:t>
            </w:r>
            <w:r>
              <w:rPr>
                <w:rFonts w:hint="default" w:ascii="Times New Roman" w:hAnsi="Times New Roman" w:eastAsia="宋体" w:cs="Times New Roman"/>
                <w:color w:val="auto"/>
                <w:sz w:val="21"/>
                <w:szCs w:val="21"/>
                <w:highlight w:val="none"/>
                <w:lang w:eastAsia="zh-CN"/>
              </w:rPr>
              <w:t>（六价）</w:t>
            </w:r>
          </w:p>
        </w:tc>
        <w:tc>
          <w:tcPr>
            <w:tcW w:w="3164" w:type="dxa"/>
            <w:vAlign w:val="center"/>
          </w:tcPr>
          <w:p w14:paraId="42BB2D5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0.05</w:t>
            </w:r>
          </w:p>
        </w:tc>
        <w:tc>
          <w:tcPr>
            <w:tcW w:w="1936" w:type="dxa"/>
            <w:vMerge w:val="continue"/>
            <w:vAlign w:val="center"/>
          </w:tcPr>
          <w:p w14:paraId="31D2300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2DCB50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6615729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33</w:t>
            </w:r>
          </w:p>
        </w:tc>
        <w:tc>
          <w:tcPr>
            <w:tcW w:w="3205" w:type="dxa"/>
            <w:vAlign w:val="center"/>
          </w:tcPr>
          <w:p w14:paraId="10944B5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铅</w:t>
            </w:r>
          </w:p>
        </w:tc>
        <w:tc>
          <w:tcPr>
            <w:tcW w:w="3164" w:type="dxa"/>
            <w:vAlign w:val="center"/>
          </w:tcPr>
          <w:p w14:paraId="027801D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0.01</w:t>
            </w:r>
          </w:p>
        </w:tc>
        <w:tc>
          <w:tcPr>
            <w:tcW w:w="1936" w:type="dxa"/>
            <w:vMerge w:val="continue"/>
            <w:vAlign w:val="center"/>
          </w:tcPr>
          <w:p w14:paraId="5A61BFA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65ABA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6825E89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34</w:t>
            </w:r>
          </w:p>
        </w:tc>
        <w:tc>
          <w:tcPr>
            <w:tcW w:w="3205" w:type="dxa"/>
            <w:vAlign w:val="center"/>
          </w:tcPr>
          <w:p w14:paraId="3B23C02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K</w:t>
            </w:r>
            <w:r>
              <w:rPr>
                <w:rFonts w:hint="default" w:ascii="Times New Roman" w:hAnsi="Times New Roman" w:eastAsia="宋体" w:cs="Times New Roman"/>
                <w:color w:val="auto"/>
                <w:sz w:val="21"/>
                <w:szCs w:val="21"/>
                <w:highlight w:val="none"/>
                <w:vertAlign w:val="superscript"/>
              </w:rPr>
              <w:t>+</w:t>
            </w:r>
          </w:p>
        </w:tc>
        <w:tc>
          <w:tcPr>
            <w:tcW w:w="3164" w:type="dxa"/>
            <w:vAlign w:val="center"/>
          </w:tcPr>
          <w:p w14:paraId="2671D59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936" w:type="dxa"/>
            <w:vMerge w:val="continue"/>
            <w:vAlign w:val="center"/>
          </w:tcPr>
          <w:p w14:paraId="3E77D7E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79348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222C57C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w:t>
            </w:r>
          </w:p>
        </w:tc>
        <w:tc>
          <w:tcPr>
            <w:tcW w:w="3205" w:type="dxa"/>
            <w:vAlign w:val="center"/>
          </w:tcPr>
          <w:p w14:paraId="1A50458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Na</w:t>
            </w:r>
            <w:r>
              <w:rPr>
                <w:rFonts w:hint="default" w:ascii="Times New Roman" w:hAnsi="Times New Roman" w:eastAsia="宋体" w:cs="Times New Roman"/>
                <w:color w:val="auto"/>
                <w:sz w:val="21"/>
                <w:szCs w:val="21"/>
                <w:highlight w:val="none"/>
                <w:vertAlign w:val="superscript"/>
              </w:rPr>
              <w:t>+</w:t>
            </w:r>
          </w:p>
        </w:tc>
        <w:tc>
          <w:tcPr>
            <w:tcW w:w="3164" w:type="dxa"/>
            <w:vAlign w:val="center"/>
          </w:tcPr>
          <w:p w14:paraId="403230C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936" w:type="dxa"/>
            <w:vMerge w:val="continue"/>
            <w:vAlign w:val="center"/>
          </w:tcPr>
          <w:p w14:paraId="0DD5CCC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4945A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14F5757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36</w:t>
            </w:r>
          </w:p>
        </w:tc>
        <w:tc>
          <w:tcPr>
            <w:tcW w:w="3205" w:type="dxa"/>
            <w:vAlign w:val="center"/>
          </w:tcPr>
          <w:p w14:paraId="237785D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Ca</w:t>
            </w:r>
            <w:r>
              <w:rPr>
                <w:rFonts w:hint="default" w:ascii="Times New Roman" w:hAnsi="Times New Roman" w:eastAsia="宋体" w:cs="Times New Roman"/>
                <w:color w:val="auto"/>
                <w:sz w:val="21"/>
                <w:szCs w:val="21"/>
                <w:highlight w:val="none"/>
                <w:vertAlign w:val="superscript"/>
              </w:rPr>
              <w:t>2+</w:t>
            </w:r>
          </w:p>
        </w:tc>
        <w:tc>
          <w:tcPr>
            <w:tcW w:w="3164" w:type="dxa"/>
            <w:vAlign w:val="center"/>
          </w:tcPr>
          <w:p w14:paraId="21C4104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936" w:type="dxa"/>
            <w:vMerge w:val="continue"/>
            <w:vAlign w:val="center"/>
          </w:tcPr>
          <w:p w14:paraId="4510BBC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2FACA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6E3BF3F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37</w:t>
            </w:r>
          </w:p>
        </w:tc>
        <w:tc>
          <w:tcPr>
            <w:tcW w:w="3205" w:type="dxa"/>
            <w:vAlign w:val="center"/>
          </w:tcPr>
          <w:p w14:paraId="568E771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z w:val="21"/>
                <w:szCs w:val="21"/>
                <w:highlight w:val="none"/>
                <w:vertAlign w:val="superscript"/>
              </w:rPr>
              <w:t>2+</w:t>
            </w:r>
          </w:p>
        </w:tc>
        <w:tc>
          <w:tcPr>
            <w:tcW w:w="3164" w:type="dxa"/>
            <w:vAlign w:val="center"/>
          </w:tcPr>
          <w:p w14:paraId="70A9324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936" w:type="dxa"/>
            <w:vMerge w:val="continue"/>
            <w:vAlign w:val="center"/>
          </w:tcPr>
          <w:p w14:paraId="4C042B2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1FE63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7E81D6C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38</w:t>
            </w:r>
          </w:p>
        </w:tc>
        <w:tc>
          <w:tcPr>
            <w:tcW w:w="3205" w:type="dxa"/>
            <w:vAlign w:val="center"/>
          </w:tcPr>
          <w:p w14:paraId="5B7105A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Cl</w:t>
            </w:r>
            <w:r>
              <w:rPr>
                <w:rFonts w:hint="default" w:ascii="Times New Roman" w:hAnsi="Times New Roman" w:eastAsia="宋体" w:cs="Times New Roman"/>
                <w:color w:val="auto"/>
                <w:sz w:val="21"/>
                <w:szCs w:val="21"/>
                <w:highlight w:val="none"/>
                <w:vertAlign w:val="superscript"/>
              </w:rPr>
              <w:t>-</w:t>
            </w:r>
          </w:p>
        </w:tc>
        <w:tc>
          <w:tcPr>
            <w:tcW w:w="3164" w:type="dxa"/>
            <w:vAlign w:val="center"/>
          </w:tcPr>
          <w:p w14:paraId="6C662DB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936" w:type="dxa"/>
            <w:vMerge w:val="continue"/>
            <w:vAlign w:val="center"/>
          </w:tcPr>
          <w:p w14:paraId="23123E9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2DC8C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05ACB3C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39</w:t>
            </w:r>
          </w:p>
        </w:tc>
        <w:tc>
          <w:tcPr>
            <w:tcW w:w="3205" w:type="dxa"/>
            <w:vAlign w:val="center"/>
          </w:tcPr>
          <w:p w14:paraId="274AE66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rPr>
              <w:t>SO</w:t>
            </w:r>
            <w:r>
              <w:rPr>
                <w:rFonts w:hint="default" w:ascii="Times New Roman" w:hAnsi="Times New Roman" w:eastAsia="宋体" w:cs="Times New Roman"/>
                <w:color w:val="auto"/>
                <w:sz w:val="21"/>
                <w:szCs w:val="21"/>
                <w:highlight w:val="none"/>
                <w:vertAlign w:val="subscript"/>
                <w:lang w:val="en-US"/>
              </w:rPr>
              <w:t>4</w:t>
            </w:r>
            <w:r>
              <w:rPr>
                <w:rFonts w:hint="default" w:ascii="Times New Roman" w:hAnsi="Times New Roman" w:eastAsia="宋体" w:cs="Times New Roman"/>
                <w:color w:val="auto"/>
                <w:sz w:val="21"/>
                <w:szCs w:val="21"/>
                <w:highlight w:val="none"/>
                <w:vertAlign w:val="superscript"/>
                <w:lang w:val="en-US"/>
              </w:rPr>
              <w:t>2-</w:t>
            </w:r>
          </w:p>
        </w:tc>
        <w:tc>
          <w:tcPr>
            <w:tcW w:w="3164" w:type="dxa"/>
            <w:vAlign w:val="center"/>
          </w:tcPr>
          <w:p w14:paraId="2AB8300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936" w:type="dxa"/>
            <w:vMerge w:val="continue"/>
            <w:vAlign w:val="center"/>
          </w:tcPr>
          <w:p w14:paraId="13D1232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7F55F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629152F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w:t>
            </w:r>
          </w:p>
        </w:tc>
        <w:tc>
          <w:tcPr>
            <w:tcW w:w="3205" w:type="dxa"/>
            <w:vAlign w:val="center"/>
          </w:tcPr>
          <w:p w14:paraId="210071A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HCO</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vertAlign w:val="superscript"/>
                <w:lang w:val="en-US"/>
              </w:rPr>
              <w:t>-</w:t>
            </w:r>
          </w:p>
        </w:tc>
        <w:tc>
          <w:tcPr>
            <w:tcW w:w="3164" w:type="dxa"/>
            <w:vAlign w:val="center"/>
          </w:tcPr>
          <w:p w14:paraId="0E53EE8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936" w:type="dxa"/>
            <w:vMerge w:val="continue"/>
            <w:vAlign w:val="center"/>
          </w:tcPr>
          <w:p w14:paraId="49CBB82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5D193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9" w:type="dxa"/>
            <w:vAlign w:val="center"/>
          </w:tcPr>
          <w:p w14:paraId="2D05A57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41</w:t>
            </w:r>
          </w:p>
        </w:tc>
        <w:tc>
          <w:tcPr>
            <w:tcW w:w="3205" w:type="dxa"/>
            <w:vAlign w:val="center"/>
          </w:tcPr>
          <w:p w14:paraId="3B40A2C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CO</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vertAlign w:val="superscript"/>
                <w:lang w:val="en-US"/>
              </w:rPr>
              <w:t>2-</w:t>
            </w:r>
          </w:p>
        </w:tc>
        <w:tc>
          <w:tcPr>
            <w:tcW w:w="3164" w:type="dxa"/>
            <w:vAlign w:val="center"/>
          </w:tcPr>
          <w:p w14:paraId="6CFC9DF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936" w:type="dxa"/>
            <w:vMerge w:val="continue"/>
            <w:vAlign w:val="center"/>
          </w:tcPr>
          <w:p w14:paraId="13112B1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bl>
    <w:p w14:paraId="5A34E729">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2.4.4.3土壤质量</w:t>
      </w:r>
    </w:p>
    <w:p w14:paraId="0029E7C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eastAsia="zh-CN"/>
        </w:rPr>
        <w:t>区</w:t>
      </w:r>
      <w:r>
        <w:rPr>
          <w:rFonts w:hint="default" w:ascii="Times New Roman" w:hAnsi="Times New Roman" w:eastAsia="宋体" w:cs="Times New Roman"/>
          <w:color w:val="auto"/>
          <w:highlight w:val="none"/>
        </w:rPr>
        <w:t>土壤</w:t>
      </w:r>
      <w:r>
        <w:rPr>
          <w:rFonts w:hint="default" w:ascii="Times New Roman" w:hAnsi="Times New Roman" w:eastAsia="宋体" w:cs="Times New Roman"/>
          <w:color w:val="auto"/>
          <w:highlight w:val="none"/>
          <w:lang w:eastAsia="zh-CN"/>
        </w:rPr>
        <w:t>环境质量</w:t>
      </w:r>
      <w:r>
        <w:rPr>
          <w:rFonts w:hint="default" w:ascii="Times New Roman" w:hAnsi="Times New Roman" w:eastAsia="宋体" w:cs="Times New Roman"/>
          <w:color w:val="auto"/>
          <w:highlight w:val="none"/>
        </w:rPr>
        <w:t>执行</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土壤环境质量农用地土壤污染风险管控标准</w:t>
      </w:r>
      <w:r>
        <w:rPr>
          <w:rFonts w:hint="default" w:ascii="Times New Roman" w:hAnsi="Times New Roman" w:eastAsia="宋体" w:cs="Times New Roman"/>
          <w:color w:val="auto"/>
          <w:highlight w:val="none"/>
          <w:lang w:eastAsia="zh-CN"/>
        </w:rPr>
        <w:t>（试行）》（GB15618-2018）表1农用地土壤污染风险筛选值（基本项目）--“其他”标准</w:t>
      </w:r>
      <w:r>
        <w:rPr>
          <w:rFonts w:hint="default" w:ascii="Times New Roman" w:hAnsi="Times New Roman" w:eastAsia="宋体" w:cs="Times New Roman"/>
          <w:color w:val="auto"/>
          <w:highlight w:val="none"/>
        </w:rPr>
        <w:t>，见下表。</w:t>
      </w:r>
    </w:p>
    <w:p w14:paraId="5F5F30FB">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0" w:firstLineChars="0"/>
        <w:jc w:val="center"/>
        <w:textAlignment w:val="auto"/>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表2.4-3土壤环境质量农用地污染风险管控标准单位：mg/kg</w:t>
      </w:r>
    </w:p>
    <w:tbl>
      <w:tblPr>
        <w:tblStyle w:val="40"/>
        <w:tblW w:w="8277"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67"/>
        <w:gridCol w:w="2070"/>
        <w:gridCol w:w="2070"/>
        <w:gridCol w:w="2070"/>
      </w:tblGrid>
      <w:tr w14:paraId="67BAA34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0" w:type="dxa"/>
            <w:vMerge w:val="restart"/>
            <w:tcBorders>
              <w:top w:val="single" w:color="auto" w:sz="4" w:space="0"/>
              <w:left w:val="single" w:color="auto" w:sz="4" w:space="0"/>
            </w:tcBorders>
            <w:noWrap w:val="0"/>
            <w:vAlign w:val="center"/>
          </w:tcPr>
          <w:p w14:paraId="5BF91F6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序号</w:t>
            </w:r>
          </w:p>
        </w:tc>
        <w:tc>
          <w:tcPr>
            <w:tcW w:w="3602" w:type="dxa"/>
            <w:gridSpan w:val="2"/>
            <w:vMerge w:val="restart"/>
            <w:tcBorders>
              <w:top w:val="single" w:color="auto" w:sz="4" w:space="0"/>
            </w:tcBorders>
            <w:noWrap w:val="0"/>
            <w:vAlign w:val="center"/>
          </w:tcPr>
          <w:p w14:paraId="7A48BFF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污染物项目</w:t>
            </w:r>
          </w:p>
        </w:tc>
        <w:tc>
          <w:tcPr>
            <w:tcW w:w="1801" w:type="dxa"/>
            <w:tcBorders>
              <w:top w:val="single" w:color="auto" w:sz="4" w:space="0"/>
              <w:right w:val="single" w:color="auto" w:sz="4" w:space="0"/>
            </w:tcBorders>
            <w:noWrap w:val="0"/>
            <w:vAlign w:val="center"/>
          </w:tcPr>
          <w:p w14:paraId="35A7845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rPr>
              <w:t>风险筛选值</w:t>
            </w:r>
          </w:p>
        </w:tc>
      </w:tr>
      <w:tr w14:paraId="095BB0F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0" w:type="dxa"/>
            <w:vMerge w:val="continue"/>
            <w:tcBorders>
              <w:left w:val="single" w:color="auto" w:sz="4" w:space="0"/>
            </w:tcBorders>
            <w:noWrap w:val="0"/>
            <w:vAlign w:val="center"/>
          </w:tcPr>
          <w:p w14:paraId="1E47F59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p>
        </w:tc>
        <w:tc>
          <w:tcPr>
            <w:tcW w:w="3602" w:type="dxa"/>
            <w:gridSpan w:val="2"/>
            <w:vMerge w:val="continue"/>
            <w:noWrap w:val="0"/>
            <w:vAlign w:val="center"/>
          </w:tcPr>
          <w:p w14:paraId="44A69A5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p>
        </w:tc>
        <w:tc>
          <w:tcPr>
            <w:tcW w:w="1801" w:type="dxa"/>
            <w:tcBorders>
              <w:right w:val="single" w:color="auto" w:sz="4" w:space="0"/>
            </w:tcBorders>
            <w:noWrap w:val="0"/>
            <w:vAlign w:val="center"/>
          </w:tcPr>
          <w:p w14:paraId="5BDDC82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pH≥7.5</w:t>
            </w:r>
          </w:p>
        </w:tc>
      </w:tr>
      <w:tr w14:paraId="4EE0E1E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0" w:type="dxa"/>
            <w:tcBorders>
              <w:left w:val="single" w:color="auto" w:sz="4" w:space="0"/>
            </w:tcBorders>
            <w:noWrap w:val="0"/>
            <w:vAlign w:val="center"/>
          </w:tcPr>
          <w:p w14:paraId="65C2CCD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1801" w:type="dxa"/>
            <w:noWrap w:val="0"/>
            <w:vAlign w:val="center"/>
          </w:tcPr>
          <w:p w14:paraId="05354A7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镉</w:t>
            </w:r>
          </w:p>
        </w:tc>
        <w:tc>
          <w:tcPr>
            <w:tcW w:w="1801" w:type="dxa"/>
            <w:noWrap w:val="0"/>
            <w:vAlign w:val="center"/>
          </w:tcPr>
          <w:p w14:paraId="3919CA1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其他</w:t>
            </w:r>
          </w:p>
        </w:tc>
        <w:tc>
          <w:tcPr>
            <w:tcW w:w="1801" w:type="dxa"/>
            <w:tcBorders>
              <w:right w:val="single" w:color="auto" w:sz="4" w:space="0"/>
            </w:tcBorders>
            <w:noWrap w:val="0"/>
            <w:vAlign w:val="center"/>
          </w:tcPr>
          <w:p w14:paraId="2E005DF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0.6</w:t>
            </w:r>
          </w:p>
        </w:tc>
      </w:tr>
      <w:tr w14:paraId="3F6DA66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0" w:type="dxa"/>
            <w:tcBorders>
              <w:left w:val="single" w:color="auto" w:sz="4" w:space="0"/>
            </w:tcBorders>
            <w:noWrap w:val="0"/>
            <w:vAlign w:val="center"/>
          </w:tcPr>
          <w:p w14:paraId="74F6AB2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1801" w:type="dxa"/>
            <w:noWrap w:val="0"/>
            <w:vAlign w:val="center"/>
          </w:tcPr>
          <w:p w14:paraId="60DCC74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汞</w:t>
            </w:r>
          </w:p>
        </w:tc>
        <w:tc>
          <w:tcPr>
            <w:tcW w:w="1801" w:type="dxa"/>
            <w:noWrap w:val="0"/>
            <w:vAlign w:val="center"/>
          </w:tcPr>
          <w:p w14:paraId="45CC1AD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其他</w:t>
            </w:r>
          </w:p>
        </w:tc>
        <w:tc>
          <w:tcPr>
            <w:tcW w:w="1801" w:type="dxa"/>
            <w:tcBorders>
              <w:right w:val="single" w:color="auto" w:sz="4" w:space="0"/>
            </w:tcBorders>
            <w:noWrap w:val="0"/>
            <w:vAlign w:val="center"/>
          </w:tcPr>
          <w:p w14:paraId="4C4926B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3.4</w:t>
            </w:r>
          </w:p>
        </w:tc>
      </w:tr>
      <w:tr w14:paraId="64BF333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0" w:type="dxa"/>
            <w:tcBorders>
              <w:left w:val="single" w:color="auto" w:sz="4" w:space="0"/>
            </w:tcBorders>
            <w:noWrap w:val="0"/>
            <w:vAlign w:val="center"/>
          </w:tcPr>
          <w:p w14:paraId="43F5C26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p>
        </w:tc>
        <w:tc>
          <w:tcPr>
            <w:tcW w:w="1801" w:type="dxa"/>
            <w:noWrap w:val="0"/>
            <w:vAlign w:val="center"/>
          </w:tcPr>
          <w:p w14:paraId="79C2183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砷</w:t>
            </w:r>
          </w:p>
        </w:tc>
        <w:tc>
          <w:tcPr>
            <w:tcW w:w="1801" w:type="dxa"/>
            <w:noWrap w:val="0"/>
            <w:vAlign w:val="center"/>
          </w:tcPr>
          <w:p w14:paraId="4155313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其他</w:t>
            </w:r>
          </w:p>
        </w:tc>
        <w:tc>
          <w:tcPr>
            <w:tcW w:w="1801" w:type="dxa"/>
            <w:tcBorders>
              <w:right w:val="single" w:color="auto" w:sz="4" w:space="0"/>
            </w:tcBorders>
            <w:noWrap w:val="0"/>
            <w:vAlign w:val="center"/>
          </w:tcPr>
          <w:p w14:paraId="43AEF50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25</w:t>
            </w:r>
          </w:p>
        </w:tc>
      </w:tr>
      <w:tr w14:paraId="4728E27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0" w:type="dxa"/>
            <w:tcBorders>
              <w:left w:val="single" w:color="auto" w:sz="4" w:space="0"/>
            </w:tcBorders>
            <w:noWrap w:val="0"/>
            <w:vAlign w:val="center"/>
          </w:tcPr>
          <w:p w14:paraId="33F3D45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w:t>
            </w:r>
          </w:p>
        </w:tc>
        <w:tc>
          <w:tcPr>
            <w:tcW w:w="1801" w:type="dxa"/>
            <w:noWrap w:val="0"/>
            <w:vAlign w:val="center"/>
          </w:tcPr>
          <w:p w14:paraId="2F1F94F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铅</w:t>
            </w:r>
          </w:p>
        </w:tc>
        <w:tc>
          <w:tcPr>
            <w:tcW w:w="1801" w:type="dxa"/>
            <w:noWrap w:val="0"/>
            <w:vAlign w:val="center"/>
          </w:tcPr>
          <w:p w14:paraId="6506E15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其他</w:t>
            </w:r>
          </w:p>
        </w:tc>
        <w:tc>
          <w:tcPr>
            <w:tcW w:w="1801" w:type="dxa"/>
            <w:tcBorders>
              <w:right w:val="single" w:color="auto" w:sz="4" w:space="0"/>
            </w:tcBorders>
            <w:noWrap w:val="0"/>
            <w:vAlign w:val="center"/>
          </w:tcPr>
          <w:p w14:paraId="3A897C8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170</w:t>
            </w:r>
          </w:p>
        </w:tc>
      </w:tr>
      <w:tr w14:paraId="1104B49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0" w:type="dxa"/>
            <w:tcBorders>
              <w:left w:val="single" w:color="auto" w:sz="4" w:space="0"/>
            </w:tcBorders>
            <w:noWrap w:val="0"/>
            <w:vAlign w:val="center"/>
          </w:tcPr>
          <w:p w14:paraId="2C45188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w:t>
            </w:r>
          </w:p>
        </w:tc>
        <w:tc>
          <w:tcPr>
            <w:tcW w:w="1801" w:type="dxa"/>
            <w:noWrap w:val="0"/>
            <w:vAlign w:val="center"/>
          </w:tcPr>
          <w:p w14:paraId="4503B22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铬</w:t>
            </w:r>
          </w:p>
        </w:tc>
        <w:tc>
          <w:tcPr>
            <w:tcW w:w="1801" w:type="dxa"/>
            <w:noWrap w:val="0"/>
            <w:vAlign w:val="center"/>
          </w:tcPr>
          <w:p w14:paraId="22DD047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其他</w:t>
            </w:r>
          </w:p>
        </w:tc>
        <w:tc>
          <w:tcPr>
            <w:tcW w:w="1801" w:type="dxa"/>
            <w:tcBorders>
              <w:right w:val="single" w:color="auto" w:sz="4" w:space="0"/>
            </w:tcBorders>
            <w:noWrap w:val="0"/>
            <w:vAlign w:val="center"/>
          </w:tcPr>
          <w:p w14:paraId="4498FAD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250</w:t>
            </w:r>
          </w:p>
        </w:tc>
      </w:tr>
      <w:tr w14:paraId="1D99981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0" w:type="dxa"/>
            <w:tcBorders>
              <w:left w:val="single" w:color="auto" w:sz="4" w:space="0"/>
            </w:tcBorders>
            <w:noWrap w:val="0"/>
            <w:vAlign w:val="center"/>
          </w:tcPr>
          <w:p w14:paraId="709E4E0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w:t>
            </w:r>
          </w:p>
        </w:tc>
        <w:tc>
          <w:tcPr>
            <w:tcW w:w="1801" w:type="dxa"/>
            <w:noWrap w:val="0"/>
            <w:vAlign w:val="center"/>
          </w:tcPr>
          <w:p w14:paraId="20ACD68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铜</w:t>
            </w:r>
          </w:p>
        </w:tc>
        <w:tc>
          <w:tcPr>
            <w:tcW w:w="1801" w:type="dxa"/>
            <w:noWrap w:val="0"/>
            <w:vAlign w:val="center"/>
          </w:tcPr>
          <w:p w14:paraId="11E1D04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其他</w:t>
            </w:r>
          </w:p>
        </w:tc>
        <w:tc>
          <w:tcPr>
            <w:tcW w:w="1801" w:type="dxa"/>
            <w:tcBorders>
              <w:right w:val="single" w:color="auto" w:sz="4" w:space="0"/>
            </w:tcBorders>
            <w:noWrap w:val="0"/>
            <w:vAlign w:val="center"/>
          </w:tcPr>
          <w:p w14:paraId="29EC411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100</w:t>
            </w:r>
          </w:p>
        </w:tc>
      </w:tr>
      <w:tr w14:paraId="770EE29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0" w:type="dxa"/>
            <w:tcBorders>
              <w:left w:val="single" w:color="auto" w:sz="4" w:space="0"/>
            </w:tcBorders>
            <w:noWrap w:val="0"/>
            <w:vAlign w:val="center"/>
          </w:tcPr>
          <w:p w14:paraId="1940333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7</w:t>
            </w:r>
          </w:p>
        </w:tc>
        <w:tc>
          <w:tcPr>
            <w:tcW w:w="3602" w:type="dxa"/>
            <w:gridSpan w:val="2"/>
            <w:noWrap w:val="0"/>
            <w:vAlign w:val="center"/>
          </w:tcPr>
          <w:p w14:paraId="2491A6A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镍</w:t>
            </w:r>
          </w:p>
        </w:tc>
        <w:tc>
          <w:tcPr>
            <w:tcW w:w="1801" w:type="dxa"/>
            <w:tcBorders>
              <w:right w:val="single" w:color="auto" w:sz="4" w:space="0"/>
            </w:tcBorders>
            <w:noWrap w:val="0"/>
            <w:vAlign w:val="center"/>
          </w:tcPr>
          <w:p w14:paraId="2B86787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190</w:t>
            </w:r>
          </w:p>
        </w:tc>
      </w:tr>
      <w:tr w14:paraId="07E1AD8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0" w:type="dxa"/>
            <w:tcBorders>
              <w:left w:val="single" w:color="auto" w:sz="4" w:space="0"/>
              <w:bottom w:val="single" w:color="auto" w:sz="4" w:space="0"/>
            </w:tcBorders>
            <w:noWrap w:val="0"/>
            <w:vAlign w:val="center"/>
          </w:tcPr>
          <w:p w14:paraId="70E3770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8</w:t>
            </w:r>
          </w:p>
        </w:tc>
        <w:tc>
          <w:tcPr>
            <w:tcW w:w="3602" w:type="dxa"/>
            <w:gridSpan w:val="2"/>
            <w:tcBorders>
              <w:bottom w:val="single" w:color="auto" w:sz="4" w:space="0"/>
            </w:tcBorders>
            <w:noWrap w:val="0"/>
            <w:vAlign w:val="center"/>
          </w:tcPr>
          <w:p w14:paraId="7194821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锌</w:t>
            </w:r>
          </w:p>
        </w:tc>
        <w:tc>
          <w:tcPr>
            <w:tcW w:w="1801" w:type="dxa"/>
            <w:tcBorders>
              <w:bottom w:val="single" w:color="auto" w:sz="4" w:space="0"/>
              <w:right w:val="single" w:color="auto" w:sz="4" w:space="0"/>
            </w:tcBorders>
            <w:noWrap w:val="0"/>
            <w:vAlign w:val="center"/>
          </w:tcPr>
          <w:p w14:paraId="3F01B31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300</w:t>
            </w:r>
          </w:p>
        </w:tc>
      </w:tr>
    </w:tbl>
    <w:p w14:paraId="24B13AD4">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2.4.4.4声环境</w:t>
      </w:r>
    </w:p>
    <w:p w14:paraId="536D793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C000"/>
          <w:highlight w:val="none"/>
        </w:rPr>
      </w:pPr>
      <w:r>
        <w:rPr>
          <w:rFonts w:hint="default" w:ascii="Times New Roman" w:hAnsi="Times New Roman" w:eastAsia="宋体" w:cs="Times New Roman"/>
          <w:color w:val="FFC000"/>
          <w:highlight w:val="none"/>
        </w:rPr>
        <w:t>项目所在区域执行《声环境质量标准》（GB3096-2008）中</w:t>
      </w:r>
      <w:r>
        <w:rPr>
          <w:rFonts w:hint="default" w:ascii="Times New Roman" w:hAnsi="Times New Roman" w:eastAsia="宋体" w:cs="Times New Roman"/>
          <w:color w:val="FFC000"/>
          <w:highlight w:val="none"/>
          <w:lang w:val="en-US" w:eastAsia="zh-CN"/>
        </w:rPr>
        <w:t>1</w:t>
      </w:r>
      <w:r>
        <w:rPr>
          <w:rFonts w:hint="default" w:ascii="Times New Roman" w:hAnsi="Times New Roman" w:eastAsia="宋体" w:cs="Times New Roman"/>
          <w:color w:val="FFC000"/>
          <w:highlight w:val="none"/>
        </w:rPr>
        <w:t>类标准，见下表。</w:t>
      </w:r>
    </w:p>
    <w:p w14:paraId="5292356C">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FFC000"/>
          <w:highlight w:val="none"/>
        </w:rPr>
      </w:pPr>
      <w:r>
        <w:rPr>
          <w:rFonts w:hint="default" w:ascii="Times New Roman" w:hAnsi="Times New Roman" w:eastAsia="宋体" w:cs="Times New Roman"/>
          <w:color w:val="FFC000"/>
          <w:highlight w:val="none"/>
        </w:rPr>
        <w:t>表2.4-</w:t>
      </w:r>
      <w:r>
        <w:rPr>
          <w:rFonts w:hint="default" w:ascii="Times New Roman" w:hAnsi="Times New Roman" w:eastAsia="宋体" w:cs="Times New Roman"/>
          <w:color w:val="FFC000"/>
          <w:highlight w:val="none"/>
          <w:lang w:val="en-US" w:eastAsia="zh-CN"/>
        </w:rPr>
        <w:t>4</w:t>
      </w:r>
      <w:r>
        <w:rPr>
          <w:rFonts w:hint="default" w:ascii="Times New Roman" w:hAnsi="Times New Roman" w:eastAsia="宋体" w:cs="Times New Roman"/>
          <w:color w:val="FFC000"/>
          <w:highlight w:val="none"/>
        </w:rPr>
        <w:t>声环境质量标准</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22"/>
        <w:gridCol w:w="1075"/>
        <w:gridCol w:w="1705"/>
        <w:gridCol w:w="1705"/>
        <w:gridCol w:w="2370"/>
      </w:tblGrid>
      <w:tr w14:paraId="6DB813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44" w:type="dxa"/>
            <w:tcBorders>
              <w:top w:val="single" w:color="auto" w:sz="4" w:space="0"/>
              <w:left w:val="single" w:color="auto" w:sz="4" w:space="0"/>
              <w:bottom w:val="single" w:color="auto" w:sz="4" w:space="0"/>
              <w:right w:val="single" w:color="auto" w:sz="4" w:space="0"/>
            </w:tcBorders>
            <w:vAlign w:val="center"/>
          </w:tcPr>
          <w:p w14:paraId="3AB27A6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FFC000"/>
                <w:sz w:val="21"/>
                <w:szCs w:val="21"/>
                <w:highlight w:val="none"/>
              </w:rPr>
            </w:pPr>
            <w:r>
              <w:rPr>
                <w:rFonts w:hint="default" w:ascii="Times New Roman" w:hAnsi="Times New Roman" w:eastAsia="宋体" w:cs="Times New Roman"/>
                <w:b/>
                <w:bCs/>
                <w:color w:val="FFC000"/>
                <w:sz w:val="21"/>
                <w:szCs w:val="21"/>
                <w:highlight w:val="none"/>
              </w:rPr>
              <w:t>功能区</w:t>
            </w:r>
          </w:p>
        </w:tc>
        <w:tc>
          <w:tcPr>
            <w:tcW w:w="1162" w:type="dxa"/>
            <w:tcBorders>
              <w:top w:val="single" w:color="auto" w:sz="4" w:space="0"/>
              <w:left w:val="single" w:color="auto" w:sz="4" w:space="0"/>
              <w:bottom w:val="single" w:color="auto" w:sz="4" w:space="0"/>
              <w:right w:val="single" w:color="auto" w:sz="4" w:space="0"/>
            </w:tcBorders>
            <w:vAlign w:val="center"/>
          </w:tcPr>
          <w:p w14:paraId="29DA79A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FFC000"/>
                <w:sz w:val="21"/>
                <w:szCs w:val="21"/>
                <w:highlight w:val="none"/>
              </w:rPr>
            </w:pPr>
            <w:r>
              <w:rPr>
                <w:rFonts w:hint="default" w:ascii="Times New Roman" w:hAnsi="Times New Roman" w:eastAsia="宋体" w:cs="Times New Roman"/>
                <w:b/>
                <w:bCs/>
                <w:color w:val="FFC000"/>
                <w:sz w:val="21"/>
                <w:szCs w:val="21"/>
                <w:highlight w:val="none"/>
              </w:rPr>
              <w:t>类别</w:t>
            </w:r>
          </w:p>
        </w:tc>
        <w:tc>
          <w:tcPr>
            <w:tcW w:w="1855" w:type="dxa"/>
            <w:tcBorders>
              <w:top w:val="single" w:color="auto" w:sz="4" w:space="0"/>
              <w:left w:val="single" w:color="auto" w:sz="4" w:space="0"/>
              <w:bottom w:val="single" w:color="auto" w:sz="4" w:space="0"/>
              <w:right w:val="single" w:color="auto" w:sz="4" w:space="0"/>
            </w:tcBorders>
            <w:vAlign w:val="center"/>
          </w:tcPr>
          <w:p w14:paraId="66BCEED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FFC000"/>
                <w:sz w:val="21"/>
                <w:szCs w:val="21"/>
                <w:highlight w:val="none"/>
              </w:rPr>
            </w:pPr>
            <w:r>
              <w:rPr>
                <w:rFonts w:hint="default" w:ascii="Times New Roman" w:hAnsi="Times New Roman" w:eastAsia="宋体" w:cs="Times New Roman"/>
                <w:b/>
                <w:bCs/>
                <w:color w:val="FFC000"/>
                <w:sz w:val="21"/>
                <w:szCs w:val="21"/>
                <w:highlight w:val="none"/>
              </w:rPr>
              <w:t>昼间</w:t>
            </w:r>
          </w:p>
        </w:tc>
        <w:tc>
          <w:tcPr>
            <w:tcW w:w="1855" w:type="dxa"/>
            <w:tcBorders>
              <w:top w:val="single" w:color="auto" w:sz="4" w:space="0"/>
              <w:left w:val="single" w:color="auto" w:sz="4" w:space="0"/>
              <w:bottom w:val="single" w:color="auto" w:sz="4" w:space="0"/>
              <w:right w:val="single" w:color="auto" w:sz="4" w:space="0"/>
            </w:tcBorders>
            <w:vAlign w:val="center"/>
          </w:tcPr>
          <w:p w14:paraId="6245A81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FFC000"/>
                <w:sz w:val="21"/>
                <w:szCs w:val="21"/>
                <w:highlight w:val="none"/>
              </w:rPr>
            </w:pPr>
            <w:r>
              <w:rPr>
                <w:rFonts w:hint="default" w:ascii="Times New Roman" w:hAnsi="Times New Roman" w:eastAsia="宋体" w:cs="Times New Roman"/>
                <w:b/>
                <w:bCs/>
                <w:color w:val="FFC000"/>
                <w:sz w:val="21"/>
                <w:szCs w:val="21"/>
                <w:highlight w:val="none"/>
              </w:rPr>
              <w:t>夜间</w:t>
            </w:r>
          </w:p>
        </w:tc>
        <w:tc>
          <w:tcPr>
            <w:tcW w:w="2588" w:type="dxa"/>
            <w:tcBorders>
              <w:top w:val="single" w:color="auto" w:sz="4" w:space="0"/>
              <w:left w:val="single" w:color="auto" w:sz="4" w:space="0"/>
              <w:bottom w:val="single" w:color="auto" w:sz="4" w:space="0"/>
              <w:right w:val="single" w:color="auto" w:sz="4" w:space="0"/>
            </w:tcBorders>
            <w:vAlign w:val="center"/>
          </w:tcPr>
          <w:p w14:paraId="4D577BC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FFC000"/>
                <w:sz w:val="21"/>
                <w:szCs w:val="21"/>
                <w:highlight w:val="none"/>
              </w:rPr>
            </w:pPr>
            <w:r>
              <w:rPr>
                <w:rFonts w:hint="default" w:ascii="Times New Roman" w:hAnsi="Times New Roman" w:eastAsia="宋体" w:cs="Times New Roman"/>
                <w:b/>
                <w:bCs/>
                <w:color w:val="FFC000"/>
                <w:sz w:val="21"/>
                <w:szCs w:val="21"/>
                <w:highlight w:val="none"/>
              </w:rPr>
              <w:t>标准来源</w:t>
            </w:r>
          </w:p>
        </w:tc>
      </w:tr>
      <w:tr w14:paraId="2A8F53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44" w:type="dxa"/>
            <w:tcBorders>
              <w:top w:val="single" w:color="auto" w:sz="4" w:space="0"/>
              <w:left w:val="single" w:color="auto" w:sz="4" w:space="0"/>
              <w:bottom w:val="single" w:color="auto" w:sz="4" w:space="0"/>
              <w:right w:val="single" w:color="auto" w:sz="4" w:space="0"/>
            </w:tcBorders>
            <w:vAlign w:val="center"/>
          </w:tcPr>
          <w:p w14:paraId="73A6536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C000"/>
                <w:sz w:val="21"/>
                <w:szCs w:val="21"/>
                <w:highlight w:val="none"/>
              </w:rPr>
            </w:pPr>
            <w:r>
              <w:rPr>
                <w:rFonts w:hint="default" w:ascii="Times New Roman" w:hAnsi="Times New Roman" w:eastAsia="宋体" w:cs="Times New Roman"/>
                <w:color w:val="FFC000"/>
                <w:sz w:val="21"/>
                <w:szCs w:val="21"/>
                <w:highlight w:val="none"/>
              </w:rPr>
              <w:t>村庄</w:t>
            </w:r>
          </w:p>
        </w:tc>
        <w:tc>
          <w:tcPr>
            <w:tcW w:w="1162" w:type="dxa"/>
            <w:tcBorders>
              <w:top w:val="single" w:color="auto" w:sz="4" w:space="0"/>
              <w:left w:val="single" w:color="auto" w:sz="4" w:space="0"/>
              <w:bottom w:val="single" w:color="auto" w:sz="4" w:space="0"/>
              <w:right w:val="single" w:color="auto" w:sz="4" w:space="0"/>
            </w:tcBorders>
            <w:vAlign w:val="center"/>
          </w:tcPr>
          <w:p w14:paraId="2A22F28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C000"/>
                <w:sz w:val="21"/>
                <w:szCs w:val="21"/>
                <w:highlight w:val="none"/>
                <w:lang w:eastAsia="zh-CN"/>
              </w:rPr>
            </w:pPr>
            <w:r>
              <w:rPr>
                <w:rFonts w:hint="default" w:ascii="Times New Roman" w:hAnsi="Times New Roman" w:eastAsia="宋体" w:cs="Times New Roman"/>
                <w:color w:val="FFC000"/>
                <w:sz w:val="21"/>
                <w:szCs w:val="21"/>
                <w:highlight w:val="none"/>
                <w:lang w:val="en-US" w:eastAsia="zh-CN"/>
              </w:rPr>
              <w:t>1</w:t>
            </w:r>
          </w:p>
        </w:tc>
        <w:tc>
          <w:tcPr>
            <w:tcW w:w="1855" w:type="dxa"/>
            <w:tcBorders>
              <w:top w:val="single" w:color="auto" w:sz="4" w:space="0"/>
              <w:left w:val="single" w:color="auto" w:sz="4" w:space="0"/>
              <w:bottom w:val="single" w:color="auto" w:sz="4" w:space="0"/>
              <w:right w:val="single" w:color="auto" w:sz="4" w:space="0"/>
            </w:tcBorders>
            <w:vAlign w:val="center"/>
          </w:tcPr>
          <w:p w14:paraId="20BCA2B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C000"/>
                <w:sz w:val="21"/>
                <w:szCs w:val="21"/>
                <w:highlight w:val="none"/>
                <w:lang w:eastAsia="zh-CN"/>
              </w:rPr>
            </w:pPr>
            <w:r>
              <w:rPr>
                <w:rFonts w:hint="default" w:ascii="Times New Roman" w:hAnsi="Times New Roman" w:eastAsia="宋体" w:cs="Times New Roman"/>
                <w:color w:val="FFC000"/>
                <w:sz w:val="21"/>
                <w:szCs w:val="21"/>
                <w:highlight w:val="none"/>
                <w:lang w:val="en-US" w:eastAsia="zh-CN"/>
              </w:rPr>
              <w:t>55</w:t>
            </w:r>
            <w:r>
              <w:rPr>
                <w:rFonts w:hint="default" w:ascii="Times New Roman" w:hAnsi="Times New Roman" w:eastAsia="宋体" w:cs="Times New Roman"/>
                <w:color w:val="FFC000"/>
                <w:sz w:val="21"/>
                <w:szCs w:val="21"/>
                <w:highlight w:val="none"/>
              </w:rPr>
              <w:t>dB</w:t>
            </w:r>
            <w:r>
              <w:rPr>
                <w:rFonts w:hint="default" w:ascii="Times New Roman" w:hAnsi="Times New Roman" w:eastAsia="宋体" w:cs="Times New Roman"/>
                <w:color w:val="FFC000"/>
                <w:sz w:val="21"/>
                <w:szCs w:val="21"/>
                <w:highlight w:val="none"/>
                <w:lang w:eastAsia="zh-CN"/>
              </w:rPr>
              <w:t>（</w:t>
            </w:r>
            <w:r>
              <w:rPr>
                <w:rFonts w:hint="default" w:ascii="Times New Roman" w:hAnsi="Times New Roman" w:eastAsia="宋体" w:cs="Times New Roman"/>
                <w:color w:val="FFC000"/>
                <w:sz w:val="21"/>
                <w:szCs w:val="21"/>
                <w:highlight w:val="none"/>
                <w:lang w:eastAsia="zh-CN"/>
              </w:rPr>
              <w:t>A</w:t>
            </w:r>
            <w:r>
              <w:rPr>
                <w:rFonts w:hint="default" w:ascii="Times New Roman" w:hAnsi="Times New Roman" w:eastAsia="宋体" w:cs="Times New Roman"/>
                <w:color w:val="FFC000"/>
                <w:sz w:val="21"/>
                <w:szCs w:val="21"/>
                <w:highlight w:val="none"/>
                <w:lang w:eastAsia="zh-CN"/>
              </w:rPr>
              <w:t>）</w:t>
            </w:r>
          </w:p>
        </w:tc>
        <w:tc>
          <w:tcPr>
            <w:tcW w:w="1855" w:type="dxa"/>
            <w:tcBorders>
              <w:top w:val="single" w:color="auto" w:sz="4" w:space="0"/>
              <w:left w:val="single" w:color="auto" w:sz="4" w:space="0"/>
              <w:bottom w:val="single" w:color="auto" w:sz="4" w:space="0"/>
              <w:right w:val="single" w:color="auto" w:sz="4" w:space="0"/>
            </w:tcBorders>
            <w:vAlign w:val="center"/>
          </w:tcPr>
          <w:p w14:paraId="6712044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C000"/>
                <w:sz w:val="21"/>
                <w:szCs w:val="21"/>
                <w:highlight w:val="none"/>
                <w:lang w:eastAsia="zh-CN"/>
              </w:rPr>
            </w:pPr>
            <w:r>
              <w:rPr>
                <w:rFonts w:hint="default" w:ascii="Times New Roman" w:hAnsi="Times New Roman" w:eastAsia="宋体" w:cs="Times New Roman"/>
                <w:color w:val="FFC000"/>
                <w:sz w:val="21"/>
                <w:szCs w:val="21"/>
                <w:highlight w:val="none"/>
                <w:lang w:val="en-US" w:eastAsia="zh-CN"/>
              </w:rPr>
              <w:t>45</w:t>
            </w:r>
            <w:r>
              <w:rPr>
                <w:rFonts w:hint="default" w:ascii="Times New Roman" w:hAnsi="Times New Roman" w:eastAsia="宋体" w:cs="Times New Roman"/>
                <w:color w:val="FFC000"/>
                <w:sz w:val="21"/>
                <w:szCs w:val="21"/>
                <w:highlight w:val="none"/>
              </w:rPr>
              <w:t>dB</w:t>
            </w:r>
            <w:r>
              <w:rPr>
                <w:rFonts w:hint="default" w:ascii="Times New Roman" w:hAnsi="Times New Roman" w:eastAsia="宋体" w:cs="Times New Roman"/>
                <w:color w:val="FFC000"/>
                <w:sz w:val="21"/>
                <w:szCs w:val="21"/>
                <w:highlight w:val="none"/>
                <w:lang w:eastAsia="zh-CN"/>
              </w:rPr>
              <w:t>（</w:t>
            </w:r>
            <w:r>
              <w:rPr>
                <w:rFonts w:hint="default" w:ascii="Times New Roman" w:hAnsi="Times New Roman" w:eastAsia="宋体" w:cs="Times New Roman"/>
                <w:color w:val="FFC000"/>
                <w:sz w:val="21"/>
                <w:szCs w:val="21"/>
                <w:highlight w:val="none"/>
                <w:lang w:eastAsia="zh-CN"/>
              </w:rPr>
              <w:t>A</w:t>
            </w:r>
            <w:r>
              <w:rPr>
                <w:rFonts w:hint="default" w:ascii="Times New Roman" w:hAnsi="Times New Roman" w:eastAsia="宋体" w:cs="Times New Roman"/>
                <w:color w:val="FFC000"/>
                <w:sz w:val="21"/>
                <w:szCs w:val="21"/>
                <w:highlight w:val="none"/>
                <w:lang w:eastAsia="zh-CN"/>
              </w:rPr>
              <w:t>）</w:t>
            </w:r>
          </w:p>
        </w:tc>
        <w:tc>
          <w:tcPr>
            <w:tcW w:w="2588" w:type="dxa"/>
            <w:tcBorders>
              <w:top w:val="single" w:color="auto" w:sz="4" w:space="0"/>
              <w:left w:val="single" w:color="auto" w:sz="4" w:space="0"/>
              <w:bottom w:val="single" w:color="auto" w:sz="4" w:space="0"/>
              <w:right w:val="single" w:color="auto" w:sz="4" w:space="0"/>
            </w:tcBorders>
            <w:vAlign w:val="center"/>
          </w:tcPr>
          <w:p w14:paraId="3382A35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C000"/>
                <w:sz w:val="21"/>
                <w:szCs w:val="21"/>
                <w:highlight w:val="none"/>
              </w:rPr>
            </w:pPr>
            <w:r>
              <w:rPr>
                <w:rFonts w:hint="default" w:ascii="Times New Roman" w:hAnsi="Times New Roman" w:eastAsia="宋体" w:cs="Times New Roman"/>
                <w:color w:val="FFC000"/>
                <w:sz w:val="21"/>
                <w:szCs w:val="21"/>
                <w:highlight w:val="none"/>
              </w:rPr>
              <w:t>GB3096-2008</w:t>
            </w:r>
          </w:p>
        </w:tc>
      </w:tr>
    </w:tbl>
    <w:p w14:paraId="3E4F3E10">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146" w:name="_Toc9521"/>
      <w:r>
        <w:rPr>
          <w:rFonts w:hint="default" w:ascii="Times New Roman" w:hAnsi="Times New Roman" w:eastAsia="宋体" w:cs="Times New Roman"/>
          <w:color w:val="auto"/>
          <w:highlight w:val="none"/>
        </w:rPr>
        <w:t>2.4.3污染物排放标准</w:t>
      </w:r>
      <w:bookmarkEnd w:id="146"/>
    </w:p>
    <w:p w14:paraId="59984E02">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2.4.3.1粪污资源化利用标准</w:t>
      </w:r>
    </w:p>
    <w:p w14:paraId="2B899B8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项目牛舍粪便</w:t>
      </w:r>
      <w:r>
        <w:rPr>
          <w:rFonts w:hint="default" w:ascii="Times New Roman" w:hAnsi="Times New Roman" w:eastAsia="宋体" w:cs="Times New Roman"/>
          <w:color w:val="auto"/>
          <w:highlight w:val="none"/>
          <w:lang w:eastAsia="zh-CN"/>
        </w:rPr>
        <w:t>堆肥后，作为有机肥外售给当地农民，</w:t>
      </w:r>
      <w:r>
        <w:rPr>
          <w:rFonts w:hint="default" w:ascii="Times New Roman" w:hAnsi="Times New Roman" w:eastAsia="宋体" w:cs="Times New Roman"/>
          <w:color w:val="auto"/>
          <w:highlight w:val="none"/>
        </w:rPr>
        <w:t>实现粪污合规利用，还田利用应满足《畜禽粪便无害化处理技术规范》（GB/T36195-2018）、</w:t>
      </w:r>
      <w:r>
        <w:rPr>
          <w:rFonts w:hint="default" w:ascii="Times New Roman" w:hAnsi="Times New Roman" w:eastAsia="宋体" w:cs="Times New Roman"/>
          <w:color w:val="auto"/>
          <w:highlight w:val="none"/>
          <w:shd w:val="clear" w:color="auto" w:fill="FFFFFF"/>
        </w:rPr>
        <w:t>《畜禽粪便还田技术规范》（GB/T25246-2010）</w:t>
      </w:r>
      <w:r>
        <w:rPr>
          <w:rFonts w:hint="default" w:ascii="Times New Roman" w:hAnsi="Times New Roman" w:eastAsia="宋体" w:cs="Times New Roman"/>
          <w:color w:val="auto"/>
          <w:szCs w:val="24"/>
          <w:highlight w:val="none"/>
        </w:rPr>
        <w:t>中相关限值要求</w:t>
      </w:r>
      <w:r>
        <w:rPr>
          <w:rFonts w:hint="default" w:ascii="Times New Roman" w:hAnsi="Times New Roman" w:eastAsia="宋体" w:cs="Times New Roman"/>
          <w:color w:val="auto"/>
          <w:highlight w:val="none"/>
        </w:rPr>
        <w:t>。</w:t>
      </w:r>
    </w:p>
    <w:p w14:paraId="7538319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项目粪污综合利用限值见下表。</w:t>
      </w:r>
    </w:p>
    <w:p w14:paraId="4B7877E8">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表2.4-5粪污农肥综合利用标准节选表</w:t>
      </w:r>
    </w:p>
    <w:tbl>
      <w:tblPr>
        <w:tblStyle w:val="40"/>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0"/>
        <w:gridCol w:w="2628"/>
        <w:gridCol w:w="1548"/>
        <w:gridCol w:w="1062"/>
        <w:gridCol w:w="1066"/>
        <w:gridCol w:w="1343"/>
      </w:tblGrid>
      <w:tr w14:paraId="5800D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3" w:type="dxa"/>
            <w:vMerge w:val="restart"/>
            <w:vAlign w:val="center"/>
          </w:tcPr>
          <w:p w14:paraId="223D801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类别</w:t>
            </w:r>
          </w:p>
        </w:tc>
        <w:tc>
          <w:tcPr>
            <w:tcW w:w="2879" w:type="dxa"/>
            <w:vMerge w:val="restart"/>
            <w:vAlign w:val="center"/>
          </w:tcPr>
          <w:p w14:paraId="16A2B6D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标准名称及级（类）别</w:t>
            </w:r>
          </w:p>
        </w:tc>
        <w:tc>
          <w:tcPr>
            <w:tcW w:w="1687" w:type="dxa"/>
            <w:vMerge w:val="restart"/>
            <w:vAlign w:val="center"/>
          </w:tcPr>
          <w:p w14:paraId="1A01D5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污染因子</w:t>
            </w:r>
          </w:p>
        </w:tc>
        <w:tc>
          <w:tcPr>
            <w:tcW w:w="2304" w:type="dxa"/>
            <w:gridSpan w:val="2"/>
            <w:vAlign w:val="center"/>
          </w:tcPr>
          <w:p w14:paraId="7BDAEAC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标准值</w:t>
            </w:r>
          </w:p>
        </w:tc>
        <w:tc>
          <w:tcPr>
            <w:tcW w:w="1460" w:type="dxa"/>
            <w:vMerge w:val="restart"/>
            <w:vAlign w:val="center"/>
          </w:tcPr>
          <w:p w14:paraId="2AC483A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备注</w:t>
            </w:r>
          </w:p>
        </w:tc>
      </w:tr>
      <w:tr w14:paraId="2480C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73" w:type="dxa"/>
            <w:vMerge w:val="continue"/>
            <w:vAlign w:val="center"/>
          </w:tcPr>
          <w:p w14:paraId="49C13DB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b/>
                <w:bCs/>
                <w:color w:val="auto"/>
                <w:sz w:val="21"/>
                <w:szCs w:val="21"/>
                <w:highlight w:val="none"/>
              </w:rPr>
            </w:pPr>
          </w:p>
        </w:tc>
        <w:tc>
          <w:tcPr>
            <w:tcW w:w="2879" w:type="dxa"/>
            <w:vMerge w:val="continue"/>
            <w:vAlign w:val="center"/>
          </w:tcPr>
          <w:p w14:paraId="5D6B2F7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b/>
                <w:bCs/>
                <w:color w:val="auto"/>
                <w:sz w:val="21"/>
                <w:szCs w:val="21"/>
                <w:highlight w:val="none"/>
              </w:rPr>
            </w:pPr>
          </w:p>
        </w:tc>
        <w:tc>
          <w:tcPr>
            <w:tcW w:w="1687" w:type="dxa"/>
            <w:vMerge w:val="continue"/>
            <w:vAlign w:val="center"/>
          </w:tcPr>
          <w:p w14:paraId="49174F5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b/>
                <w:bCs/>
                <w:color w:val="auto"/>
                <w:sz w:val="21"/>
                <w:szCs w:val="21"/>
                <w:highlight w:val="none"/>
              </w:rPr>
            </w:pPr>
          </w:p>
        </w:tc>
        <w:tc>
          <w:tcPr>
            <w:tcW w:w="1150" w:type="dxa"/>
            <w:vAlign w:val="center"/>
          </w:tcPr>
          <w:p w14:paraId="6E393BB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单位</w:t>
            </w:r>
          </w:p>
        </w:tc>
        <w:tc>
          <w:tcPr>
            <w:tcW w:w="1154" w:type="dxa"/>
            <w:vAlign w:val="center"/>
          </w:tcPr>
          <w:p w14:paraId="2C398A8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数值</w:t>
            </w:r>
          </w:p>
        </w:tc>
        <w:tc>
          <w:tcPr>
            <w:tcW w:w="1460" w:type="dxa"/>
            <w:vMerge w:val="continue"/>
            <w:vAlign w:val="center"/>
          </w:tcPr>
          <w:p w14:paraId="7F23FDE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b/>
                <w:bCs/>
                <w:color w:val="auto"/>
                <w:sz w:val="21"/>
                <w:szCs w:val="21"/>
                <w:highlight w:val="none"/>
              </w:rPr>
            </w:pPr>
          </w:p>
        </w:tc>
      </w:tr>
      <w:tr w14:paraId="2699A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3" w:type="dxa"/>
            <w:vMerge w:val="restart"/>
            <w:vAlign w:val="center"/>
          </w:tcPr>
          <w:p w14:paraId="60C2B2F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粪便</w:t>
            </w:r>
          </w:p>
          <w:p w14:paraId="2F908FF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农肥</w:t>
            </w:r>
          </w:p>
        </w:tc>
        <w:tc>
          <w:tcPr>
            <w:tcW w:w="6870" w:type="dxa"/>
            <w:gridSpan w:val="4"/>
            <w:vAlign w:val="center"/>
          </w:tcPr>
          <w:p w14:paraId="626CE50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满足《畜禽规模养殖污染防治条例》（第643号）有关畜禽粪便综合利用与治理相关要求。</w:t>
            </w:r>
          </w:p>
        </w:tc>
        <w:tc>
          <w:tcPr>
            <w:tcW w:w="1460" w:type="dxa"/>
            <w:vAlign w:val="center"/>
          </w:tcPr>
          <w:p w14:paraId="194E0F6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合规利用</w:t>
            </w:r>
          </w:p>
        </w:tc>
      </w:tr>
      <w:tr w14:paraId="790FF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10BD2DB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2879" w:type="dxa"/>
            <w:vMerge w:val="restart"/>
            <w:vAlign w:val="center"/>
          </w:tcPr>
          <w:p w14:paraId="5AF93D9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《畜禽粪便无害化处理技术规范》（GB/T36195-2018）、</w:t>
            </w:r>
            <w:r>
              <w:rPr>
                <w:rFonts w:hint="default" w:ascii="Times New Roman" w:hAnsi="Times New Roman" w:eastAsia="宋体" w:cs="Times New Roman"/>
                <w:color w:val="auto"/>
                <w:sz w:val="21"/>
                <w:szCs w:val="21"/>
                <w:highlight w:val="none"/>
                <w:shd w:val="clear" w:color="auto" w:fill="FFFFFF"/>
              </w:rPr>
              <w:t>《畜禽粪便还田技术规范》（GB/T25246-2010）</w:t>
            </w:r>
          </w:p>
        </w:tc>
        <w:tc>
          <w:tcPr>
            <w:tcW w:w="1687" w:type="dxa"/>
            <w:vAlign w:val="center"/>
          </w:tcPr>
          <w:p w14:paraId="67E456E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蛔虫卵</w:t>
            </w:r>
          </w:p>
        </w:tc>
        <w:tc>
          <w:tcPr>
            <w:tcW w:w="1150" w:type="dxa"/>
            <w:vAlign w:val="center"/>
          </w:tcPr>
          <w:p w14:paraId="1FBDFD0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54" w:type="dxa"/>
            <w:vAlign w:val="center"/>
          </w:tcPr>
          <w:p w14:paraId="788849D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死亡率≥95%</w:t>
            </w:r>
          </w:p>
        </w:tc>
        <w:tc>
          <w:tcPr>
            <w:tcW w:w="1460" w:type="dxa"/>
            <w:vMerge w:val="restart"/>
            <w:vAlign w:val="center"/>
          </w:tcPr>
          <w:p w14:paraId="742B22C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有机肥</w:t>
            </w:r>
            <w:r>
              <w:rPr>
                <w:rFonts w:hint="default" w:ascii="Times New Roman" w:hAnsi="Times New Roman" w:eastAsia="宋体" w:cs="Times New Roman"/>
                <w:color w:val="auto"/>
                <w:sz w:val="21"/>
                <w:szCs w:val="21"/>
                <w:highlight w:val="none"/>
              </w:rPr>
              <w:t>经</w:t>
            </w:r>
            <w:r>
              <w:rPr>
                <w:rFonts w:hint="default" w:ascii="Times New Roman" w:hAnsi="Times New Roman" w:eastAsia="宋体" w:cs="Times New Roman"/>
                <w:color w:val="auto"/>
                <w:sz w:val="21"/>
                <w:szCs w:val="21"/>
                <w:highlight w:val="none"/>
                <w:lang w:eastAsia="zh-CN"/>
              </w:rPr>
              <w:t>无害化处理后还田综合利用</w:t>
            </w:r>
          </w:p>
        </w:tc>
      </w:tr>
      <w:tr w14:paraId="4FAF0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4124C6B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2879" w:type="dxa"/>
            <w:vMerge w:val="continue"/>
            <w:vAlign w:val="center"/>
          </w:tcPr>
          <w:p w14:paraId="387E323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1687" w:type="dxa"/>
            <w:vAlign w:val="center"/>
          </w:tcPr>
          <w:p w14:paraId="277BDD3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粪大肠菌群数</w:t>
            </w:r>
          </w:p>
        </w:tc>
        <w:tc>
          <w:tcPr>
            <w:tcW w:w="1150" w:type="dxa"/>
            <w:vAlign w:val="center"/>
          </w:tcPr>
          <w:p w14:paraId="461BE63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个/kg</w:t>
            </w:r>
          </w:p>
        </w:tc>
        <w:tc>
          <w:tcPr>
            <w:tcW w:w="1154" w:type="dxa"/>
            <w:vAlign w:val="center"/>
          </w:tcPr>
          <w:p w14:paraId="0ABFE05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sz w:val="21"/>
                <w:szCs w:val="21"/>
                <w:highlight w:val="none"/>
                <w:vertAlign w:val="superscript"/>
              </w:rPr>
              <w:t>5</w:t>
            </w:r>
          </w:p>
        </w:tc>
        <w:tc>
          <w:tcPr>
            <w:tcW w:w="1460" w:type="dxa"/>
            <w:vMerge w:val="continue"/>
            <w:vAlign w:val="center"/>
          </w:tcPr>
          <w:p w14:paraId="4288439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74FA5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3" w:type="dxa"/>
            <w:vMerge w:val="continue"/>
            <w:vAlign w:val="center"/>
          </w:tcPr>
          <w:p w14:paraId="29D69BA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2879" w:type="dxa"/>
            <w:vMerge w:val="continue"/>
            <w:vAlign w:val="center"/>
          </w:tcPr>
          <w:p w14:paraId="239AA68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1687" w:type="dxa"/>
            <w:vAlign w:val="center"/>
          </w:tcPr>
          <w:p w14:paraId="6841495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苍蝇</w:t>
            </w:r>
          </w:p>
        </w:tc>
        <w:tc>
          <w:tcPr>
            <w:tcW w:w="2304" w:type="dxa"/>
            <w:gridSpan w:val="2"/>
            <w:vAlign w:val="center"/>
          </w:tcPr>
          <w:p w14:paraId="5AB5044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堆体周围不应有活的蛆、蛹或新羽化的成蝇</w:t>
            </w:r>
          </w:p>
        </w:tc>
        <w:tc>
          <w:tcPr>
            <w:tcW w:w="1460" w:type="dxa"/>
            <w:vMerge w:val="continue"/>
            <w:vAlign w:val="center"/>
          </w:tcPr>
          <w:p w14:paraId="03F8C01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bl>
    <w:p w14:paraId="64184232">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2.4.3.2废水</w:t>
      </w:r>
    </w:p>
    <w:p w14:paraId="3AFBA65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本项目肉牛饲养过程中饮用水量较少，排放的尿液较少，并且牛粪较为干燥，在养殖区（牛舍、运动场）排放的尿液大部分由于当地气候</w:t>
      </w:r>
      <w:r>
        <w:rPr>
          <w:rFonts w:hint="default" w:ascii="Times New Roman" w:hAnsi="Times New Roman" w:eastAsia="宋体" w:cs="Times New Roman"/>
          <w:color w:val="auto"/>
          <w:highlight w:val="none"/>
          <w:lang w:eastAsia="zh-CN"/>
        </w:rPr>
        <w:t>干燥蒸发</w:t>
      </w:r>
      <w:r>
        <w:rPr>
          <w:rFonts w:hint="default" w:ascii="Times New Roman" w:hAnsi="Times New Roman" w:eastAsia="宋体" w:cs="Times New Roman"/>
          <w:color w:val="auto"/>
          <w:highlight w:val="none"/>
        </w:rPr>
        <w:t>，剩余尿液与粪便完全</w:t>
      </w:r>
      <w:r>
        <w:rPr>
          <w:rFonts w:hint="default" w:ascii="Times New Roman" w:hAnsi="Times New Roman" w:eastAsia="宋体" w:cs="Times New Roman"/>
          <w:color w:val="auto"/>
          <w:highlight w:val="none"/>
          <w:lang w:eastAsia="zh-CN"/>
        </w:rPr>
        <w:t>黏结</w:t>
      </w:r>
      <w:r>
        <w:rPr>
          <w:rFonts w:hint="default" w:ascii="Times New Roman" w:hAnsi="Times New Roman" w:eastAsia="宋体" w:cs="Times New Roman"/>
          <w:color w:val="auto"/>
          <w:highlight w:val="none"/>
        </w:rPr>
        <w:t>混合在一起，一起运往</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储存并堆肥，因此，没有尿液排放；养殖区（牛舍、运动场）场地不采取水冲洗方式清理，采用生石灰或者消毒水每周喷洒消毒2</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3次，因此，养殖区（牛舍、运动场）不产生冲洗废水</w:t>
      </w:r>
      <w:r>
        <w:rPr>
          <w:rFonts w:hint="default" w:ascii="Times New Roman" w:hAnsi="Times New Roman" w:eastAsia="宋体" w:cs="Times New Roman"/>
          <w:color w:val="auto"/>
          <w:highlight w:val="none"/>
          <w:lang w:eastAsia="zh-CN"/>
        </w:rPr>
        <w:t>。</w:t>
      </w:r>
    </w:p>
    <w:p w14:paraId="1ACF2DC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项目生活污水</w:t>
      </w:r>
      <w:r>
        <w:rPr>
          <w:rFonts w:hint="default" w:ascii="Times New Roman" w:hAnsi="Times New Roman" w:eastAsia="宋体" w:cs="Times New Roman"/>
          <w:color w:val="auto"/>
          <w:highlight w:val="none"/>
          <w:lang w:eastAsia="zh-CN"/>
        </w:rPr>
        <w:t>经化粪池处理</w:t>
      </w:r>
      <w:r>
        <w:rPr>
          <w:rFonts w:hint="default" w:ascii="Times New Roman" w:hAnsi="Times New Roman" w:eastAsia="宋体" w:cs="Times New Roman"/>
          <w:color w:val="auto"/>
          <w:highlight w:val="none"/>
        </w:rPr>
        <w:t>后，</w:t>
      </w:r>
      <w:r>
        <w:rPr>
          <w:rFonts w:hint="default" w:ascii="Times New Roman" w:hAnsi="Times New Roman" w:eastAsia="宋体" w:cs="Times New Roman"/>
          <w:color w:val="auto"/>
          <w:highlight w:val="none"/>
          <w:lang w:eastAsia="zh-CN"/>
        </w:rPr>
        <w:t>定期由当地环卫部门清运处置。</w:t>
      </w:r>
    </w:p>
    <w:p w14:paraId="7B254C91">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2.4.3.3废气</w:t>
      </w:r>
    </w:p>
    <w:p w14:paraId="3658AEE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项目臭气浓度排放执行《畜禽养殖业污染物排放标准》（GB18596-2001）</w:t>
      </w:r>
      <w:r>
        <w:rPr>
          <w:rFonts w:hint="default" w:ascii="Times New Roman" w:hAnsi="Times New Roman" w:eastAsia="宋体" w:cs="Times New Roman"/>
          <w:color w:val="auto"/>
          <w:highlight w:val="none"/>
          <w:lang w:eastAsia="zh-CN"/>
        </w:rPr>
        <w:t>表</w:t>
      </w:r>
      <w:r>
        <w:rPr>
          <w:rFonts w:hint="default" w:ascii="Times New Roman" w:hAnsi="Times New Roman" w:eastAsia="宋体" w:cs="Times New Roman"/>
          <w:color w:val="auto"/>
          <w:highlight w:val="none"/>
          <w:lang w:val="en-US" w:eastAsia="zh-CN"/>
        </w:rPr>
        <w:t>7集约化畜禽养殖业恶臭污染物排放标准</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排放执行《恶臭污染物排放标准》（GB14554-93）</w:t>
      </w:r>
      <w:r>
        <w:rPr>
          <w:rFonts w:hint="default" w:ascii="Times New Roman" w:hAnsi="Times New Roman" w:eastAsia="宋体" w:cs="Times New Roman"/>
          <w:color w:val="auto"/>
          <w:highlight w:val="none"/>
          <w:lang w:eastAsia="zh-CN"/>
        </w:rPr>
        <w:t>表</w:t>
      </w:r>
      <w:r>
        <w:rPr>
          <w:rFonts w:hint="default" w:ascii="Times New Roman" w:hAnsi="Times New Roman" w:eastAsia="宋体" w:cs="Times New Roman"/>
          <w:color w:val="auto"/>
          <w:highlight w:val="none"/>
          <w:lang w:val="en-US" w:eastAsia="zh-CN"/>
        </w:rPr>
        <w:t>1恶臭污染物厂界标准值中“二级、新扩改建”标准要求</w:t>
      </w:r>
      <w:r>
        <w:rPr>
          <w:rFonts w:hint="default" w:ascii="Times New Roman" w:hAnsi="Times New Roman" w:eastAsia="宋体" w:cs="Times New Roman"/>
          <w:color w:val="auto"/>
          <w:highlight w:val="none"/>
        </w:rPr>
        <w:t>，运营期颗粒物排放执行《大气污染物综合排放标准》（GB16297-1996）表2新污染源</w:t>
      </w:r>
      <w:r>
        <w:rPr>
          <w:rFonts w:hint="default" w:ascii="Times New Roman" w:hAnsi="Times New Roman" w:eastAsia="宋体" w:cs="Times New Roman"/>
          <w:color w:val="auto"/>
          <w:highlight w:val="none"/>
          <w:lang w:val="en-US" w:eastAsia="zh-CN"/>
        </w:rPr>
        <w:t>大气污染物排放限值</w:t>
      </w:r>
      <w:r>
        <w:rPr>
          <w:rFonts w:hint="default" w:ascii="Times New Roman" w:hAnsi="Times New Roman" w:eastAsia="宋体" w:cs="Times New Roman"/>
          <w:color w:val="auto"/>
          <w:highlight w:val="none"/>
          <w:lang w:eastAsia="zh-CN"/>
        </w:rPr>
        <w:t>中无组织排放监控浓度限值</w:t>
      </w:r>
      <w:r>
        <w:rPr>
          <w:rFonts w:hint="default" w:ascii="Times New Roman" w:hAnsi="Times New Roman" w:eastAsia="宋体" w:cs="Times New Roman"/>
          <w:color w:val="auto"/>
          <w:highlight w:val="none"/>
        </w:rPr>
        <w:t>，详见下表。</w:t>
      </w:r>
    </w:p>
    <w:p w14:paraId="7248D66C">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表2.4-</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大气污染物排放标准</w:t>
      </w:r>
    </w:p>
    <w:tbl>
      <w:tblPr>
        <w:tblStyle w:val="40"/>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2011"/>
        <w:gridCol w:w="2011"/>
        <w:gridCol w:w="1621"/>
        <w:gridCol w:w="1621"/>
      </w:tblGrid>
      <w:tr w14:paraId="5AEE1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restart"/>
            <w:vAlign w:val="center"/>
          </w:tcPr>
          <w:p w14:paraId="799E1E7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lang w:bidi="en-US"/>
              </w:rPr>
              <w:t>序号</w:t>
            </w:r>
          </w:p>
        </w:tc>
        <w:tc>
          <w:tcPr>
            <w:tcW w:w="1125" w:type="dxa"/>
            <w:vMerge w:val="restart"/>
            <w:vAlign w:val="center"/>
          </w:tcPr>
          <w:p w14:paraId="3B463B8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lang w:bidi="en-US"/>
              </w:rPr>
              <w:t>标准来源</w:t>
            </w:r>
          </w:p>
        </w:tc>
        <w:tc>
          <w:tcPr>
            <w:tcW w:w="1125" w:type="dxa"/>
            <w:vMerge w:val="restart"/>
            <w:vAlign w:val="center"/>
          </w:tcPr>
          <w:p w14:paraId="4BE4EAB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lang w:bidi="en-US"/>
              </w:rPr>
              <w:t>污染物</w:t>
            </w:r>
          </w:p>
        </w:tc>
        <w:tc>
          <w:tcPr>
            <w:tcW w:w="907" w:type="dxa"/>
            <w:gridSpan w:val="2"/>
            <w:vAlign w:val="center"/>
          </w:tcPr>
          <w:p w14:paraId="1A87D44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lang w:bidi="en-US"/>
              </w:rPr>
              <w:t>无组织排放限值</w:t>
            </w:r>
          </w:p>
        </w:tc>
      </w:tr>
      <w:tr w14:paraId="2E240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continue"/>
            <w:vAlign w:val="center"/>
          </w:tcPr>
          <w:p w14:paraId="3E7F429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125" w:type="dxa"/>
            <w:vMerge w:val="continue"/>
            <w:vAlign w:val="center"/>
          </w:tcPr>
          <w:p w14:paraId="5BEC043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125" w:type="dxa"/>
            <w:vMerge w:val="continue"/>
            <w:vAlign w:val="center"/>
          </w:tcPr>
          <w:p w14:paraId="73619C5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907" w:type="dxa"/>
            <w:vAlign w:val="center"/>
          </w:tcPr>
          <w:p w14:paraId="0D9CA67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lang w:bidi="en-US"/>
              </w:rPr>
              <w:t>监控点</w:t>
            </w:r>
          </w:p>
        </w:tc>
        <w:tc>
          <w:tcPr>
            <w:tcW w:w="907" w:type="dxa"/>
            <w:vAlign w:val="center"/>
          </w:tcPr>
          <w:p w14:paraId="538BC24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bidi="en-US"/>
              </w:rPr>
            </w:pPr>
            <w:r>
              <w:rPr>
                <w:rFonts w:hint="default" w:ascii="Times New Roman" w:hAnsi="Times New Roman" w:eastAsia="宋体" w:cs="Times New Roman"/>
                <w:color w:val="auto"/>
                <w:sz w:val="21"/>
                <w:szCs w:val="21"/>
                <w:highlight w:val="none"/>
                <w:lang w:bidi="en-US"/>
              </w:rPr>
              <w:t>浓度</w:t>
            </w:r>
            <w:r>
              <w:rPr>
                <w:rFonts w:hint="default" w:ascii="Times New Roman" w:hAnsi="Times New Roman" w:eastAsia="宋体" w:cs="Times New Roman"/>
                <w:color w:val="auto"/>
                <w:sz w:val="21"/>
                <w:szCs w:val="21"/>
                <w:highlight w:val="none"/>
                <w:lang w:eastAsia="zh-CN" w:bidi="en-US"/>
              </w:rPr>
              <w:t>（</w:t>
            </w:r>
            <w:r>
              <w:rPr>
                <w:rFonts w:hint="default" w:ascii="Times New Roman" w:hAnsi="Times New Roman" w:eastAsia="宋体" w:cs="Times New Roman"/>
                <w:color w:val="auto"/>
                <w:sz w:val="21"/>
                <w:szCs w:val="21"/>
                <w:highlight w:val="none"/>
                <w:lang w:bidi="en-US"/>
              </w:rPr>
              <w:t>mg/m</w:t>
            </w:r>
            <w:r>
              <w:rPr>
                <w:rFonts w:hint="default" w:ascii="Times New Roman" w:hAnsi="Times New Roman" w:eastAsia="宋体" w:cs="Times New Roman"/>
                <w:color w:val="auto"/>
                <w:sz w:val="21"/>
                <w:szCs w:val="21"/>
                <w:highlight w:val="none"/>
                <w:vertAlign w:val="superscript"/>
                <w:lang w:bidi="en-US"/>
              </w:rPr>
              <w:t>3</w:t>
            </w:r>
            <w:r>
              <w:rPr>
                <w:rFonts w:hint="default" w:ascii="Times New Roman" w:hAnsi="Times New Roman" w:eastAsia="宋体" w:cs="Times New Roman"/>
                <w:color w:val="auto"/>
                <w:sz w:val="21"/>
                <w:szCs w:val="21"/>
                <w:highlight w:val="none"/>
                <w:lang w:eastAsia="zh-CN" w:bidi="en-US"/>
              </w:rPr>
              <w:t>）</w:t>
            </w:r>
          </w:p>
        </w:tc>
      </w:tr>
      <w:tr w14:paraId="7D022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Align w:val="center"/>
          </w:tcPr>
          <w:p w14:paraId="7270832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lang w:bidi="en-US"/>
              </w:rPr>
              <w:t>1</w:t>
            </w:r>
          </w:p>
        </w:tc>
        <w:tc>
          <w:tcPr>
            <w:tcW w:w="1125" w:type="dxa"/>
            <w:vMerge w:val="restart"/>
            <w:vAlign w:val="center"/>
          </w:tcPr>
          <w:p w14:paraId="48B7A93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lang w:bidi="en-US"/>
              </w:rPr>
              <w:t>GB14554-1993</w:t>
            </w:r>
          </w:p>
        </w:tc>
        <w:tc>
          <w:tcPr>
            <w:tcW w:w="1125" w:type="dxa"/>
            <w:vAlign w:val="center"/>
          </w:tcPr>
          <w:p w14:paraId="0F076A0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lang w:bidi="en-US"/>
              </w:rPr>
              <w:t>NH</w:t>
            </w:r>
            <w:r>
              <w:rPr>
                <w:rFonts w:hint="default" w:ascii="Times New Roman" w:hAnsi="Times New Roman" w:eastAsia="宋体" w:cs="Times New Roman"/>
                <w:color w:val="auto"/>
                <w:sz w:val="21"/>
                <w:szCs w:val="21"/>
                <w:highlight w:val="none"/>
                <w:vertAlign w:val="subscript"/>
                <w:lang w:bidi="en-US"/>
              </w:rPr>
              <w:t>3</w:t>
            </w:r>
          </w:p>
        </w:tc>
        <w:tc>
          <w:tcPr>
            <w:tcW w:w="907" w:type="dxa"/>
            <w:vAlign w:val="center"/>
          </w:tcPr>
          <w:p w14:paraId="5019DD4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lang w:bidi="en-US"/>
              </w:rPr>
              <w:t>厂界</w:t>
            </w:r>
          </w:p>
        </w:tc>
        <w:tc>
          <w:tcPr>
            <w:tcW w:w="907" w:type="dxa"/>
            <w:vAlign w:val="center"/>
          </w:tcPr>
          <w:p w14:paraId="34783F8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lang w:bidi="en-US"/>
              </w:rPr>
              <w:t>1.5</w:t>
            </w:r>
          </w:p>
        </w:tc>
      </w:tr>
      <w:tr w14:paraId="36873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Align w:val="center"/>
          </w:tcPr>
          <w:p w14:paraId="5CB42FE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lang w:bidi="en-US"/>
              </w:rPr>
              <w:t>2</w:t>
            </w:r>
          </w:p>
        </w:tc>
        <w:tc>
          <w:tcPr>
            <w:tcW w:w="1125" w:type="dxa"/>
            <w:vMerge w:val="continue"/>
            <w:vAlign w:val="center"/>
          </w:tcPr>
          <w:p w14:paraId="4C2A70D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125" w:type="dxa"/>
            <w:vAlign w:val="center"/>
          </w:tcPr>
          <w:p w14:paraId="6980707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lang w:bidi="en-US"/>
              </w:rPr>
              <w:t>H</w:t>
            </w:r>
            <w:r>
              <w:rPr>
                <w:rFonts w:hint="default" w:ascii="Times New Roman" w:hAnsi="Times New Roman" w:eastAsia="宋体" w:cs="Times New Roman"/>
                <w:color w:val="auto"/>
                <w:sz w:val="21"/>
                <w:szCs w:val="21"/>
                <w:highlight w:val="none"/>
                <w:vertAlign w:val="subscript"/>
                <w:lang w:bidi="en-US"/>
              </w:rPr>
              <w:t>2</w:t>
            </w:r>
            <w:r>
              <w:rPr>
                <w:rFonts w:hint="default" w:ascii="Times New Roman" w:hAnsi="Times New Roman" w:eastAsia="宋体" w:cs="Times New Roman"/>
                <w:color w:val="auto"/>
                <w:sz w:val="21"/>
                <w:szCs w:val="21"/>
                <w:highlight w:val="none"/>
                <w:lang w:bidi="en-US"/>
              </w:rPr>
              <w:t>S</w:t>
            </w:r>
          </w:p>
        </w:tc>
        <w:tc>
          <w:tcPr>
            <w:tcW w:w="907" w:type="dxa"/>
            <w:vAlign w:val="center"/>
          </w:tcPr>
          <w:p w14:paraId="3894376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lang w:bidi="en-US"/>
              </w:rPr>
              <w:t>厂界</w:t>
            </w:r>
          </w:p>
        </w:tc>
        <w:tc>
          <w:tcPr>
            <w:tcW w:w="907" w:type="dxa"/>
            <w:vAlign w:val="center"/>
          </w:tcPr>
          <w:p w14:paraId="4101BE9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lang w:bidi="en-US"/>
              </w:rPr>
              <w:t>0.06</w:t>
            </w:r>
          </w:p>
        </w:tc>
      </w:tr>
      <w:tr w14:paraId="7F6C3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Align w:val="center"/>
          </w:tcPr>
          <w:p w14:paraId="078DE0C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lang w:bidi="en-US"/>
              </w:rPr>
              <w:t>3</w:t>
            </w:r>
          </w:p>
        </w:tc>
        <w:tc>
          <w:tcPr>
            <w:tcW w:w="1125" w:type="dxa"/>
            <w:vAlign w:val="center"/>
          </w:tcPr>
          <w:p w14:paraId="3FBECA6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lang w:bidi="en-US"/>
              </w:rPr>
              <w:t>GB18596-2001</w:t>
            </w:r>
          </w:p>
        </w:tc>
        <w:tc>
          <w:tcPr>
            <w:tcW w:w="1125" w:type="dxa"/>
            <w:vAlign w:val="center"/>
          </w:tcPr>
          <w:p w14:paraId="40CBAA4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lang w:bidi="en-US"/>
              </w:rPr>
              <w:t>臭气浓度（无量纲）</w:t>
            </w:r>
          </w:p>
        </w:tc>
        <w:tc>
          <w:tcPr>
            <w:tcW w:w="907" w:type="dxa"/>
            <w:vAlign w:val="center"/>
          </w:tcPr>
          <w:p w14:paraId="615731F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lang w:bidi="en-US"/>
              </w:rPr>
              <w:t>厂界</w:t>
            </w:r>
          </w:p>
        </w:tc>
        <w:tc>
          <w:tcPr>
            <w:tcW w:w="907" w:type="dxa"/>
            <w:vAlign w:val="center"/>
          </w:tcPr>
          <w:p w14:paraId="503496A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lang w:bidi="en-US"/>
              </w:rPr>
              <w:t>70</w:t>
            </w:r>
          </w:p>
        </w:tc>
      </w:tr>
      <w:tr w14:paraId="568D7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Align w:val="center"/>
          </w:tcPr>
          <w:p w14:paraId="3364A02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lang w:bidi="en-US"/>
              </w:rPr>
              <w:t>4</w:t>
            </w:r>
          </w:p>
        </w:tc>
        <w:tc>
          <w:tcPr>
            <w:tcW w:w="1125" w:type="dxa"/>
            <w:vAlign w:val="center"/>
          </w:tcPr>
          <w:p w14:paraId="309F7C0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rPr>
              <w:t>GB16297-1996</w:t>
            </w:r>
          </w:p>
        </w:tc>
        <w:tc>
          <w:tcPr>
            <w:tcW w:w="1125" w:type="dxa"/>
            <w:vAlign w:val="center"/>
          </w:tcPr>
          <w:p w14:paraId="081A5FA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rPr>
              <w:t>颗粒物</w:t>
            </w:r>
          </w:p>
        </w:tc>
        <w:tc>
          <w:tcPr>
            <w:tcW w:w="907" w:type="dxa"/>
            <w:vAlign w:val="center"/>
          </w:tcPr>
          <w:p w14:paraId="441030B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00B050"/>
                <w:sz w:val="21"/>
                <w:szCs w:val="21"/>
                <w:highlight w:val="none"/>
                <w:lang w:val="en-US" w:eastAsia="zh-CN" w:bidi="en-US"/>
              </w:rPr>
              <w:t>厂界</w:t>
            </w:r>
          </w:p>
        </w:tc>
        <w:tc>
          <w:tcPr>
            <w:tcW w:w="907" w:type="dxa"/>
            <w:vAlign w:val="center"/>
          </w:tcPr>
          <w:p w14:paraId="0161AE3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lang w:bidi="en-US"/>
              </w:rPr>
              <w:t>1.0</w:t>
            </w:r>
          </w:p>
        </w:tc>
      </w:tr>
    </w:tbl>
    <w:p w14:paraId="3868E495">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2.4.3.4噪声</w:t>
      </w:r>
    </w:p>
    <w:p w14:paraId="037FBF0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（1）施工期</w:t>
      </w:r>
    </w:p>
    <w:p w14:paraId="1729FFC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项目施工</w:t>
      </w:r>
      <w:r>
        <w:rPr>
          <w:rFonts w:hint="default" w:ascii="Times New Roman" w:hAnsi="Times New Roman" w:eastAsia="宋体" w:cs="Times New Roman"/>
          <w:color w:val="auto"/>
          <w:highlight w:val="none"/>
          <w:lang w:eastAsia="zh-CN"/>
        </w:rPr>
        <w:t>期</w:t>
      </w:r>
      <w:r>
        <w:rPr>
          <w:rFonts w:hint="default" w:ascii="Times New Roman" w:hAnsi="Times New Roman" w:eastAsia="宋体" w:cs="Times New Roman"/>
          <w:color w:val="auto"/>
          <w:highlight w:val="none"/>
        </w:rPr>
        <w:t>噪声执行《建筑施工场界环境噪声排放标准》（GB12523-2011）</w:t>
      </w:r>
      <w:r>
        <w:rPr>
          <w:rFonts w:hint="default" w:ascii="Times New Roman" w:hAnsi="Times New Roman" w:eastAsia="宋体" w:cs="Times New Roman"/>
          <w:color w:val="auto"/>
          <w:highlight w:val="none"/>
          <w:lang w:eastAsia="zh-CN"/>
        </w:rPr>
        <w:t>表</w:t>
      </w:r>
      <w:r>
        <w:rPr>
          <w:rFonts w:hint="default" w:ascii="Times New Roman" w:hAnsi="Times New Roman" w:eastAsia="宋体" w:cs="Times New Roman"/>
          <w:color w:val="auto"/>
          <w:highlight w:val="none"/>
          <w:lang w:val="en-US" w:eastAsia="zh-CN"/>
        </w:rPr>
        <w:t>1建筑施工场界环境噪声排放限值</w:t>
      </w:r>
      <w:r>
        <w:rPr>
          <w:rFonts w:hint="default" w:ascii="Times New Roman" w:hAnsi="Times New Roman" w:eastAsia="宋体" w:cs="Times New Roman"/>
          <w:color w:val="auto"/>
          <w:highlight w:val="none"/>
        </w:rPr>
        <w:t>，即昼间70dB</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A</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、夜间55dB</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A</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w:t>
      </w:r>
    </w:p>
    <w:p w14:paraId="43913F1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C000"/>
          <w:highlight w:val="none"/>
        </w:rPr>
      </w:pPr>
      <w:r>
        <w:rPr>
          <w:rFonts w:hint="default" w:ascii="Times New Roman" w:hAnsi="Times New Roman" w:eastAsia="宋体" w:cs="Times New Roman"/>
          <w:color w:val="FFC000"/>
          <w:highlight w:val="none"/>
        </w:rPr>
        <w:t>（2）运营期</w:t>
      </w:r>
    </w:p>
    <w:p w14:paraId="7728B9C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C000"/>
          <w:highlight w:val="none"/>
        </w:rPr>
      </w:pPr>
      <w:r>
        <w:rPr>
          <w:rFonts w:hint="default" w:ascii="Times New Roman" w:hAnsi="Times New Roman" w:eastAsia="宋体" w:cs="Times New Roman"/>
          <w:color w:val="FFC000"/>
          <w:highlight w:val="none"/>
        </w:rPr>
        <w:t>项目厂界噪声执行《工业企业厂界环境噪声排放标准》（GB12348-2008）</w:t>
      </w:r>
      <w:r>
        <w:rPr>
          <w:rFonts w:hint="default" w:ascii="Times New Roman" w:hAnsi="Times New Roman" w:eastAsia="宋体" w:cs="Times New Roman"/>
          <w:color w:val="FFC000"/>
          <w:highlight w:val="none"/>
          <w:lang w:eastAsia="zh-CN"/>
        </w:rPr>
        <w:t>表</w:t>
      </w:r>
      <w:r>
        <w:rPr>
          <w:rFonts w:hint="default" w:ascii="Times New Roman" w:hAnsi="Times New Roman" w:eastAsia="宋体" w:cs="Times New Roman"/>
          <w:color w:val="FFC000"/>
          <w:highlight w:val="none"/>
          <w:lang w:val="en-US" w:eastAsia="zh-CN"/>
        </w:rPr>
        <w:t>1工业企业厂界环境噪声排放限值中</w:t>
      </w:r>
      <w:r>
        <w:rPr>
          <w:rFonts w:hint="default" w:ascii="Times New Roman" w:hAnsi="Times New Roman" w:eastAsia="宋体" w:cs="Times New Roman"/>
          <w:color w:val="FFC000"/>
          <w:highlight w:val="none"/>
          <w:lang w:val="en-US" w:eastAsia="zh-CN"/>
        </w:rPr>
        <w:t>1</w:t>
      </w:r>
      <w:r>
        <w:rPr>
          <w:rFonts w:hint="default" w:ascii="Times New Roman" w:hAnsi="Times New Roman" w:eastAsia="宋体" w:cs="Times New Roman"/>
          <w:color w:val="FFC000"/>
          <w:highlight w:val="none"/>
          <w:lang w:val="en-US" w:eastAsia="zh-CN"/>
        </w:rPr>
        <w:t>类功能区排放限值</w:t>
      </w:r>
      <w:r>
        <w:rPr>
          <w:rFonts w:hint="default" w:ascii="Times New Roman" w:hAnsi="Times New Roman" w:eastAsia="宋体" w:cs="Times New Roman"/>
          <w:color w:val="FFC000"/>
          <w:highlight w:val="none"/>
        </w:rPr>
        <w:t>。厂界噪声标准见下表。</w:t>
      </w:r>
    </w:p>
    <w:p w14:paraId="7509F2C3">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FFC000"/>
          <w:highlight w:val="none"/>
        </w:rPr>
      </w:pPr>
      <w:r>
        <w:rPr>
          <w:rFonts w:hint="default" w:ascii="Times New Roman" w:hAnsi="Times New Roman" w:eastAsia="宋体" w:cs="Times New Roman"/>
          <w:color w:val="FFC000"/>
          <w:highlight w:val="none"/>
        </w:rPr>
        <w:t>表2.4-</w:t>
      </w:r>
      <w:r>
        <w:rPr>
          <w:rFonts w:hint="default" w:ascii="Times New Roman" w:hAnsi="Times New Roman" w:eastAsia="宋体" w:cs="Times New Roman"/>
          <w:color w:val="FFC000"/>
          <w:highlight w:val="none"/>
          <w:lang w:val="en-US" w:eastAsia="zh-CN"/>
        </w:rPr>
        <w:t>7</w:t>
      </w:r>
      <w:r>
        <w:rPr>
          <w:rFonts w:hint="default" w:ascii="Times New Roman" w:hAnsi="Times New Roman" w:eastAsia="宋体" w:cs="Times New Roman"/>
          <w:color w:val="FFC000"/>
          <w:highlight w:val="none"/>
        </w:rPr>
        <w:t>厂界噪声标准值表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55"/>
        <w:gridCol w:w="1655"/>
        <w:gridCol w:w="1655"/>
        <w:gridCol w:w="1656"/>
        <w:gridCol w:w="1656"/>
      </w:tblGrid>
      <w:tr w14:paraId="17F3A7C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4" w:type="dxa"/>
            <w:vMerge w:val="restart"/>
            <w:tcBorders>
              <w:top w:val="single" w:color="auto" w:sz="4" w:space="0"/>
              <w:left w:val="single" w:color="auto" w:sz="4" w:space="0"/>
              <w:bottom w:val="single" w:color="auto" w:sz="4" w:space="0"/>
              <w:right w:val="single" w:color="auto" w:sz="4" w:space="0"/>
            </w:tcBorders>
            <w:vAlign w:val="center"/>
          </w:tcPr>
          <w:p w14:paraId="6B73A3A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C000"/>
                <w:sz w:val="21"/>
                <w:szCs w:val="21"/>
                <w:highlight w:val="none"/>
              </w:rPr>
            </w:pPr>
            <w:r>
              <w:rPr>
                <w:rFonts w:hint="default" w:ascii="Times New Roman" w:hAnsi="Times New Roman" w:eastAsia="宋体" w:cs="Times New Roman"/>
                <w:color w:val="FFC000"/>
                <w:sz w:val="21"/>
                <w:szCs w:val="21"/>
                <w:highlight w:val="none"/>
              </w:rPr>
              <w:t>厂界</w:t>
            </w:r>
          </w:p>
        </w:tc>
        <w:tc>
          <w:tcPr>
            <w:tcW w:w="1134" w:type="dxa"/>
            <w:tcBorders>
              <w:top w:val="single" w:color="auto" w:sz="4" w:space="0"/>
              <w:left w:val="single" w:color="auto" w:sz="4" w:space="0"/>
              <w:bottom w:val="single" w:color="auto" w:sz="4" w:space="0"/>
              <w:right w:val="single" w:color="auto" w:sz="4" w:space="0"/>
            </w:tcBorders>
            <w:vAlign w:val="center"/>
          </w:tcPr>
          <w:p w14:paraId="6A06A30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C000"/>
                <w:sz w:val="21"/>
                <w:szCs w:val="21"/>
                <w:highlight w:val="none"/>
              </w:rPr>
            </w:pPr>
            <w:r>
              <w:rPr>
                <w:rFonts w:hint="default" w:ascii="Times New Roman" w:hAnsi="Times New Roman" w:eastAsia="宋体" w:cs="Times New Roman"/>
                <w:color w:val="FFC000"/>
                <w:sz w:val="21"/>
                <w:szCs w:val="21"/>
                <w:highlight w:val="none"/>
              </w:rPr>
              <w:t>类别</w:t>
            </w:r>
          </w:p>
        </w:tc>
        <w:tc>
          <w:tcPr>
            <w:tcW w:w="1134" w:type="dxa"/>
            <w:tcBorders>
              <w:top w:val="single" w:color="auto" w:sz="4" w:space="0"/>
              <w:left w:val="single" w:color="auto" w:sz="4" w:space="0"/>
              <w:bottom w:val="single" w:color="auto" w:sz="4" w:space="0"/>
              <w:right w:val="single" w:color="auto" w:sz="4" w:space="0"/>
            </w:tcBorders>
            <w:vAlign w:val="center"/>
          </w:tcPr>
          <w:p w14:paraId="55FBD83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C000"/>
                <w:sz w:val="21"/>
                <w:szCs w:val="21"/>
                <w:highlight w:val="none"/>
              </w:rPr>
            </w:pPr>
            <w:r>
              <w:rPr>
                <w:rFonts w:hint="default" w:ascii="Times New Roman" w:hAnsi="Times New Roman" w:eastAsia="宋体" w:cs="Times New Roman"/>
                <w:color w:val="FFC000"/>
                <w:sz w:val="21"/>
                <w:szCs w:val="21"/>
                <w:highlight w:val="none"/>
              </w:rPr>
              <w:t>昼间</w:t>
            </w:r>
          </w:p>
        </w:tc>
        <w:tc>
          <w:tcPr>
            <w:tcW w:w="1134" w:type="dxa"/>
            <w:tcBorders>
              <w:top w:val="single" w:color="auto" w:sz="4" w:space="0"/>
              <w:left w:val="single" w:color="auto" w:sz="4" w:space="0"/>
              <w:bottom w:val="single" w:color="auto" w:sz="4" w:space="0"/>
              <w:right w:val="single" w:color="auto" w:sz="4" w:space="0"/>
            </w:tcBorders>
            <w:vAlign w:val="center"/>
          </w:tcPr>
          <w:p w14:paraId="5C0A7CE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C000"/>
                <w:sz w:val="21"/>
                <w:szCs w:val="21"/>
                <w:highlight w:val="none"/>
              </w:rPr>
            </w:pPr>
            <w:r>
              <w:rPr>
                <w:rFonts w:hint="default" w:ascii="Times New Roman" w:hAnsi="Times New Roman" w:eastAsia="宋体" w:cs="Times New Roman"/>
                <w:color w:val="FFC000"/>
                <w:sz w:val="21"/>
                <w:szCs w:val="21"/>
                <w:highlight w:val="none"/>
              </w:rPr>
              <w:t>夜间</w:t>
            </w:r>
          </w:p>
        </w:tc>
        <w:tc>
          <w:tcPr>
            <w:tcW w:w="1134" w:type="dxa"/>
            <w:tcBorders>
              <w:top w:val="single" w:color="auto" w:sz="4" w:space="0"/>
              <w:left w:val="single" w:color="auto" w:sz="4" w:space="0"/>
              <w:bottom w:val="single" w:color="auto" w:sz="4" w:space="0"/>
              <w:right w:val="single" w:color="auto" w:sz="4" w:space="0"/>
            </w:tcBorders>
            <w:vAlign w:val="center"/>
          </w:tcPr>
          <w:p w14:paraId="4BD685B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C000"/>
                <w:sz w:val="21"/>
                <w:szCs w:val="21"/>
                <w:highlight w:val="none"/>
              </w:rPr>
            </w:pPr>
            <w:r>
              <w:rPr>
                <w:rFonts w:hint="default" w:ascii="Times New Roman" w:hAnsi="Times New Roman" w:eastAsia="宋体" w:cs="Times New Roman"/>
                <w:color w:val="FFC000"/>
                <w:sz w:val="21"/>
                <w:szCs w:val="21"/>
                <w:highlight w:val="none"/>
              </w:rPr>
              <w:t>标准来源</w:t>
            </w:r>
          </w:p>
        </w:tc>
      </w:tr>
      <w:tr w14:paraId="1B37C16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4" w:type="dxa"/>
            <w:vMerge w:val="continue"/>
            <w:tcBorders>
              <w:top w:val="single" w:color="auto" w:sz="4" w:space="0"/>
              <w:left w:val="single" w:color="auto" w:sz="4" w:space="0"/>
              <w:bottom w:val="single" w:color="auto" w:sz="4" w:space="0"/>
              <w:right w:val="single" w:color="auto" w:sz="4" w:space="0"/>
            </w:tcBorders>
            <w:vAlign w:val="center"/>
          </w:tcPr>
          <w:p w14:paraId="3641C50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C000"/>
                <w:sz w:val="21"/>
                <w:szCs w:val="21"/>
                <w:highlight w:val="none"/>
              </w:rPr>
            </w:pPr>
          </w:p>
        </w:tc>
        <w:tc>
          <w:tcPr>
            <w:tcW w:w="1134" w:type="dxa"/>
            <w:tcBorders>
              <w:top w:val="single" w:color="auto" w:sz="4" w:space="0"/>
              <w:left w:val="single" w:color="auto" w:sz="4" w:space="0"/>
              <w:bottom w:val="single" w:color="auto" w:sz="4" w:space="0"/>
              <w:right w:val="single" w:color="auto" w:sz="4" w:space="0"/>
            </w:tcBorders>
            <w:vAlign w:val="center"/>
          </w:tcPr>
          <w:p w14:paraId="7013156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C000"/>
                <w:sz w:val="21"/>
                <w:szCs w:val="21"/>
                <w:highlight w:val="none"/>
              </w:rPr>
            </w:pPr>
            <w:r>
              <w:rPr>
                <w:rFonts w:hint="default" w:ascii="Times New Roman" w:hAnsi="Times New Roman" w:eastAsia="宋体" w:cs="Times New Roman"/>
                <w:color w:val="FFC000"/>
                <w:sz w:val="21"/>
                <w:szCs w:val="21"/>
                <w:highlight w:val="none"/>
                <w:lang w:val="en-US" w:eastAsia="zh-CN"/>
              </w:rPr>
              <w:t>1</w:t>
            </w:r>
            <w:r>
              <w:rPr>
                <w:rFonts w:hint="default" w:ascii="Times New Roman" w:hAnsi="Times New Roman" w:eastAsia="宋体" w:cs="Times New Roman"/>
                <w:color w:val="FFC000"/>
                <w:sz w:val="21"/>
                <w:szCs w:val="21"/>
                <w:highlight w:val="none"/>
              </w:rPr>
              <w:t>类</w:t>
            </w:r>
          </w:p>
        </w:tc>
        <w:tc>
          <w:tcPr>
            <w:tcW w:w="1134" w:type="dxa"/>
            <w:tcBorders>
              <w:top w:val="single" w:color="auto" w:sz="4" w:space="0"/>
              <w:left w:val="single" w:color="auto" w:sz="4" w:space="0"/>
              <w:bottom w:val="single" w:color="auto" w:sz="4" w:space="0"/>
              <w:right w:val="single" w:color="auto" w:sz="4" w:space="0"/>
            </w:tcBorders>
            <w:vAlign w:val="center"/>
          </w:tcPr>
          <w:p w14:paraId="59E8D1B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C000"/>
                <w:sz w:val="21"/>
                <w:szCs w:val="21"/>
                <w:highlight w:val="none"/>
                <w:lang w:eastAsia="zh-CN"/>
              </w:rPr>
            </w:pPr>
            <w:r>
              <w:rPr>
                <w:rFonts w:hint="default" w:ascii="Times New Roman" w:hAnsi="Times New Roman" w:eastAsia="宋体" w:cs="Times New Roman"/>
                <w:color w:val="FFC000"/>
                <w:sz w:val="21"/>
                <w:szCs w:val="21"/>
                <w:highlight w:val="none"/>
                <w:lang w:val="en-US" w:eastAsia="zh-CN"/>
              </w:rPr>
              <w:t>55</w:t>
            </w:r>
            <w:r>
              <w:rPr>
                <w:rFonts w:hint="default" w:ascii="Times New Roman" w:hAnsi="Times New Roman" w:eastAsia="宋体" w:cs="Times New Roman"/>
                <w:color w:val="FFC000"/>
                <w:sz w:val="21"/>
                <w:szCs w:val="21"/>
                <w:highlight w:val="none"/>
              </w:rPr>
              <w:t>dB</w:t>
            </w:r>
            <w:r>
              <w:rPr>
                <w:rFonts w:hint="default" w:ascii="Times New Roman" w:hAnsi="Times New Roman" w:eastAsia="宋体" w:cs="Times New Roman"/>
                <w:color w:val="FFC000"/>
                <w:sz w:val="21"/>
                <w:szCs w:val="21"/>
                <w:highlight w:val="none"/>
                <w:lang w:eastAsia="zh-CN"/>
              </w:rPr>
              <w:t>（</w:t>
            </w:r>
            <w:r>
              <w:rPr>
                <w:rFonts w:hint="default" w:ascii="Times New Roman" w:hAnsi="Times New Roman" w:eastAsia="宋体" w:cs="Times New Roman"/>
                <w:color w:val="FFC000"/>
                <w:sz w:val="21"/>
                <w:szCs w:val="21"/>
                <w:highlight w:val="none"/>
                <w:lang w:eastAsia="zh-CN"/>
              </w:rPr>
              <w:t>A</w:t>
            </w:r>
            <w:r>
              <w:rPr>
                <w:rFonts w:hint="default" w:ascii="Times New Roman" w:hAnsi="Times New Roman" w:eastAsia="宋体" w:cs="Times New Roman"/>
                <w:color w:val="FFC000"/>
                <w:sz w:val="21"/>
                <w:szCs w:val="21"/>
                <w:highlight w:val="none"/>
                <w:lang w:eastAsia="zh-CN"/>
              </w:rPr>
              <w:t>）</w:t>
            </w:r>
          </w:p>
        </w:tc>
        <w:tc>
          <w:tcPr>
            <w:tcW w:w="1134" w:type="dxa"/>
            <w:tcBorders>
              <w:top w:val="single" w:color="auto" w:sz="4" w:space="0"/>
              <w:left w:val="single" w:color="auto" w:sz="4" w:space="0"/>
              <w:bottom w:val="single" w:color="auto" w:sz="4" w:space="0"/>
              <w:right w:val="single" w:color="auto" w:sz="4" w:space="0"/>
            </w:tcBorders>
            <w:vAlign w:val="center"/>
          </w:tcPr>
          <w:p w14:paraId="407B25D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C000"/>
                <w:sz w:val="21"/>
                <w:szCs w:val="21"/>
                <w:highlight w:val="none"/>
                <w:lang w:eastAsia="zh-CN"/>
              </w:rPr>
            </w:pPr>
            <w:r>
              <w:rPr>
                <w:rFonts w:hint="default" w:ascii="Times New Roman" w:hAnsi="Times New Roman" w:eastAsia="宋体" w:cs="Times New Roman"/>
                <w:color w:val="FFC000"/>
                <w:sz w:val="21"/>
                <w:szCs w:val="21"/>
                <w:highlight w:val="none"/>
                <w:lang w:val="en-US" w:eastAsia="zh-CN"/>
              </w:rPr>
              <w:t>45</w:t>
            </w:r>
            <w:r>
              <w:rPr>
                <w:rFonts w:hint="default" w:ascii="Times New Roman" w:hAnsi="Times New Roman" w:eastAsia="宋体" w:cs="Times New Roman"/>
                <w:color w:val="FFC000"/>
                <w:sz w:val="21"/>
                <w:szCs w:val="21"/>
                <w:highlight w:val="none"/>
              </w:rPr>
              <w:t>dB</w:t>
            </w:r>
            <w:r>
              <w:rPr>
                <w:rFonts w:hint="default" w:ascii="Times New Roman" w:hAnsi="Times New Roman" w:eastAsia="宋体" w:cs="Times New Roman"/>
                <w:color w:val="FFC000"/>
                <w:sz w:val="21"/>
                <w:szCs w:val="21"/>
                <w:highlight w:val="none"/>
                <w:lang w:eastAsia="zh-CN"/>
              </w:rPr>
              <w:t>（</w:t>
            </w:r>
            <w:r>
              <w:rPr>
                <w:rFonts w:hint="default" w:ascii="Times New Roman" w:hAnsi="Times New Roman" w:eastAsia="宋体" w:cs="Times New Roman"/>
                <w:color w:val="FFC000"/>
                <w:sz w:val="21"/>
                <w:szCs w:val="21"/>
                <w:highlight w:val="none"/>
                <w:lang w:eastAsia="zh-CN"/>
              </w:rPr>
              <w:t>A</w:t>
            </w:r>
            <w:r>
              <w:rPr>
                <w:rFonts w:hint="default" w:ascii="Times New Roman" w:hAnsi="Times New Roman" w:eastAsia="宋体" w:cs="Times New Roman"/>
                <w:color w:val="FFC000"/>
                <w:sz w:val="21"/>
                <w:szCs w:val="21"/>
                <w:highlight w:val="none"/>
                <w:lang w:eastAsia="zh-CN"/>
              </w:rPr>
              <w:t>）</w:t>
            </w:r>
          </w:p>
        </w:tc>
        <w:tc>
          <w:tcPr>
            <w:tcW w:w="1134" w:type="dxa"/>
            <w:tcBorders>
              <w:top w:val="single" w:color="auto" w:sz="4" w:space="0"/>
              <w:left w:val="single" w:color="auto" w:sz="4" w:space="0"/>
              <w:bottom w:val="single" w:color="auto" w:sz="4" w:space="0"/>
              <w:right w:val="single" w:color="auto" w:sz="4" w:space="0"/>
            </w:tcBorders>
            <w:vAlign w:val="center"/>
          </w:tcPr>
          <w:p w14:paraId="5B83A9E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C000"/>
                <w:sz w:val="21"/>
                <w:szCs w:val="21"/>
                <w:highlight w:val="none"/>
              </w:rPr>
            </w:pPr>
            <w:r>
              <w:rPr>
                <w:rFonts w:hint="default" w:ascii="Times New Roman" w:hAnsi="Times New Roman" w:eastAsia="宋体" w:cs="Times New Roman"/>
                <w:color w:val="FFC000"/>
                <w:sz w:val="21"/>
                <w:szCs w:val="21"/>
                <w:highlight w:val="none"/>
              </w:rPr>
              <w:t>GB12348-2008</w:t>
            </w:r>
          </w:p>
        </w:tc>
      </w:tr>
    </w:tbl>
    <w:p w14:paraId="1F6F3C51">
      <w:pPr>
        <w:pStyle w:val="6"/>
        <w:pageBreakBefore w:val="0"/>
        <w:widowControl w:val="0"/>
        <w:kinsoku/>
        <w:wordWrap/>
        <w:topLinePunct/>
        <w:autoSpaceDE w:val="0"/>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2.4.3.5固体废物</w:t>
      </w:r>
    </w:p>
    <w:p w14:paraId="4C8038BF">
      <w:pPr>
        <w:pageBreakBefore w:val="0"/>
        <w:widowControl w:val="0"/>
        <w:kinsoku/>
        <w:wordWrap/>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一般固废执行《一般工业固体废物贮存和填埋污染控制标准》（GB18599-2020）的相关要求；</w:t>
      </w:r>
    </w:p>
    <w:p w14:paraId="47A7CDBE">
      <w:pPr>
        <w:pageBreakBefore w:val="0"/>
        <w:widowControl w:val="0"/>
        <w:kinsoku/>
        <w:wordWrap/>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FF0000"/>
          <w:highlight w:val="none"/>
          <w:lang w:eastAsia="zh-CN"/>
        </w:rPr>
        <w:t>医疗垃圾</w:t>
      </w:r>
      <w:r>
        <w:rPr>
          <w:rFonts w:hint="default" w:ascii="Times New Roman" w:hAnsi="Times New Roman" w:eastAsia="宋体" w:cs="Times New Roman"/>
          <w:color w:val="FF0000"/>
          <w:highlight w:val="none"/>
        </w:rPr>
        <w:t>执行《</w:t>
      </w:r>
      <w:r>
        <w:rPr>
          <w:rFonts w:hint="default" w:ascii="Times New Roman" w:hAnsi="Times New Roman" w:eastAsia="宋体" w:cs="Times New Roman"/>
          <w:color w:val="FF0000"/>
          <w:highlight w:val="none"/>
          <w:lang w:eastAsia="zh-CN"/>
        </w:rPr>
        <w:t>危险废物贮存污染控制标准</w:t>
      </w:r>
      <w:r>
        <w:rPr>
          <w:rFonts w:hint="default" w:ascii="Times New Roman" w:hAnsi="Times New Roman" w:eastAsia="宋体" w:cs="Times New Roman"/>
          <w:color w:val="FF0000"/>
          <w:highlight w:val="none"/>
        </w:rPr>
        <w:t>》（</w:t>
      </w:r>
      <w:r>
        <w:rPr>
          <w:rFonts w:hint="default" w:ascii="Times New Roman" w:hAnsi="Times New Roman" w:eastAsia="宋体" w:cs="Times New Roman"/>
          <w:color w:val="FF0000"/>
          <w:highlight w:val="none"/>
          <w:lang w:eastAsia="zh-CN"/>
        </w:rPr>
        <w:t>GB18597-2023</w:t>
      </w:r>
      <w:r>
        <w:rPr>
          <w:rFonts w:hint="default" w:ascii="Times New Roman" w:hAnsi="Times New Roman" w:eastAsia="宋体" w:cs="Times New Roman"/>
          <w:color w:val="FF0000"/>
          <w:highlight w:val="none"/>
        </w:rPr>
        <w:t>）；</w:t>
      </w:r>
    </w:p>
    <w:p w14:paraId="64C1C7BB">
      <w:pPr>
        <w:pageBreakBefore w:val="0"/>
        <w:widowControl w:val="0"/>
        <w:kinsoku/>
        <w:wordWrap/>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垫料发酵无害化处理后，</w:t>
      </w:r>
      <w:r>
        <w:rPr>
          <w:rFonts w:hint="default" w:ascii="Times New Roman" w:hAnsi="Times New Roman" w:eastAsia="宋体" w:cs="Times New Roman"/>
          <w:color w:val="auto"/>
          <w:highlight w:val="none"/>
        </w:rPr>
        <w:t>参照《畜禽养殖业污染物排放标准》（GB18596-2001）中“表6畜禽养殖业废渣无害化环境标准”要求，具体见表2.4-5；</w:t>
      </w:r>
    </w:p>
    <w:p w14:paraId="66676330">
      <w:pPr>
        <w:pageBreakBefore w:val="0"/>
        <w:widowControl w:val="0"/>
        <w:kinsoku/>
        <w:wordWrap/>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病死畜</w:t>
      </w:r>
      <w:r>
        <w:rPr>
          <w:rFonts w:hint="default" w:ascii="Times New Roman" w:hAnsi="Times New Roman" w:eastAsia="宋体" w:cs="Times New Roman"/>
          <w:color w:val="auto"/>
          <w:highlight w:val="none"/>
        </w:rPr>
        <w:t>同时参照《畜禽养殖业污染治理工程技术规范》（HJ497-2009）、《病害动物和病害动物产品生物安全处理规程》（GB16548-2006）以及《病死及病害动物无害化处理技术规范》（农医发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2017</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25号）中的相关规定进行处置。</w:t>
      </w:r>
    </w:p>
    <w:p w14:paraId="56677534">
      <w:pPr>
        <w:pStyle w:val="3"/>
        <w:pageBreakBefore w:val="0"/>
        <w:widowControl w:val="0"/>
        <w:kinsoku/>
        <w:wordWrap/>
        <w:topLinePunct/>
        <w:autoSpaceDE w:val="0"/>
        <w:autoSpaceDN/>
        <w:bidi w:val="0"/>
        <w:adjustRightInd/>
        <w:snapToGrid w:val="0"/>
        <w:spacing w:before="0" w:after="0" w:line="360" w:lineRule="auto"/>
        <w:ind w:left="0" w:leftChars="0" w:right="0" w:rightChars="0"/>
        <w:textAlignment w:val="auto"/>
        <w:outlineLvl w:val="0"/>
        <w:rPr>
          <w:rFonts w:hint="default" w:ascii="Times New Roman" w:hAnsi="Times New Roman" w:eastAsia="宋体" w:cs="Times New Roman"/>
          <w:color w:val="auto"/>
          <w:highlight w:val="none"/>
        </w:rPr>
      </w:pPr>
      <w:bookmarkStart w:id="147" w:name="_Toc512871528"/>
      <w:bookmarkStart w:id="148" w:name="_Toc606"/>
      <w:r>
        <w:rPr>
          <w:rFonts w:hint="default" w:ascii="Times New Roman" w:hAnsi="Times New Roman" w:eastAsia="宋体" w:cs="Times New Roman"/>
          <w:color w:val="auto"/>
          <w:highlight w:val="none"/>
        </w:rPr>
        <w:t>2.5评价等级及评价范围</w:t>
      </w:r>
      <w:bookmarkEnd w:id="147"/>
      <w:bookmarkEnd w:id="148"/>
    </w:p>
    <w:p w14:paraId="62F57CB7">
      <w:pPr>
        <w:pStyle w:val="5"/>
        <w:pageBreakBefore w:val="0"/>
        <w:widowControl w:val="0"/>
        <w:kinsoku/>
        <w:wordWrap/>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149" w:name="_Toc453603066"/>
      <w:bookmarkStart w:id="150" w:name="_Toc512871529"/>
      <w:bookmarkStart w:id="151" w:name="_Toc452567811"/>
      <w:bookmarkStart w:id="152" w:name="_Toc13714"/>
      <w:bookmarkStart w:id="153" w:name="_Toc4475"/>
      <w:r>
        <w:rPr>
          <w:rFonts w:hint="default" w:ascii="Times New Roman" w:hAnsi="Times New Roman" w:eastAsia="宋体" w:cs="Times New Roman"/>
          <w:color w:val="auto"/>
          <w:highlight w:val="none"/>
        </w:rPr>
        <w:t>2.5.1大气环境</w:t>
      </w:r>
      <w:bookmarkEnd w:id="149"/>
      <w:bookmarkEnd w:id="150"/>
      <w:bookmarkEnd w:id="151"/>
      <w:bookmarkEnd w:id="152"/>
      <w:bookmarkEnd w:id="153"/>
    </w:p>
    <w:p w14:paraId="4074E430">
      <w:pPr>
        <w:pageBreakBefore w:val="0"/>
        <w:widowControl w:val="0"/>
        <w:kinsoku/>
        <w:wordWrap/>
        <w:overflowPunct w:val="0"/>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（1）评价等级判定</w:t>
      </w:r>
    </w:p>
    <w:p w14:paraId="68677461">
      <w:pPr>
        <w:pageBreakBefore w:val="0"/>
        <w:widowControl w:val="0"/>
        <w:kinsoku/>
        <w:wordWrap/>
        <w:overflowPunct w:val="0"/>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highlight w:val="none"/>
          <w:lang w:eastAsia="zh-CN"/>
        </w:rPr>
        <w:t>环境影响评价技术导则</w:t>
      </w:r>
      <w:r>
        <w:rPr>
          <w:rFonts w:hint="default" w:ascii="Times New Roman" w:hAnsi="Times New Roman" w:eastAsia="宋体" w:cs="Times New Roman"/>
          <w:color w:val="auto"/>
          <w:highlight w:val="none"/>
        </w:rPr>
        <w:t>大气环境》（HJ2.2-2018）中规定，根据项目污染源初步调查结果，分别计算项目排放主要污染物的最大地面空气质量浓度占标率P</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（第i个污染物，简称“最大浓度占标率”），及第i个污染物的地面空气质量浓度达到标准值的10%时所对应的最远距离D</w:t>
      </w:r>
      <w:r>
        <w:rPr>
          <w:rFonts w:hint="default" w:ascii="Times New Roman" w:hAnsi="Times New Roman" w:eastAsia="宋体" w:cs="Times New Roman"/>
          <w:color w:val="auto"/>
          <w:highlight w:val="none"/>
          <w:vertAlign w:val="subscript"/>
        </w:rPr>
        <w:t>10</w:t>
      </w:r>
      <w:r>
        <w:rPr>
          <w:rFonts w:hint="default" w:ascii="Times New Roman" w:hAnsi="Times New Roman" w:eastAsia="宋体" w:cs="Times New Roman"/>
          <w:color w:val="auto"/>
          <w:highlight w:val="none"/>
        </w:rPr>
        <w:t>%。其中P</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定义见公式。</w:t>
      </w:r>
    </w:p>
    <w:p w14:paraId="5CBC1826">
      <w:pPr>
        <w:keepNext w:val="0"/>
        <w:keepLines w:val="0"/>
        <w:pageBreakBefore w:val="0"/>
        <w:widowControl w:val="0"/>
        <w:kinsoku/>
        <w:wordWrap/>
        <w:overflowPunct w:val="0"/>
        <w:topLinePunct/>
        <w:autoSpaceDE w:val="0"/>
        <w:autoSpaceDN/>
        <w:bidi w:val="0"/>
        <w:adjustRightInd/>
        <w:snapToGrid w:val="0"/>
        <w:spacing w:line="360" w:lineRule="auto"/>
        <w:ind w:left="0" w:leftChars="0" w:right="0" w:rightChars="0" w:firstLine="48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object>
          <v:shape id="_x0000_i1025" o:spt="75" type="#_x0000_t75" style="height:36.7pt;width:102.55pt;" o:ole="t" filled="f" o:preferrelative="t" stroked="f" coordsize="21600,21600">
            <v:path/>
            <v:fill on="f" focussize="0,0"/>
            <v:stroke on="f" joinstyle="miter"/>
            <v:imagedata r:id="rId15" o:title=""/>
            <o:lock v:ext="edit" aspectratio="t"/>
            <w10:wrap type="none"/>
            <w10:anchorlock/>
          </v:shape>
          <o:OLEObject Type="Embed" ProgID="Equation.3" ShapeID="_x0000_i1025" DrawAspect="Content" ObjectID="_1468075725" r:id="rId14">
            <o:LockedField>false</o:LockedField>
          </o:OLEObject>
        </w:object>
      </w:r>
    </w:p>
    <w:p w14:paraId="3C45EB60">
      <w:pPr>
        <w:pageBreakBefore w:val="0"/>
        <w:widowControl w:val="0"/>
        <w:kinsoku/>
        <w:wordWrap/>
        <w:overflowPunct w:val="0"/>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式中：P</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－第i个污染物的最大地面空气质量浓度占标率，%；</w:t>
      </w:r>
    </w:p>
    <w:p w14:paraId="03ED4276">
      <w:pPr>
        <w:pageBreakBefore w:val="0"/>
        <w:widowControl w:val="0"/>
        <w:kinsoku/>
        <w:wordWrap/>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－采用估算模式计算出的第i个污染物的最大1h地面空气质量浓度，mg/m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p w14:paraId="377EE4B9">
      <w:pPr>
        <w:pageBreakBefore w:val="0"/>
        <w:widowControl w:val="0"/>
        <w:kinsoku/>
        <w:wordWrap/>
        <w:overflowPunct w:val="0"/>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w:t>
      </w:r>
      <w:r>
        <w:rPr>
          <w:rFonts w:hint="default" w:ascii="Times New Roman" w:hAnsi="Times New Roman" w:eastAsia="宋体" w:cs="Times New Roman"/>
          <w:color w:val="auto"/>
          <w:highlight w:val="none"/>
          <w:vertAlign w:val="subscript"/>
        </w:rPr>
        <w:t>0i</w:t>
      </w:r>
      <w:r>
        <w:rPr>
          <w:rFonts w:hint="default" w:ascii="Times New Roman" w:hAnsi="Times New Roman" w:eastAsia="宋体" w:cs="Times New Roman"/>
          <w:color w:val="auto"/>
          <w:highlight w:val="none"/>
        </w:rPr>
        <w:t>－第i个污染物的环境空气质量标准，μg/m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p w14:paraId="26631C5F">
      <w:pPr>
        <w:pageBreakBefore w:val="0"/>
        <w:widowControl w:val="0"/>
        <w:kinsoku/>
        <w:wordWrap/>
        <w:overflowPunct w:val="0"/>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评价工作等级按表2.5-1的分级判据进行划分。最大地面空气质量浓度占标率P</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按上公式计算，如污染物i大于1，取P值中的最大者P</w:t>
      </w:r>
      <w:r>
        <w:rPr>
          <w:rFonts w:hint="default" w:ascii="Times New Roman" w:hAnsi="Times New Roman" w:eastAsia="宋体" w:cs="Times New Roman"/>
          <w:color w:val="auto"/>
          <w:highlight w:val="none"/>
          <w:vertAlign w:val="subscript"/>
        </w:rPr>
        <w:t>max</w:t>
      </w:r>
      <w:r>
        <w:rPr>
          <w:rFonts w:hint="default" w:ascii="Times New Roman" w:hAnsi="Times New Roman" w:eastAsia="宋体" w:cs="Times New Roman"/>
          <w:color w:val="auto"/>
          <w:highlight w:val="none"/>
        </w:rPr>
        <w:t>。</w:t>
      </w:r>
    </w:p>
    <w:p w14:paraId="7DE65005">
      <w:pPr>
        <w:pStyle w:val="7"/>
        <w:pageBreakBefore w:val="0"/>
        <w:widowControl w:val="0"/>
        <w:kinsoku/>
        <w:wordWrap/>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default" w:ascii="Times New Roman" w:hAnsi="Times New Roman" w:eastAsia="宋体" w:cs="Times New Roman"/>
          <w:color w:val="auto"/>
          <w:szCs w:val="24"/>
          <w:highlight w:val="none"/>
        </w:rPr>
        <w:t>2.5-1</w:t>
      </w:r>
      <w:r>
        <w:rPr>
          <w:rFonts w:hint="default" w:ascii="Times New Roman" w:hAnsi="Times New Roman" w:eastAsia="宋体" w:cs="Times New Roman"/>
          <w:color w:val="auto"/>
          <w:highlight w:val="none"/>
        </w:rPr>
        <w:t>评价等级判别表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3550"/>
        <w:gridCol w:w="4727"/>
      </w:tblGrid>
      <w:tr w14:paraId="241E85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861" w:type="dxa"/>
            <w:tcBorders>
              <w:top w:val="single" w:color="auto" w:sz="4" w:space="0"/>
              <w:left w:val="single" w:color="auto" w:sz="4" w:space="0"/>
            </w:tcBorders>
            <w:vAlign w:val="center"/>
          </w:tcPr>
          <w:p w14:paraId="5ED3BB1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评价工作等级</w:t>
            </w:r>
          </w:p>
        </w:tc>
        <w:tc>
          <w:tcPr>
            <w:tcW w:w="5142" w:type="dxa"/>
            <w:tcBorders>
              <w:top w:val="single" w:color="auto" w:sz="4" w:space="0"/>
              <w:right w:val="single" w:color="auto" w:sz="4" w:space="0"/>
            </w:tcBorders>
            <w:vAlign w:val="center"/>
          </w:tcPr>
          <w:p w14:paraId="2D15483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评价工作分级判据</w:t>
            </w:r>
          </w:p>
        </w:tc>
      </w:tr>
      <w:tr w14:paraId="67E843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861" w:type="dxa"/>
            <w:tcBorders>
              <w:left w:val="single" w:color="auto" w:sz="4" w:space="0"/>
            </w:tcBorders>
            <w:vAlign w:val="center"/>
          </w:tcPr>
          <w:p w14:paraId="0B41057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一级评价</w:t>
            </w:r>
          </w:p>
        </w:tc>
        <w:tc>
          <w:tcPr>
            <w:tcW w:w="5142" w:type="dxa"/>
            <w:tcBorders>
              <w:right w:val="single" w:color="auto" w:sz="4" w:space="0"/>
            </w:tcBorders>
            <w:vAlign w:val="center"/>
          </w:tcPr>
          <w:p w14:paraId="6CA3B56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Pmax≥10%</w:t>
            </w:r>
          </w:p>
        </w:tc>
      </w:tr>
      <w:tr w14:paraId="7B65C1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861" w:type="dxa"/>
            <w:tcBorders>
              <w:left w:val="single" w:color="auto" w:sz="4" w:space="0"/>
            </w:tcBorders>
            <w:vAlign w:val="center"/>
          </w:tcPr>
          <w:p w14:paraId="7A6A6BC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二级评价</w:t>
            </w:r>
          </w:p>
        </w:tc>
        <w:tc>
          <w:tcPr>
            <w:tcW w:w="5142" w:type="dxa"/>
            <w:tcBorders>
              <w:right w:val="single" w:color="auto" w:sz="4" w:space="0"/>
            </w:tcBorders>
            <w:vAlign w:val="center"/>
          </w:tcPr>
          <w:p w14:paraId="50C06CA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1%≤Pmax＜10%</w:t>
            </w:r>
          </w:p>
        </w:tc>
      </w:tr>
      <w:tr w14:paraId="49D5D8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861" w:type="dxa"/>
            <w:tcBorders>
              <w:left w:val="single" w:color="auto" w:sz="4" w:space="0"/>
              <w:bottom w:val="single" w:color="auto" w:sz="4" w:space="0"/>
            </w:tcBorders>
            <w:vAlign w:val="center"/>
          </w:tcPr>
          <w:p w14:paraId="346034C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三级评价</w:t>
            </w:r>
          </w:p>
        </w:tc>
        <w:tc>
          <w:tcPr>
            <w:tcW w:w="5142" w:type="dxa"/>
            <w:tcBorders>
              <w:bottom w:val="single" w:color="auto" w:sz="4" w:space="0"/>
              <w:right w:val="single" w:color="auto" w:sz="4" w:space="0"/>
            </w:tcBorders>
            <w:vAlign w:val="center"/>
          </w:tcPr>
          <w:p w14:paraId="50C8E82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Pmax＜1%</w:t>
            </w:r>
          </w:p>
        </w:tc>
      </w:tr>
    </w:tbl>
    <w:p w14:paraId="7A3CBBBC">
      <w:pPr>
        <w:pageBreakBefore w:val="0"/>
        <w:widowControl w:val="0"/>
        <w:kinsoku/>
        <w:wordWrap/>
        <w:overflowPunct w:val="0"/>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本评价采用《</w:t>
      </w:r>
      <w:r>
        <w:rPr>
          <w:rFonts w:hint="default" w:ascii="Times New Roman" w:hAnsi="Times New Roman" w:eastAsia="宋体" w:cs="Times New Roman"/>
          <w:color w:val="auto"/>
          <w:highlight w:val="none"/>
          <w:lang w:eastAsia="zh-CN"/>
        </w:rPr>
        <w:t>环境影响评价技术导则</w:t>
      </w:r>
      <w:r>
        <w:rPr>
          <w:rFonts w:hint="default" w:ascii="Times New Roman" w:hAnsi="Times New Roman" w:eastAsia="宋体" w:cs="Times New Roman"/>
          <w:color w:val="auto"/>
          <w:highlight w:val="none"/>
        </w:rPr>
        <w:t>大气环境》（HJ2.2-2018）推荐模式清单中的估算模式（AERSCREEN）分别计算各源各污染物的短期浓度最大值及对应距离，用以分析最大影响程度和最远影响范围。</w:t>
      </w:r>
    </w:p>
    <w:p w14:paraId="6495DA4E">
      <w:pPr>
        <w:pageBreakBefore w:val="0"/>
        <w:widowControl w:val="0"/>
        <w:kinsoku/>
        <w:wordWrap/>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（2）估算模型参数</w:t>
      </w:r>
    </w:p>
    <w:p w14:paraId="02BFB53C">
      <w:pPr>
        <w:pageBreakBefore w:val="0"/>
        <w:widowControl w:val="0"/>
        <w:kinsoku/>
        <w:wordWrap/>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估算模型参数见表2.5-2。</w:t>
      </w:r>
    </w:p>
    <w:p w14:paraId="55E66F0D">
      <w:pPr>
        <w:pStyle w:val="7"/>
        <w:pageBreakBefore w:val="0"/>
        <w:widowControl w:val="0"/>
        <w:kinsoku/>
        <w:wordWrap/>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表2.5-2估算模型参数表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64"/>
        <w:gridCol w:w="3126"/>
        <w:gridCol w:w="2587"/>
      </w:tblGrid>
      <w:tr w14:paraId="510488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90" w:type="dxa"/>
            <w:gridSpan w:val="2"/>
            <w:tcBorders>
              <w:top w:val="single" w:color="auto" w:sz="4" w:space="0"/>
              <w:left w:val="single" w:color="auto" w:sz="4" w:space="0"/>
              <w:tl2br w:val="nil"/>
              <w:tr2bl w:val="nil"/>
            </w:tcBorders>
            <w:vAlign w:val="center"/>
          </w:tcPr>
          <w:p w14:paraId="68B4B65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参数</w:t>
            </w:r>
          </w:p>
        </w:tc>
        <w:tc>
          <w:tcPr>
            <w:tcW w:w="2813" w:type="dxa"/>
            <w:tcBorders>
              <w:top w:val="single" w:color="auto" w:sz="4" w:space="0"/>
              <w:right w:val="single" w:color="auto" w:sz="4" w:space="0"/>
              <w:tl2br w:val="nil"/>
              <w:tr2bl w:val="nil"/>
            </w:tcBorders>
            <w:vAlign w:val="center"/>
          </w:tcPr>
          <w:p w14:paraId="6EE7343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取值</w:t>
            </w:r>
          </w:p>
        </w:tc>
      </w:tr>
      <w:tr w14:paraId="4A0EF3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7" w:type="dxa"/>
            <w:vMerge w:val="restart"/>
            <w:tcBorders>
              <w:left w:val="single" w:color="auto" w:sz="4" w:space="0"/>
              <w:tl2br w:val="nil"/>
              <w:tr2bl w:val="nil"/>
            </w:tcBorders>
            <w:vAlign w:val="center"/>
          </w:tcPr>
          <w:p w14:paraId="457D501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城市/农村选项</w:t>
            </w:r>
          </w:p>
        </w:tc>
        <w:tc>
          <w:tcPr>
            <w:tcW w:w="3403" w:type="dxa"/>
            <w:tcBorders>
              <w:tl2br w:val="nil"/>
              <w:tr2bl w:val="nil"/>
            </w:tcBorders>
            <w:vAlign w:val="center"/>
          </w:tcPr>
          <w:p w14:paraId="0C6CB1E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城市/农村</w:t>
            </w:r>
          </w:p>
        </w:tc>
        <w:tc>
          <w:tcPr>
            <w:tcW w:w="2813" w:type="dxa"/>
            <w:tcBorders>
              <w:right w:val="single" w:color="auto" w:sz="4" w:space="0"/>
              <w:tl2br w:val="nil"/>
              <w:tr2bl w:val="nil"/>
            </w:tcBorders>
            <w:vAlign w:val="center"/>
          </w:tcPr>
          <w:p w14:paraId="756FE0F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农村</w:t>
            </w:r>
          </w:p>
        </w:tc>
      </w:tr>
      <w:tr w14:paraId="503870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7" w:type="dxa"/>
            <w:vMerge w:val="continue"/>
            <w:tcBorders>
              <w:left w:val="single" w:color="auto" w:sz="4" w:space="0"/>
              <w:tl2br w:val="nil"/>
              <w:tr2bl w:val="nil"/>
            </w:tcBorders>
            <w:vAlign w:val="center"/>
          </w:tcPr>
          <w:p w14:paraId="5AC528F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p>
        </w:tc>
        <w:tc>
          <w:tcPr>
            <w:tcW w:w="3403" w:type="dxa"/>
            <w:tcBorders>
              <w:tl2br w:val="nil"/>
              <w:tr2bl w:val="nil"/>
            </w:tcBorders>
            <w:vAlign w:val="center"/>
          </w:tcPr>
          <w:p w14:paraId="4D9486C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人口数（城市选型时）</w:t>
            </w:r>
          </w:p>
        </w:tc>
        <w:tc>
          <w:tcPr>
            <w:tcW w:w="2813" w:type="dxa"/>
            <w:tcBorders>
              <w:right w:val="single" w:color="auto" w:sz="4" w:space="0"/>
              <w:tl2br w:val="nil"/>
              <w:tr2bl w:val="nil"/>
            </w:tcBorders>
            <w:vAlign w:val="center"/>
          </w:tcPr>
          <w:p w14:paraId="487EA4B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r>
      <w:tr w14:paraId="0D8A4F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90" w:type="dxa"/>
            <w:gridSpan w:val="2"/>
            <w:tcBorders>
              <w:left w:val="single" w:color="auto" w:sz="4" w:space="0"/>
              <w:tl2br w:val="nil"/>
              <w:tr2bl w:val="nil"/>
            </w:tcBorders>
            <w:vAlign w:val="center"/>
          </w:tcPr>
          <w:p w14:paraId="6D0F273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最高环境温度/℃</w:t>
            </w:r>
          </w:p>
        </w:tc>
        <w:tc>
          <w:tcPr>
            <w:tcW w:w="2813" w:type="dxa"/>
            <w:tcBorders>
              <w:right w:val="single" w:color="auto" w:sz="4" w:space="0"/>
              <w:tl2br w:val="nil"/>
              <w:tr2bl w:val="nil"/>
            </w:tcBorders>
            <w:vAlign w:val="center"/>
          </w:tcPr>
          <w:p w14:paraId="326E9AE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FF0000"/>
                <w:sz w:val="21"/>
                <w:szCs w:val="21"/>
                <w:highlight w:val="none"/>
                <w:vertAlign w:val="baseline"/>
              </w:rPr>
              <w:t>40.0</w:t>
            </w:r>
          </w:p>
        </w:tc>
      </w:tr>
      <w:tr w14:paraId="604E49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90" w:type="dxa"/>
            <w:gridSpan w:val="2"/>
            <w:tcBorders>
              <w:left w:val="single" w:color="auto" w:sz="4" w:space="0"/>
              <w:tl2br w:val="nil"/>
              <w:tr2bl w:val="nil"/>
            </w:tcBorders>
            <w:vAlign w:val="center"/>
          </w:tcPr>
          <w:p w14:paraId="7674E45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最低环境温度/℃</w:t>
            </w:r>
          </w:p>
        </w:tc>
        <w:tc>
          <w:tcPr>
            <w:tcW w:w="2813" w:type="dxa"/>
            <w:tcBorders>
              <w:right w:val="single" w:color="auto" w:sz="4" w:space="0"/>
              <w:tl2br w:val="nil"/>
              <w:tr2bl w:val="nil"/>
            </w:tcBorders>
            <w:vAlign w:val="center"/>
          </w:tcPr>
          <w:p w14:paraId="545E9FF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FF0000"/>
                <w:sz w:val="21"/>
                <w:szCs w:val="21"/>
                <w:highlight w:val="none"/>
                <w:vertAlign w:val="baseline"/>
              </w:rPr>
              <w:t>-30.5</w:t>
            </w:r>
          </w:p>
        </w:tc>
      </w:tr>
      <w:tr w14:paraId="521730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90" w:type="dxa"/>
            <w:gridSpan w:val="2"/>
            <w:tcBorders>
              <w:left w:val="single" w:color="auto" w:sz="4" w:space="0"/>
              <w:tl2br w:val="nil"/>
              <w:tr2bl w:val="nil"/>
            </w:tcBorders>
            <w:vAlign w:val="center"/>
          </w:tcPr>
          <w:p w14:paraId="75744FA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土地利用类型</w:t>
            </w:r>
          </w:p>
        </w:tc>
        <w:tc>
          <w:tcPr>
            <w:tcW w:w="2813" w:type="dxa"/>
            <w:tcBorders>
              <w:right w:val="single" w:color="auto" w:sz="4" w:space="0"/>
              <w:tl2br w:val="nil"/>
              <w:tr2bl w:val="nil"/>
            </w:tcBorders>
            <w:vAlign w:val="center"/>
          </w:tcPr>
          <w:p w14:paraId="4B8ADDE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草地</w:t>
            </w:r>
          </w:p>
        </w:tc>
      </w:tr>
      <w:tr w14:paraId="27C356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190" w:type="dxa"/>
            <w:gridSpan w:val="2"/>
            <w:tcBorders>
              <w:left w:val="single" w:color="auto" w:sz="4" w:space="0"/>
              <w:tl2br w:val="nil"/>
              <w:tr2bl w:val="nil"/>
            </w:tcBorders>
            <w:vAlign w:val="center"/>
          </w:tcPr>
          <w:p w14:paraId="6DCE6BB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区域湿度条件</w:t>
            </w:r>
          </w:p>
        </w:tc>
        <w:tc>
          <w:tcPr>
            <w:tcW w:w="2813" w:type="dxa"/>
            <w:tcBorders>
              <w:right w:val="single" w:color="auto" w:sz="4" w:space="0"/>
              <w:tl2br w:val="nil"/>
              <w:tr2bl w:val="nil"/>
            </w:tcBorders>
            <w:vAlign w:val="center"/>
          </w:tcPr>
          <w:p w14:paraId="50F5509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干旱地区</w:t>
            </w:r>
          </w:p>
        </w:tc>
      </w:tr>
      <w:tr w14:paraId="762B8E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7" w:type="dxa"/>
            <w:vMerge w:val="restart"/>
            <w:tcBorders>
              <w:left w:val="single" w:color="auto" w:sz="4" w:space="0"/>
              <w:tl2br w:val="nil"/>
              <w:tr2bl w:val="nil"/>
            </w:tcBorders>
            <w:vAlign w:val="center"/>
          </w:tcPr>
          <w:p w14:paraId="0CAE5F2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是否考虑地形</w:t>
            </w:r>
          </w:p>
        </w:tc>
        <w:tc>
          <w:tcPr>
            <w:tcW w:w="3403" w:type="dxa"/>
            <w:tcBorders>
              <w:tl2br w:val="nil"/>
              <w:tr2bl w:val="nil"/>
            </w:tcBorders>
            <w:vAlign w:val="center"/>
          </w:tcPr>
          <w:p w14:paraId="5CB6A79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考虑地形</w:t>
            </w:r>
          </w:p>
        </w:tc>
        <w:tc>
          <w:tcPr>
            <w:tcW w:w="2813" w:type="dxa"/>
            <w:tcBorders>
              <w:right w:val="single" w:color="auto" w:sz="4" w:space="0"/>
              <w:tl2br w:val="nil"/>
              <w:tr2bl w:val="nil"/>
            </w:tcBorders>
            <w:vAlign w:val="center"/>
          </w:tcPr>
          <w:p w14:paraId="469C382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是</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否</w:t>
            </w:r>
          </w:p>
        </w:tc>
      </w:tr>
      <w:tr w14:paraId="362C8F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7" w:type="dxa"/>
            <w:vMerge w:val="continue"/>
            <w:tcBorders>
              <w:left w:val="single" w:color="auto" w:sz="4" w:space="0"/>
              <w:tl2br w:val="nil"/>
              <w:tr2bl w:val="nil"/>
            </w:tcBorders>
            <w:vAlign w:val="center"/>
          </w:tcPr>
          <w:p w14:paraId="2950C80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p>
        </w:tc>
        <w:tc>
          <w:tcPr>
            <w:tcW w:w="3403" w:type="dxa"/>
            <w:tcBorders>
              <w:tl2br w:val="nil"/>
              <w:tr2bl w:val="nil"/>
            </w:tcBorders>
            <w:vAlign w:val="center"/>
          </w:tcPr>
          <w:p w14:paraId="4177C75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地形数据分辨率/m</w:t>
            </w:r>
          </w:p>
        </w:tc>
        <w:tc>
          <w:tcPr>
            <w:tcW w:w="2813" w:type="dxa"/>
            <w:tcBorders>
              <w:right w:val="single" w:color="auto" w:sz="4" w:space="0"/>
              <w:tl2br w:val="nil"/>
              <w:tr2bl w:val="nil"/>
            </w:tcBorders>
            <w:vAlign w:val="center"/>
          </w:tcPr>
          <w:p w14:paraId="3AE8635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90m</w:t>
            </w:r>
          </w:p>
        </w:tc>
      </w:tr>
      <w:tr w14:paraId="039C1F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7" w:type="dxa"/>
            <w:vMerge w:val="restart"/>
            <w:tcBorders>
              <w:left w:val="single" w:color="auto" w:sz="4" w:space="0"/>
              <w:tl2br w:val="nil"/>
              <w:tr2bl w:val="nil"/>
            </w:tcBorders>
            <w:vAlign w:val="center"/>
          </w:tcPr>
          <w:p w14:paraId="77A9587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是否考虑岸线熏烟</w:t>
            </w:r>
          </w:p>
        </w:tc>
        <w:tc>
          <w:tcPr>
            <w:tcW w:w="3403" w:type="dxa"/>
            <w:tcBorders>
              <w:tl2br w:val="nil"/>
              <w:tr2bl w:val="nil"/>
            </w:tcBorders>
            <w:vAlign w:val="center"/>
          </w:tcPr>
          <w:p w14:paraId="400F2FA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考虑岸线熏烟</w:t>
            </w:r>
          </w:p>
        </w:tc>
        <w:tc>
          <w:tcPr>
            <w:tcW w:w="2813" w:type="dxa"/>
            <w:tcBorders>
              <w:right w:val="single" w:color="auto" w:sz="4" w:space="0"/>
              <w:tl2br w:val="nil"/>
              <w:tr2bl w:val="nil"/>
            </w:tcBorders>
            <w:vAlign w:val="center"/>
          </w:tcPr>
          <w:p w14:paraId="4AC6252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是</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否</w:t>
            </w:r>
          </w:p>
        </w:tc>
      </w:tr>
      <w:tr w14:paraId="20FD74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7" w:type="dxa"/>
            <w:vMerge w:val="continue"/>
            <w:tcBorders>
              <w:left w:val="single" w:color="auto" w:sz="4" w:space="0"/>
              <w:tl2br w:val="nil"/>
              <w:tr2bl w:val="nil"/>
            </w:tcBorders>
            <w:vAlign w:val="center"/>
          </w:tcPr>
          <w:p w14:paraId="40721D5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p>
        </w:tc>
        <w:tc>
          <w:tcPr>
            <w:tcW w:w="3403" w:type="dxa"/>
            <w:tcBorders>
              <w:tl2br w:val="nil"/>
              <w:tr2bl w:val="nil"/>
            </w:tcBorders>
            <w:vAlign w:val="center"/>
          </w:tcPr>
          <w:p w14:paraId="325FBD1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岸线距离/km</w:t>
            </w:r>
          </w:p>
        </w:tc>
        <w:tc>
          <w:tcPr>
            <w:tcW w:w="2813" w:type="dxa"/>
            <w:tcBorders>
              <w:right w:val="single" w:color="auto" w:sz="4" w:space="0"/>
              <w:tl2br w:val="nil"/>
              <w:tr2bl w:val="nil"/>
            </w:tcBorders>
            <w:vAlign w:val="center"/>
          </w:tcPr>
          <w:p w14:paraId="531B78D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r>
      <w:tr w14:paraId="7E5229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7" w:type="dxa"/>
            <w:vMerge w:val="continue"/>
            <w:tcBorders>
              <w:left w:val="single" w:color="auto" w:sz="4" w:space="0"/>
              <w:bottom w:val="single" w:color="auto" w:sz="4" w:space="0"/>
              <w:tl2br w:val="nil"/>
              <w:tr2bl w:val="nil"/>
            </w:tcBorders>
            <w:vAlign w:val="center"/>
          </w:tcPr>
          <w:p w14:paraId="6411011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p>
        </w:tc>
        <w:tc>
          <w:tcPr>
            <w:tcW w:w="3403" w:type="dxa"/>
            <w:tcBorders>
              <w:bottom w:val="single" w:color="auto" w:sz="4" w:space="0"/>
              <w:tl2br w:val="nil"/>
              <w:tr2bl w:val="nil"/>
            </w:tcBorders>
            <w:vAlign w:val="center"/>
          </w:tcPr>
          <w:p w14:paraId="4893F1F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岸线方向/°</w:t>
            </w:r>
          </w:p>
        </w:tc>
        <w:tc>
          <w:tcPr>
            <w:tcW w:w="2813" w:type="dxa"/>
            <w:tcBorders>
              <w:bottom w:val="single" w:color="auto" w:sz="4" w:space="0"/>
              <w:right w:val="single" w:color="auto" w:sz="4" w:space="0"/>
              <w:tl2br w:val="nil"/>
              <w:tr2bl w:val="nil"/>
            </w:tcBorders>
            <w:vAlign w:val="center"/>
          </w:tcPr>
          <w:p w14:paraId="4163E82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r>
    </w:tbl>
    <w:p w14:paraId="1F7E2F1E">
      <w:pPr>
        <w:pageBreakBefore w:val="0"/>
        <w:kinsoku/>
        <w:wordWrap/>
        <w:topLinePunct w:val="0"/>
        <w:autoSpaceDE/>
        <w:bidi w:val="0"/>
        <w:snapToGrid w:val="0"/>
        <w:spacing w:line="360" w:lineRule="auto"/>
        <w:ind w:left="0" w:leftChars="0" w:right="0" w:rightChars="0" w:firstLine="48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项目运营过程中产生的恶臭污染物的无组织排放</w:t>
      </w:r>
      <w:r>
        <w:rPr>
          <w:rFonts w:hint="default" w:ascii="Times New Roman" w:hAnsi="Times New Roman" w:eastAsia="宋体" w:cs="Times New Roman"/>
          <w:color w:val="auto"/>
          <w:kern w:val="0"/>
          <w:szCs w:val="21"/>
          <w:highlight w:val="none"/>
        </w:rPr>
        <w:t>见表2.5-3。</w:t>
      </w:r>
    </w:p>
    <w:p w14:paraId="22E1CEA0">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表2.5-3主要污染源强参数（矩形面源）一览表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52"/>
        <w:gridCol w:w="1179"/>
        <w:gridCol w:w="1141"/>
        <w:gridCol w:w="1025"/>
        <w:gridCol w:w="574"/>
        <w:gridCol w:w="642"/>
        <w:gridCol w:w="602"/>
        <w:gridCol w:w="668"/>
        <w:gridCol w:w="642"/>
        <w:gridCol w:w="852"/>
      </w:tblGrid>
      <w:tr w14:paraId="0307C39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41" w:type="dxa"/>
            <w:vMerge w:val="restart"/>
            <w:tcBorders>
              <w:top w:val="single" w:color="auto" w:sz="4" w:space="0"/>
              <w:left w:val="single" w:color="auto" w:sz="4" w:space="0"/>
              <w:bottom w:val="single" w:color="auto" w:sz="4" w:space="0"/>
              <w:right w:val="single" w:color="auto" w:sz="4" w:space="0"/>
            </w:tcBorders>
            <w:vAlign w:val="center"/>
          </w:tcPr>
          <w:p w14:paraId="3E5C035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污染源名称</w:t>
            </w:r>
          </w:p>
        </w:tc>
        <w:tc>
          <w:tcPr>
            <w:tcW w:w="2546" w:type="dxa"/>
            <w:gridSpan w:val="2"/>
            <w:tcBorders>
              <w:top w:val="single" w:color="auto" w:sz="4" w:space="0"/>
              <w:left w:val="single" w:color="auto" w:sz="4" w:space="0"/>
              <w:bottom w:val="single" w:color="auto" w:sz="4" w:space="0"/>
              <w:right w:val="single" w:color="auto" w:sz="4" w:space="0"/>
            </w:tcBorders>
            <w:vAlign w:val="center"/>
          </w:tcPr>
          <w:p w14:paraId="5ED5E16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右上角坐标</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vertAlign w:val="superscript"/>
              </w:rPr>
              <w:t>o</w:t>
            </w:r>
            <w:r>
              <w:rPr>
                <w:rFonts w:hint="default" w:ascii="Times New Roman" w:hAnsi="Times New Roman" w:eastAsia="宋体" w:cs="Times New Roman"/>
                <w:color w:val="auto"/>
                <w:sz w:val="21"/>
                <w:szCs w:val="21"/>
                <w:highlight w:val="none"/>
                <w:lang w:eastAsia="zh-CN"/>
              </w:rPr>
              <w:t>）</w:t>
            </w:r>
          </w:p>
        </w:tc>
        <w:tc>
          <w:tcPr>
            <w:tcW w:w="1121" w:type="dxa"/>
            <w:vMerge w:val="restart"/>
            <w:tcBorders>
              <w:top w:val="single" w:color="auto" w:sz="4" w:space="0"/>
              <w:left w:val="single" w:color="auto" w:sz="4" w:space="0"/>
              <w:bottom w:val="single" w:color="auto" w:sz="4" w:space="0"/>
              <w:right w:val="single" w:color="auto" w:sz="4" w:space="0"/>
            </w:tcBorders>
            <w:vAlign w:val="center"/>
          </w:tcPr>
          <w:p w14:paraId="3CF9164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与正北方向逆时针夹角（°）</w:t>
            </w:r>
          </w:p>
        </w:tc>
        <w:tc>
          <w:tcPr>
            <w:tcW w:w="616" w:type="dxa"/>
            <w:vMerge w:val="restart"/>
            <w:tcBorders>
              <w:top w:val="single" w:color="auto" w:sz="4" w:space="0"/>
              <w:left w:val="single" w:color="auto" w:sz="4" w:space="0"/>
              <w:bottom w:val="single" w:color="auto" w:sz="4" w:space="0"/>
              <w:right w:val="single" w:color="auto" w:sz="4" w:space="0"/>
            </w:tcBorders>
            <w:vAlign w:val="center"/>
          </w:tcPr>
          <w:p w14:paraId="60E77E5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海拔高度</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p>
        </w:tc>
        <w:tc>
          <w:tcPr>
            <w:tcW w:w="2060" w:type="dxa"/>
            <w:gridSpan w:val="3"/>
            <w:tcBorders>
              <w:top w:val="single" w:color="auto" w:sz="4" w:space="0"/>
              <w:left w:val="single" w:color="auto" w:sz="4" w:space="0"/>
              <w:bottom w:val="single" w:color="auto" w:sz="4" w:space="0"/>
              <w:right w:val="single" w:color="auto" w:sz="4" w:space="0"/>
            </w:tcBorders>
            <w:vAlign w:val="center"/>
          </w:tcPr>
          <w:p w14:paraId="5B544D8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矩形面源</w:t>
            </w:r>
          </w:p>
        </w:tc>
        <w:tc>
          <w:tcPr>
            <w:tcW w:w="692" w:type="dxa"/>
            <w:vMerge w:val="restart"/>
            <w:tcBorders>
              <w:top w:val="single" w:color="auto" w:sz="4" w:space="0"/>
              <w:left w:val="single" w:color="auto" w:sz="4" w:space="0"/>
              <w:bottom w:val="single" w:color="auto" w:sz="4" w:space="0"/>
              <w:right w:val="single" w:color="auto" w:sz="4" w:space="0"/>
            </w:tcBorders>
            <w:vAlign w:val="center"/>
          </w:tcPr>
          <w:p w14:paraId="628FC8F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927" w:type="dxa"/>
            <w:vMerge w:val="restart"/>
            <w:tcBorders>
              <w:top w:val="single" w:color="auto" w:sz="4" w:space="0"/>
              <w:left w:val="single" w:color="auto" w:sz="4" w:space="0"/>
              <w:bottom w:val="single" w:color="auto" w:sz="4" w:space="0"/>
              <w:right w:val="single" w:color="auto" w:sz="4" w:space="0"/>
            </w:tcBorders>
            <w:vAlign w:val="center"/>
          </w:tcPr>
          <w:p w14:paraId="58AA2A0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w:t>
            </w:r>
          </w:p>
          <w:p w14:paraId="042AFBC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速率</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kg/h</w:t>
            </w:r>
            <w:r>
              <w:rPr>
                <w:rFonts w:hint="default" w:ascii="Times New Roman" w:hAnsi="Times New Roman" w:eastAsia="宋体" w:cs="Times New Roman"/>
                <w:color w:val="auto"/>
                <w:sz w:val="21"/>
                <w:szCs w:val="21"/>
                <w:highlight w:val="none"/>
                <w:lang w:eastAsia="zh-CN"/>
              </w:rPr>
              <w:t>）</w:t>
            </w:r>
          </w:p>
        </w:tc>
      </w:tr>
      <w:tr w14:paraId="363EAC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41" w:type="dxa"/>
            <w:vMerge w:val="continue"/>
            <w:tcBorders>
              <w:top w:val="single" w:color="auto" w:sz="4" w:space="0"/>
              <w:left w:val="single" w:color="auto" w:sz="4" w:space="0"/>
              <w:bottom w:val="single" w:color="auto" w:sz="4" w:space="0"/>
              <w:right w:val="single" w:color="auto" w:sz="4" w:space="0"/>
            </w:tcBorders>
            <w:vAlign w:val="center"/>
          </w:tcPr>
          <w:p w14:paraId="37A441B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295" w:type="dxa"/>
            <w:tcBorders>
              <w:top w:val="single" w:color="auto" w:sz="4" w:space="0"/>
              <w:left w:val="single" w:color="auto" w:sz="4" w:space="0"/>
              <w:bottom w:val="single" w:color="auto" w:sz="4" w:space="0"/>
              <w:right w:val="single" w:color="auto" w:sz="4" w:space="0"/>
            </w:tcBorders>
            <w:vAlign w:val="center"/>
          </w:tcPr>
          <w:p w14:paraId="72BEE1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纬</w:t>
            </w:r>
            <w:r>
              <w:rPr>
                <w:rFonts w:hint="default" w:ascii="Times New Roman" w:hAnsi="Times New Roman" w:eastAsia="宋体" w:cs="Times New Roman"/>
                <w:color w:val="auto"/>
                <w:sz w:val="21"/>
                <w:szCs w:val="21"/>
                <w:highlight w:val="none"/>
              </w:rPr>
              <w:t>度</w:t>
            </w:r>
          </w:p>
        </w:tc>
        <w:tc>
          <w:tcPr>
            <w:tcW w:w="1251" w:type="dxa"/>
            <w:tcBorders>
              <w:top w:val="single" w:color="auto" w:sz="4" w:space="0"/>
              <w:left w:val="single" w:color="auto" w:sz="4" w:space="0"/>
              <w:bottom w:val="single" w:color="auto" w:sz="4" w:space="0"/>
              <w:right w:val="single" w:color="auto" w:sz="4" w:space="0"/>
            </w:tcBorders>
            <w:vAlign w:val="center"/>
          </w:tcPr>
          <w:p w14:paraId="57EBBD1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经度</w:t>
            </w:r>
          </w:p>
        </w:tc>
        <w:tc>
          <w:tcPr>
            <w:tcW w:w="1121" w:type="dxa"/>
            <w:vMerge w:val="continue"/>
            <w:tcBorders>
              <w:top w:val="single" w:color="auto" w:sz="4" w:space="0"/>
              <w:left w:val="single" w:color="auto" w:sz="4" w:space="0"/>
              <w:bottom w:val="single" w:color="auto" w:sz="4" w:space="0"/>
              <w:right w:val="single" w:color="auto" w:sz="4" w:space="0"/>
            </w:tcBorders>
            <w:vAlign w:val="center"/>
          </w:tcPr>
          <w:p w14:paraId="198D92D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616" w:type="dxa"/>
            <w:vMerge w:val="continue"/>
            <w:tcBorders>
              <w:top w:val="single" w:color="auto" w:sz="4" w:space="0"/>
              <w:left w:val="single" w:color="auto" w:sz="4" w:space="0"/>
              <w:bottom w:val="single" w:color="auto" w:sz="4" w:space="0"/>
              <w:right w:val="single" w:color="auto" w:sz="4" w:space="0"/>
            </w:tcBorders>
            <w:vAlign w:val="center"/>
          </w:tcPr>
          <w:p w14:paraId="1FFE241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692" w:type="dxa"/>
            <w:tcBorders>
              <w:top w:val="single" w:color="auto" w:sz="4" w:space="0"/>
              <w:left w:val="single" w:color="auto" w:sz="4" w:space="0"/>
              <w:bottom w:val="single" w:color="auto" w:sz="4" w:space="0"/>
              <w:right w:val="single" w:color="auto" w:sz="4" w:space="0"/>
            </w:tcBorders>
            <w:vAlign w:val="center"/>
          </w:tcPr>
          <w:p w14:paraId="2276F18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长度</w:t>
            </w:r>
          </w:p>
          <w:p w14:paraId="2D858FB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p>
        </w:tc>
        <w:tc>
          <w:tcPr>
            <w:tcW w:w="647" w:type="dxa"/>
            <w:tcBorders>
              <w:top w:val="single" w:color="auto" w:sz="4" w:space="0"/>
              <w:left w:val="single" w:color="auto" w:sz="4" w:space="0"/>
              <w:bottom w:val="single" w:color="auto" w:sz="4" w:space="0"/>
              <w:right w:val="single" w:color="auto" w:sz="4" w:space="0"/>
            </w:tcBorders>
            <w:vAlign w:val="center"/>
          </w:tcPr>
          <w:p w14:paraId="0FF9A41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宽度</w:t>
            </w:r>
          </w:p>
          <w:p w14:paraId="06AC351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p>
        </w:tc>
        <w:tc>
          <w:tcPr>
            <w:tcW w:w="721" w:type="dxa"/>
            <w:tcBorders>
              <w:top w:val="single" w:color="auto" w:sz="4" w:space="0"/>
              <w:left w:val="single" w:color="auto" w:sz="4" w:space="0"/>
              <w:bottom w:val="single" w:color="auto" w:sz="4" w:space="0"/>
              <w:right w:val="single" w:color="auto" w:sz="4" w:space="0"/>
            </w:tcBorders>
            <w:vAlign w:val="center"/>
          </w:tcPr>
          <w:p w14:paraId="73BF2EB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有效高度</w:t>
            </w:r>
          </w:p>
          <w:p w14:paraId="136C6AD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eastAsia="zh-CN"/>
              </w:rPr>
              <w:t>）</w:t>
            </w:r>
          </w:p>
        </w:tc>
        <w:tc>
          <w:tcPr>
            <w:tcW w:w="692" w:type="dxa"/>
            <w:vMerge w:val="continue"/>
            <w:tcBorders>
              <w:top w:val="single" w:color="auto" w:sz="4" w:space="0"/>
              <w:left w:val="single" w:color="auto" w:sz="4" w:space="0"/>
              <w:bottom w:val="single" w:color="auto" w:sz="4" w:space="0"/>
              <w:right w:val="single" w:color="auto" w:sz="4" w:space="0"/>
            </w:tcBorders>
            <w:vAlign w:val="center"/>
          </w:tcPr>
          <w:p w14:paraId="3FF50EA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927" w:type="dxa"/>
            <w:vMerge w:val="continue"/>
            <w:tcBorders>
              <w:top w:val="single" w:color="auto" w:sz="4" w:space="0"/>
              <w:left w:val="single" w:color="auto" w:sz="4" w:space="0"/>
              <w:bottom w:val="single" w:color="auto" w:sz="4" w:space="0"/>
              <w:right w:val="single" w:color="auto" w:sz="4" w:space="0"/>
            </w:tcBorders>
            <w:vAlign w:val="center"/>
          </w:tcPr>
          <w:p w14:paraId="25E1E2F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3276FF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41" w:type="dxa"/>
            <w:vMerge w:val="restart"/>
            <w:tcBorders>
              <w:top w:val="single" w:color="auto" w:sz="4" w:space="0"/>
              <w:left w:val="single" w:color="auto" w:sz="4" w:space="0"/>
              <w:bottom w:val="single" w:color="auto" w:sz="4" w:space="0"/>
              <w:right w:val="single" w:color="auto" w:sz="4" w:space="0"/>
            </w:tcBorders>
            <w:vAlign w:val="center"/>
          </w:tcPr>
          <w:p w14:paraId="12BCE35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牛舍及运动场</w:t>
            </w:r>
          </w:p>
        </w:tc>
        <w:tc>
          <w:tcPr>
            <w:tcW w:w="1295" w:type="dxa"/>
            <w:vMerge w:val="restart"/>
            <w:tcBorders>
              <w:top w:val="single" w:color="auto" w:sz="4" w:space="0"/>
              <w:left w:val="single" w:color="auto" w:sz="4" w:space="0"/>
              <w:bottom w:val="single" w:color="auto" w:sz="4" w:space="0"/>
              <w:right w:val="single" w:color="auto" w:sz="4" w:space="0"/>
            </w:tcBorders>
            <w:vAlign w:val="center"/>
          </w:tcPr>
          <w:p w14:paraId="5E3810B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val="en-US" w:eastAsia="zh-CN"/>
              </w:rPr>
              <w:t>41.</w:t>
            </w:r>
            <w:r>
              <w:rPr>
                <w:rFonts w:hint="default" w:ascii="Times New Roman" w:hAnsi="Times New Roman" w:eastAsia="宋体" w:cs="Times New Roman"/>
                <w:color w:val="FF0000"/>
                <w:sz w:val="21"/>
                <w:szCs w:val="21"/>
                <w:highlight w:val="none"/>
                <w:lang w:val="en-US" w:eastAsia="zh-CN"/>
              </w:rPr>
              <w:t>1188119</w:t>
            </w:r>
            <w:r>
              <w:rPr>
                <w:rFonts w:hint="default" w:ascii="Times New Roman" w:hAnsi="Times New Roman" w:eastAsia="宋体" w:cs="Times New Roman"/>
                <w:color w:val="FF0000"/>
                <w:sz w:val="21"/>
                <w:szCs w:val="21"/>
                <w:highlight w:val="none"/>
              </w:rPr>
              <w:t>°</w:t>
            </w:r>
          </w:p>
        </w:tc>
        <w:tc>
          <w:tcPr>
            <w:tcW w:w="1251" w:type="dxa"/>
            <w:vMerge w:val="restart"/>
            <w:tcBorders>
              <w:top w:val="single" w:color="auto" w:sz="4" w:space="0"/>
              <w:left w:val="single" w:color="auto" w:sz="4" w:space="0"/>
              <w:bottom w:val="single" w:color="auto" w:sz="4" w:space="0"/>
              <w:right w:val="single" w:color="auto" w:sz="4" w:space="0"/>
            </w:tcBorders>
            <w:vAlign w:val="center"/>
          </w:tcPr>
          <w:p w14:paraId="5D20D6A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val="en-US" w:eastAsia="zh-CN"/>
              </w:rPr>
              <w:t>108.</w:t>
            </w:r>
            <w:r>
              <w:rPr>
                <w:rFonts w:hint="default" w:ascii="Times New Roman" w:hAnsi="Times New Roman" w:eastAsia="宋体" w:cs="Times New Roman"/>
                <w:color w:val="FF0000"/>
                <w:sz w:val="21"/>
                <w:szCs w:val="21"/>
                <w:highlight w:val="none"/>
                <w:lang w:val="en-US" w:eastAsia="zh-CN"/>
              </w:rPr>
              <w:t>9335559</w:t>
            </w:r>
            <w:r>
              <w:rPr>
                <w:rFonts w:hint="default" w:ascii="Times New Roman" w:hAnsi="Times New Roman" w:eastAsia="宋体" w:cs="Times New Roman"/>
                <w:color w:val="FF0000"/>
                <w:sz w:val="21"/>
                <w:szCs w:val="21"/>
                <w:highlight w:val="none"/>
              </w:rPr>
              <w:t>°</w:t>
            </w:r>
          </w:p>
        </w:tc>
        <w:tc>
          <w:tcPr>
            <w:tcW w:w="1121" w:type="dxa"/>
            <w:vMerge w:val="restart"/>
            <w:tcBorders>
              <w:top w:val="single" w:color="auto" w:sz="4" w:space="0"/>
              <w:left w:val="single" w:color="auto" w:sz="4" w:space="0"/>
              <w:bottom w:val="single" w:color="auto" w:sz="4" w:space="0"/>
              <w:right w:val="single" w:color="auto" w:sz="4" w:space="0"/>
            </w:tcBorders>
            <w:vAlign w:val="center"/>
          </w:tcPr>
          <w:p w14:paraId="138FEC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0</w:t>
            </w:r>
          </w:p>
        </w:tc>
        <w:tc>
          <w:tcPr>
            <w:tcW w:w="616" w:type="dxa"/>
            <w:vMerge w:val="restart"/>
            <w:tcBorders>
              <w:top w:val="single" w:color="auto" w:sz="4" w:space="0"/>
              <w:left w:val="single" w:color="auto" w:sz="4" w:space="0"/>
              <w:bottom w:val="single" w:color="auto" w:sz="4" w:space="0"/>
              <w:right w:val="single" w:color="auto" w:sz="4" w:space="0"/>
            </w:tcBorders>
            <w:vAlign w:val="center"/>
          </w:tcPr>
          <w:p w14:paraId="3BBE4FC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10</w:t>
            </w:r>
            <w:r>
              <w:rPr>
                <w:rFonts w:hint="default" w:ascii="Times New Roman" w:hAnsi="Times New Roman" w:eastAsia="宋体" w:cs="Times New Roman"/>
                <w:color w:val="FF0000"/>
                <w:sz w:val="21"/>
                <w:szCs w:val="21"/>
                <w:highlight w:val="none"/>
                <w:lang w:val="en-US" w:eastAsia="zh-CN"/>
              </w:rPr>
              <w:t>47</w:t>
            </w:r>
          </w:p>
        </w:tc>
        <w:tc>
          <w:tcPr>
            <w:tcW w:w="692" w:type="dxa"/>
            <w:vMerge w:val="restart"/>
            <w:tcBorders>
              <w:top w:val="single" w:color="auto" w:sz="4" w:space="0"/>
              <w:left w:val="single" w:color="auto" w:sz="4" w:space="0"/>
              <w:bottom w:val="single" w:color="auto" w:sz="4" w:space="0"/>
              <w:right w:val="single" w:color="auto" w:sz="4" w:space="0"/>
            </w:tcBorders>
            <w:vAlign w:val="center"/>
          </w:tcPr>
          <w:p w14:paraId="3B0292B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460</w:t>
            </w:r>
          </w:p>
        </w:tc>
        <w:tc>
          <w:tcPr>
            <w:tcW w:w="647" w:type="dxa"/>
            <w:vMerge w:val="restart"/>
            <w:tcBorders>
              <w:top w:val="single" w:color="auto" w:sz="4" w:space="0"/>
              <w:left w:val="single" w:color="auto" w:sz="4" w:space="0"/>
              <w:bottom w:val="single" w:color="auto" w:sz="4" w:space="0"/>
              <w:right w:val="single" w:color="auto" w:sz="4" w:space="0"/>
            </w:tcBorders>
            <w:vAlign w:val="center"/>
          </w:tcPr>
          <w:p w14:paraId="7B12E70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320</w:t>
            </w:r>
          </w:p>
        </w:tc>
        <w:tc>
          <w:tcPr>
            <w:tcW w:w="721" w:type="dxa"/>
            <w:vMerge w:val="restart"/>
            <w:tcBorders>
              <w:top w:val="single" w:color="auto" w:sz="4" w:space="0"/>
              <w:left w:val="single" w:color="auto" w:sz="4" w:space="0"/>
              <w:bottom w:val="single" w:color="auto" w:sz="4" w:space="0"/>
              <w:right w:val="single" w:color="auto" w:sz="4" w:space="0"/>
            </w:tcBorders>
            <w:vAlign w:val="center"/>
          </w:tcPr>
          <w:p w14:paraId="43974A1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.0</w:t>
            </w:r>
          </w:p>
        </w:tc>
        <w:tc>
          <w:tcPr>
            <w:tcW w:w="692" w:type="dxa"/>
            <w:tcBorders>
              <w:top w:val="single" w:color="auto" w:sz="4" w:space="0"/>
              <w:left w:val="single" w:color="auto" w:sz="4" w:space="0"/>
              <w:bottom w:val="single" w:color="auto" w:sz="4" w:space="0"/>
              <w:right w:val="single" w:color="auto" w:sz="4" w:space="0"/>
            </w:tcBorders>
            <w:vAlign w:val="center"/>
          </w:tcPr>
          <w:p w14:paraId="3A07153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927" w:type="dxa"/>
            <w:tcBorders>
              <w:top w:val="single" w:color="auto" w:sz="4" w:space="0"/>
              <w:left w:val="single" w:color="auto" w:sz="4" w:space="0"/>
              <w:bottom w:val="single" w:color="auto" w:sz="4" w:space="0"/>
              <w:right w:val="single" w:color="auto" w:sz="4" w:space="0"/>
            </w:tcBorders>
            <w:vAlign w:val="center"/>
          </w:tcPr>
          <w:p w14:paraId="10483B8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0.0208</w:t>
            </w:r>
          </w:p>
        </w:tc>
      </w:tr>
      <w:tr w14:paraId="2D29796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41" w:type="dxa"/>
            <w:vMerge w:val="continue"/>
            <w:tcBorders>
              <w:top w:val="single" w:color="auto" w:sz="4" w:space="0"/>
              <w:left w:val="single" w:color="auto" w:sz="4" w:space="0"/>
              <w:bottom w:val="single" w:color="auto" w:sz="4" w:space="0"/>
              <w:right w:val="single" w:color="auto" w:sz="4" w:space="0"/>
            </w:tcBorders>
            <w:vAlign w:val="center"/>
          </w:tcPr>
          <w:p w14:paraId="5796366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295" w:type="dxa"/>
            <w:vMerge w:val="continue"/>
            <w:tcBorders>
              <w:top w:val="single" w:color="auto" w:sz="4" w:space="0"/>
              <w:left w:val="single" w:color="auto" w:sz="4" w:space="0"/>
              <w:bottom w:val="single" w:color="auto" w:sz="4" w:space="0"/>
              <w:right w:val="single" w:color="auto" w:sz="4" w:space="0"/>
            </w:tcBorders>
            <w:vAlign w:val="center"/>
          </w:tcPr>
          <w:p w14:paraId="73DCFBE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p>
        </w:tc>
        <w:tc>
          <w:tcPr>
            <w:tcW w:w="1251" w:type="dxa"/>
            <w:vMerge w:val="continue"/>
            <w:tcBorders>
              <w:top w:val="single" w:color="auto" w:sz="4" w:space="0"/>
              <w:left w:val="single" w:color="auto" w:sz="4" w:space="0"/>
              <w:bottom w:val="single" w:color="auto" w:sz="4" w:space="0"/>
              <w:right w:val="single" w:color="auto" w:sz="4" w:space="0"/>
            </w:tcBorders>
            <w:vAlign w:val="center"/>
          </w:tcPr>
          <w:p w14:paraId="13B0BB9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p>
        </w:tc>
        <w:tc>
          <w:tcPr>
            <w:tcW w:w="1121" w:type="dxa"/>
            <w:vMerge w:val="continue"/>
            <w:tcBorders>
              <w:top w:val="single" w:color="auto" w:sz="4" w:space="0"/>
              <w:left w:val="single" w:color="auto" w:sz="4" w:space="0"/>
              <w:bottom w:val="single" w:color="auto" w:sz="4" w:space="0"/>
              <w:right w:val="single" w:color="auto" w:sz="4" w:space="0"/>
            </w:tcBorders>
            <w:vAlign w:val="center"/>
          </w:tcPr>
          <w:p w14:paraId="6EF5D39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p>
        </w:tc>
        <w:tc>
          <w:tcPr>
            <w:tcW w:w="616" w:type="dxa"/>
            <w:vMerge w:val="continue"/>
            <w:tcBorders>
              <w:top w:val="single" w:color="auto" w:sz="4" w:space="0"/>
              <w:left w:val="single" w:color="auto" w:sz="4" w:space="0"/>
              <w:bottom w:val="single" w:color="auto" w:sz="4" w:space="0"/>
              <w:right w:val="single" w:color="auto" w:sz="4" w:space="0"/>
            </w:tcBorders>
            <w:vAlign w:val="center"/>
          </w:tcPr>
          <w:p w14:paraId="21C8F91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p>
        </w:tc>
        <w:tc>
          <w:tcPr>
            <w:tcW w:w="692" w:type="dxa"/>
            <w:vMerge w:val="continue"/>
            <w:tcBorders>
              <w:top w:val="single" w:color="auto" w:sz="4" w:space="0"/>
              <w:left w:val="single" w:color="auto" w:sz="4" w:space="0"/>
              <w:bottom w:val="single" w:color="auto" w:sz="4" w:space="0"/>
              <w:right w:val="single" w:color="auto" w:sz="4" w:space="0"/>
            </w:tcBorders>
            <w:vAlign w:val="center"/>
          </w:tcPr>
          <w:p w14:paraId="342D43A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647" w:type="dxa"/>
            <w:vMerge w:val="continue"/>
            <w:tcBorders>
              <w:top w:val="single" w:color="auto" w:sz="4" w:space="0"/>
              <w:left w:val="single" w:color="auto" w:sz="4" w:space="0"/>
              <w:bottom w:val="single" w:color="auto" w:sz="4" w:space="0"/>
              <w:right w:val="single" w:color="auto" w:sz="4" w:space="0"/>
            </w:tcBorders>
            <w:vAlign w:val="center"/>
          </w:tcPr>
          <w:p w14:paraId="3E011DA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721" w:type="dxa"/>
            <w:vMerge w:val="continue"/>
            <w:tcBorders>
              <w:top w:val="single" w:color="auto" w:sz="4" w:space="0"/>
              <w:left w:val="single" w:color="auto" w:sz="4" w:space="0"/>
              <w:bottom w:val="single" w:color="auto" w:sz="4" w:space="0"/>
              <w:right w:val="single" w:color="auto" w:sz="4" w:space="0"/>
            </w:tcBorders>
            <w:vAlign w:val="center"/>
          </w:tcPr>
          <w:p w14:paraId="2630AE8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692" w:type="dxa"/>
            <w:tcBorders>
              <w:top w:val="single" w:color="auto" w:sz="4" w:space="0"/>
              <w:left w:val="single" w:color="auto" w:sz="4" w:space="0"/>
              <w:bottom w:val="single" w:color="auto" w:sz="4" w:space="0"/>
              <w:right w:val="single" w:color="auto" w:sz="4" w:space="0"/>
            </w:tcBorders>
            <w:vAlign w:val="center"/>
          </w:tcPr>
          <w:p w14:paraId="3DA17A2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927" w:type="dxa"/>
            <w:tcBorders>
              <w:top w:val="single" w:color="auto" w:sz="4" w:space="0"/>
              <w:left w:val="single" w:color="auto" w:sz="4" w:space="0"/>
              <w:bottom w:val="single" w:color="auto" w:sz="4" w:space="0"/>
              <w:right w:val="single" w:color="auto" w:sz="4" w:space="0"/>
            </w:tcBorders>
            <w:vAlign w:val="center"/>
          </w:tcPr>
          <w:p w14:paraId="5FCBF25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0.00</w:t>
            </w:r>
            <w:r>
              <w:rPr>
                <w:rFonts w:hint="default" w:ascii="Times New Roman" w:hAnsi="Times New Roman" w:eastAsia="宋体" w:cs="Times New Roman"/>
                <w:color w:val="auto"/>
                <w:sz w:val="21"/>
                <w:szCs w:val="21"/>
                <w:highlight w:val="none"/>
                <w:lang w:val="en-US" w:eastAsia="zh-CN"/>
              </w:rPr>
              <w:t>03</w:t>
            </w:r>
          </w:p>
        </w:tc>
      </w:tr>
      <w:tr w14:paraId="0100C6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41" w:type="dxa"/>
            <w:vMerge w:val="restart"/>
            <w:tcBorders>
              <w:top w:val="single" w:color="auto" w:sz="4" w:space="0"/>
              <w:left w:val="single" w:color="auto" w:sz="4" w:space="0"/>
              <w:bottom w:val="single" w:color="auto" w:sz="4" w:space="0"/>
              <w:right w:val="single" w:color="auto" w:sz="4" w:space="0"/>
            </w:tcBorders>
            <w:vAlign w:val="center"/>
          </w:tcPr>
          <w:p w14:paraId="3BA5D12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粪污处理池</w:t>
            </w:r>
          </w:p>
        </w:tc>
        <w:tc>
          <w:tcPr>
            <w:tcW w:w="1295" w:type="dxa"/>
            <w:vMerge w:val="restart"/>
            <w:tcBorders>
              <w:top w:val="single" w:color="auto" w:sz="4" w:space="0"/>
              <w:left w:val="single" w:color="auto" w:sz="4" w:space="0"/>
              <w:bottom w:val="single" w:color="auto" w:sz="4" w:space="0"/>
              <w:right w:val="single" w:color="auto" w:sz="4" w:space="0"/>
            </w:tcBorders>
            <w:vAlign w:val="center"/>
          </w:tcPr>
          <w:p w14:paraId="147602C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41.</w:t>
            </w:r>
            <w:r>
              <w:rPr>
                <w:rFonts w:hint="default" w:ascii="Times New Roman" w:hAnsi="Times New Roman" w:eastAsia="宋体" w:cs="Times New Roman"/>
                <w:color w:val="FF0000"/>
                <w:sz w:val="21"/>
                <w:szCs w:val="21"/>
                <w:highlight w:val="none"/>
                <w:lang w:val="en-US" w:eastAsia="zh-CN"/>
              </w:rPr>
              <w:t>1177927</w:t>
            </w:r>
            <w:r>
              <w:rPr>
                <w:rFonts w:hint="default" w:ascii="Times New Roman" w:hAnsi="Times New Roman" w:eastAsia="宋体" w:cs="Times New Roman"/>
                <w:color w:val="FF0000"/>
                <w:sz w:val="21"/>
                <w:szCs w:val="21"/>
                <w:highlight w:val="none"/>
              </w:rPr>
              <w:t>°</w:t>
            </w:r>
          </w:p>
        </w:tc>
        <w:tc>
          <w:tcPr>
            <w:tcW w:w="1251" w:type="dxa"/>
            <w:vMerge w:val="restart"/>
            <w:tcBorders>
              <w:top w:val="single" w:color="auto" w:sz="4" w:space="0"/>
              <w:left w:val="single" w:color="auto" w:sz="4" w:space="0"/>
              <w:bottom w:val="single" w:color="auto" w:sz="4" w:space="0"/>
              <w:right w:val="single" w:color="auto" w:sz="4" w:space="0"/>
            </w:tcBorders>
            <w:vAlign w:val="center"/>
          </w:tcPr>
          <w:p w14:paraId="54B5A43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108.</w:t>
            </w:r>
            <w:r>
              <w:rPr>
                <w:rFonts w:hint="default" w:ascii="Times New Roman" w:hAnsi="Times New Roman" w:eastAsia="宋体" w:cs="Times New Roman"/>
                <w:color w:val="FF0000"/>
                <w:sz w:val="21"/>
                <w:szCs w:val="21"/>
                <w:highlight w:val="none"/>
                <w:lang w:val="en-US" w:eastAsia="zh-CN"/>
              </w:rPr>
              <w:t>9320753</w:t>
            </w:r>
            <w:r>
              <w:rPr>
                <w:rFonts w:hint="default" w:ascii="Times New Roman" w:hAnsi="Times New Roman" w:eastAsia="宋体" w:cs="Times New Roman"/>
                <w:color w:val="FF0000"/>
                <w:sz w:val="21"/>
                <w:szCs w:val="21"/>
                <w:highlight w:val="none"/>
              </w:rPr>
              <w:t>°</w:t>
            </w:r>
          </w:p>
        </w:tc>
        <w:tc>
          <w:tcPr>
            <w:tcW w:w="1121" w:type="dxa"/>
            <w:vMerge w:val="restart"/>
            <w:tcBorders>
              <w:top w:val="single" w:color="auto" w:sz="4" w:space="0"/>
              <w:left w:val="single" w:color="auto" w:sz="4" w:space="0"/>
              <w:bottom w:val="single" w:color="auto" w:sz="4" w:space="0"/>
              <w:right w:val="single" w:color="auto" w:sz="4" w:space="0"/>
            </w:tcBorders>
            <w:vAlign w:val="center"/>
          </w:tcPr>
          <w:p w14:paraId="49BE136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w:t>
            </w:r>
          </w:p>
        </w:tc>
        <w:tc>
          <w:tcPr>
            <w:tcW w:w="616" w:type="dxa"/>
            <w:vMerge w:val="restart"/>
            <w:tcBorders>
              <w:top w:val="single" w:color="auto" w:sz="4" w:space="0"/>
              <w:left w:val="single" w:color="auto" w:sz="4" w:space="0"/>
              <w:bottom w:val="single" w:color="auto" w:sz="4" w:space="0"/>
              <w:right w:val="single" w:color="auto" w:sz="4" w:space="0"/>
            </w:tcBorders>
            <w:vAlign w:val="center"/>
          </w:tcPr>
          <w:p w14:paraId="23FF1E7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104</w:t>
            </w:r>
            <w:r>
              <w:rPr>
                <w:rFonts w:hint="default" w:ascii="Times New Roman" w:hAnsi="Times New Roman" w:eastAsia="宋体" w:cs="Times New Roman"/>
                <w:color w:val="FF0000"/>
                <w:sz w:val="21"/>
                <w:szCs w:val="21"/>
                <w:highlight w:val="none"/>
                <w:lang w:val="en-US" w:eastAsia="zh-CN"/>
              </w:rPr>
              <w:t>3</w:t>
            </w:r>
          </w:p>
        </w:tc>
        <w:tc>
          <w:tcPr>
            <w:tcW w:w="692" w:type="dxa"/>
            <w:vMerge w:val="restart"/>
            <w:tcBorders>
              <w:top w:val="single" w:color="auto" w:sz="4" w:space="0"/>
              <w:left w:val="single" w:color="auto" w:sz="4" w:space="0"/>
              <w:bottom w:val="single" w:color="auto" w:sz="4" w:space="0"/>
              <w:right w:val="single" w:color="auto" w:sz="4" w:space="0"/>
            </w:tcBorders>
            <w:vAlign w:val="center"/>
          </w:tcPr>
          <w:p w14:paraId="79F51FC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108</w:t>
            </w:r>
          </w:p>
        </w:tc>
        <w:tc>
          <w:tcPr>
            <w:tcW w:w="647" w:type="dxa"/>
            <w:vMerge w:val="restart"/>
            <w:tcBorders>
              <w:top w:val="single" w:color="auto" w:sz="4" w:space="0"/>
              <w:left w:val="single" w:color="auto" w:sz="4" w:space="0"/>
              <w:bottom w:val="single" w:color="auto" w:sz="4" w:space="0"/>
              <w:right w:val="single" w:color="auto" w:sz="4" w:space="0"/>
            </w:tcBorders>
            <w:vAlign w:val="center"/>
          </w:tcPr>
          <w:p w14:paraId="152EAF0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50</w:t>
            </w:r>
          </w:p>
        </w:tc>
        <w:tc>
          <w:tcPr>
            <w:tcW w:w="721" w:type="dxa"/>
            <w:vMerge w:val="restart"/>
            <w:tcBorders>
              <w:top w:val="single" w:color="auto" w:sz="4" w:space="0"/>
              <w:left w:val="single" w:color="auto" w:sz="4" w:space="0"/>
              <w:bottom w:val="single" w:color="auto" w:sz="4" w:space="0"/>
              <w:right w:val="single" w:color="auto" w:sz="4" w:space="0"/>
            </w:tcBorders>
            <w:vAlign w:val="center"/>
          </w:tcPr>
          <w:p w14:paraId="3DAD94B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w:t>
            </w:r>
          </w:p>
        </w:tc>
        <w:tc>
          <w:tcPr>
            <w:tcW w:w="692" w:type="dxa"/>
            <w:tcBorders>
              <w:top w:val="single" w:color="auto" w:sz="4" w:space="0"/>
              <w:left w:val="single" w:color="auto" w:sz="4" w:space="0"/>
              <w:bottom w:val="single" w:color="auto" w:sz="4" w:space="0"/>
              <w:right w:val="single" w:color="auto" w:sz="4" w:space="0"/>
            </w:tcBorders>
            <w:vAlign w:val="center"/>
          </w:tcPr>
          <w:p w14:paraId="0397A65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927" w:type="dxa"/>
            <w:tcBorders>
              <w:top w:val="single" w:color="auto" w:sz="4" w:space="0"/>
              <w:left w:val="single" w:color="auto" w:sz="4" w:space="0"/>
              <w:bottom w:val="single" w:color="auto" w:sz="4" w:space="0"/>
              <w:right w:val="single" w:color="auto" w:sz="4" w:space="0"/>
            </w:tcBorders>
            <w:vAlign w:val="center"/>
          </w:tcPr>
          <w:p w14:paraId="02EC25E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0.0139</w:t>
            </w:r>
          </w:p>
        </w:tc>
      </w:tr>
      <w:tr w14:paraId="31118EB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41" w:type="dxa"/>
            <w:vMerge w:val="continue"/>
            <w:tcBorders>
              <w:top w:val="single" w:color="auto" w:sz="4" w:space="0"/>
              <w:left w:val="single" w:color="auto" w:sz="4" w:space="0"/>
              <w:bottom w:val="single" w:color="auto" w:sz="4" w:space="0"/>
              <w:right w:val="single" w:color="auto" w:sz="4" w:space="0"/>
            </w:tcBorders>
            <w:vAlign w:val="center"/>
          </w:tcPr>
          <w:p w14:paraId="5A1D269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295" w:type="dxa"/>
            <w:vMerge w:val="continue"/>
            <w:tcBorders>
              <w:top w:val="single" w:color="auto" w:sz="4" w:space="0"/>
              <w:left w:val="single" w:color="auto" w:sz="4" w:space="0"/>
              <w:bottom w:val="single" w:color="auto" w:sz="4" w:space="0"/>
              <w:right w:val="single" w:color="auto" w:sz="4" w:space="0"/>
            </w:tcBorders>
            <w:vAlign w:val="center"/>
          </w:tcPr>
          <w:p w14:paraId="6C2995F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p>
        </w:tc>
        <w:tc>
          <w:tcPr>
            <w:tcW w:w="1251" w:type="dxa"/>
            <w:vMerge w:val="continue"/>
            <w:tcBorders>
              <w:top w:val="single" w:color="auto" w:sz="4" w:space="0"/>
              <w:left w:val="single" w:color="auto" w:sz="4" w:space="0"/>
              <w:bottom w:val="single" w:color="auto" w:sz="4" w:space="0"/>
              <w:right w:val="single" w:color="auto" w:sz="4" w:space="0"/>
            </w:tcBorders>
            <w:vAlign w:val="center"/>
          </w:tcPr>
          <w:p w14:paraId="6AE13F3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p>
        </w:tc>
        <w:tc>
          <w:tcPr>
            <w:tcW w:w="1121" w:type="dxa"/>
            <w:vMerge w:val="continue"/>
            <w:tcBorders>
              <w:top w:val="single" w:color="auto" w:sz="4" w:space="0"/>
              <w:left w:val="single" w:color="auto" w:sz="4" w:space="0"/>
              <w:bottom w:val="single" w:color="auto" w:sz="4" w:space="0"/>
              <w:right w:val="single" w:color="auto" w:sz="4" w:space="0"/>
            </w:tcBorders>
            <w:vAlign w:val="center"/>
          </w:tcPr>
          <w:p w14:paraId="00CD00F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p>
        </w:tc>
        <w:tc>
          <w:tcPr>
            <w:tcW w:w="616" w:type="dxa"/>
            <w:vMerge w:val="continue"/>
            <w:tcBorders>
              <w:top w:val="single" w:color="auto" w:sz="4" w:space="0"/>
              <w:left w:val="single" w:color="auto" w:sz="4" w:space="0"/>
              <w:bottom w:val="single" w:color="auto" w:sz="4" w:space="0"/>
              <w:right w:val="single" w:color="auto" w:sz="4" w:space="0"/>
            </w:tcBorders>
            <w:vAlign w:val="center"/>
          </w:tcPr>
          <w:p w14:paraId="1655FA2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p>
        </w:tc>
        <w:tc>
          <w:tcPr>
            <w:tcW w:w="692" w:type="dxa"/>
            <w:vMerge w:val="continue"/>
            <w:tcBorders>
              <w:top w:val="single" w:color="auto" w:sz="4" w:space="0"/>
              <w:left w:val="single" w:color="auto" w:sz="4" w:space="0"/>
              <w:bottom w:val="single" w:color="auto" w:sz="4" w:space="0"/>
              <w:right w:val="single" w:color="auto" w:sz="4" w:space="0"/>
            </w:tcBorders>
            <w:vAlign w:val="center"/>
          </w:tcPr>
          <w:p w14:paraId="42BD06D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647" w:type="dxa"/>
            <w:vMerge w:val="continue"/>
            <w:tcBorders>
              <w:top w:val="single" w:color="auto" w:sz="4" w:space="0"/>
              <w:left w:val="single" w:color="auto" w:sz="4" w:space="0"/>
              <w:bottom w:val="single" w:color="auto" w:sz="4" w:space="0"/>
              <w:right w:val="single" w:color="auto" w:sz="4" w:space="0"/>
            </w:tcBorders>
            <w:vAlign w:val="center"/>
          </w:tcPr>
          <w:p w14:paraId="0DB6630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721" w:type="dxa"/>
            <w:vMerge w:val="continue"/>
            <w:tcBorders>
              <w:top w:val="single" w:color="auto" w:sz="4" w:space="0"/>
              <w:left w:val="single" w:color="auto" w:sz="4" w:space="0"/>
              <w:bottom w:val="single" w:color="auto" w:sz="4" w:space="0"/>
              <w:right w:val="single" w:color="auto" w:sz="4" w:space="0"/>
            </w:tcBorders>
            <w:vAlign w:val="center"/>
          </w:tcPr>
          <w:p w14:paraId="5F3F60E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692" w:type="dxa"/>
            <w:tcBorders>
              <w:top w:val="single" w:color="auto" w:sz="4" w:space="0"/>
              <w:left w:val="single" w:color="auto" w:sz="4" w:space="0"/>
              <w:bottom w:val="single" w:color="auto" w:sz="4" w:space="0"/>
              <w:right w:val="single" w:color="auto" w:sz="4" w:space="0"/>
            </w:tcBorders>
            <w:vAlign w:val="center"/>
          </w:tcPr>
          <w:p w14:paraId="66BA21E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927" w:type="dxa"/>
            <w:tcBorders>
              <w:top w:val="single" w:color="auto" w:sz="4" w:space="0"/>
              <w:left w:val="single" w:color="auto" w:sz="4" w:space="0"/>
              <w:bottom w:val="single" w:color="auto" w:sz="4" w:space="0"/>
              <w:right w:val="single" w:color="auto" w:sz="4" w:space="0"/>
            </w:tcBorders>
            <w:vAlign w:val="center"/>
          </w:tcPr>
          <w:p w14:paraId="6F242A0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0.00</w:t>
            </w:r>
            <w:r>
              <w:rPr>
                <w:rFonts w:hint="default" w:ascii="Times New Roman" w:hAnsi="Times New Roman" w:eastAsia="宋体" w:cs="Times New Roman"/>
                <w:color w:val="auto"/>
                <w:sz w:val="21"/>
                <w:szCs w:val="21"/>
                <w:highlight w:val="none"/>
                <w:lang w:val="en-US" w:eastAsia="zh-CN"/>
              </w:rPr>
              <w:t>02</w:t>
            </w:r>
          </w:p>
        </w:tc>
      </w:tr>
      <w:tr w14:paraId="355650F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41" w:type="dxa"/>
            <w:tcBorders>
              <w:top w:val="single" w:color="auto" w:sz="4" w:space="0"/>
              <w:left w:val="single" w:color="auto" w:sz="4" w:space="0"/>
              <w:bottom w:val="single" w:color="auto" w:sz="4" w:space="0"/>
              <w:right w:val="single" w:color="auto" w:sz="4" w:space="0"/>
            </w:tcBorders>
            <w:vAlign w:val="center"/>
          </w:tcPr>
          <w:p w14:paraId="4234604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TMR车间</w:t>
            </w:r>
          </w:p>
        </w:tc>
        <w:tc>
          <w:tcPr>
            <w:tcW w:w="1295" w:type="dxa"/>
            <w:tcBorders>
              <w:top w:val="single" w:color="auto" w:sz="4" w:space="0"/>
              <w:left w:val="single" w:color="auto" w:sz="4" w:space="0"/>
              <w:bottom w:val="single" w:color="auto" w:sz="4" w:space="0"/>
              <w:right w:val="single" w:color="auto" w:sz="4" w:space="0"/>
            </w:tcBorders>
            <w:vAlign w:val="center"/>
          </w:tcPr>
          <w:p w14:paraId="1F3FECD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41.11</w:t>
            </w:r>
            <w:r>
              <w:rPr>
                <w:rFonts w:hint="default" w:ascii="Times New Roman" w:hAnsi="Times New Roman" w:eastAsia="宋体" w:cs="Times New Roman"/>
                <w:color w:val="FF0000"/>
                <w:sz w:val="21"/>
                <w:szCs w:val="21"/>
                <w:highlight w:val="none"/>
                <w:lang w:val="en-US" w:eastAsia="zh-CN"/>
              </w:rPr>
              <w:t>82218</w:t>
            </w:r>
            <w:r>
              <w:rPr>
                <w:rFonts w:hint="default" w:ascii="Times New Roman" w:hAnsi="Times New Roman" w:eastAsia="宋体" w:cs="Times New Roman"/>
                <w:color w:val="FF0000"/>
                <w:sz w:val="21"/>
                <w:szCs w:val="21"/>
                <w:highlight w:val="none"/>
              </w:rPr>
              <w:t>°</w:t>
            </w:r>
          </w:p>
        </w:tc>
        <w:tc>
          <w:tcPr>
            <w:tcW w:w="1251" w:type="dxa"/>
            <w:tcBorders>
              <w:top w:val="single" w:color="auto" w:sz="4" w:space="0"/>
              <w:left w:val="single" w:color="auto" w:sz="4" w:space="0"/>
              <w:bottom w:val="single" w:color="auto" w:sz="4" w:space="0"/>
              <w:right w:val="single" w:color="auto" w:sz="4" w:space="0"/>
            </w:tcBorders>
            <w:vAlign w:val="center"/>
          </w:tcPr>
          <w:p w14:paraId="40522EE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108.</w:t>
            </w:r>
            <w:r>
              <w:rPr>
                <w:rFonts w:hint="default" w:ascii="Times New Roman" w:hAnsi="Times New Roman" w:eastAsia="宋体" w:cs="Times New Roman"/>
                <w:color w:val="FF0000"/>
                <w:sz w:val="21"/>
                <w:szCs w:val="21"/>
                <w:highlight w:val="none"/>
                <w:lang w:val="en-US" w:eastAsia="zh-CN"/>
              </w:rPr>
              <w:t>9370106</w:t>
            </w:r>
            <w:r>
              <w:rPr>
                <w:rFonts w:hint="default" w:ascii="Times New Roman" w:hAnsi="Times New Roman" w:eastAsia="宋体" w:cs="Times New Roman"/>
                <w:color w:val="FF0000"/>
                <w:sz w:val="21"/>
                <w:szCs w:val="21"/>
                <w:highlight w:val="none"/>
              </w:rPr>
              <w:t>°</w:t>
            </w:r>
          </w:p>
        </w:tc>
        <w:tc>
          <w:tcPr>
            <w:tcW w:w="1121" w:type="dxa"/>
            <w:tcBorders>
              <w:top w:val="single" w:color="auto" w:sz="4" w:space="0"/>
              <w:left w:val="single" w:color="auto" w:sz="4" w:space="0"/>
              <w:bottom w:val="single" w:color="auto" w:sz="4" w:space="0"/>
              <w:right w:val="single" w:color="auto" w:sz="4" w:space="0"/>
            </w:tcBorders>
            <w:vAlign w:val="center"/>
          </w:tcPr>
          <w:p w14:paraId="6AB9277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0</w:t>
            </w:r>
          </w:p>
        </w:tc>
        <w:tc>
          <w:tcPr>
            <w:tcW w:w="616" w:type="dxa"/>
            <w:tcBorders>
              <w:top w:val="single" w:color="auto" w:sz="4" w:space="0"/>
              <w:left w:val="single" w:color="auto" w:sz="4" w:space="0"/>
              <w:bottom w:val="single" w:color="auto" w:sz="4" w:space="0"/>
              <w:right w:val="single" w:color="auto" w:sz="4" w:space="0"/>
            </w:tcBorders>
            <w:vAlign w:val="center"/>
          </w:tcPr>
          <w:p w14:paraId="208D146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val="en-US" w:eastAsia="zh-CN"/>
              </w:rPr>
              <w:t>1046</w:t>
            </w:r>
          </w:p>
        </w:tc>
        <w:tc>
          <w:tcPr>
            <w:tcW w:w="692" w:type="dxa"/>
            <w:tcBorders>
              <w:top w:val="single" w:color="auto" w:sz="4" w:space="0"/>
              <w:left w:val="single" w:color="auto" w:sz="4" w:space="0"/>
              <w:bottom w:val="single" w:color="auto" w:sz="4" w:space="0"/>
              <w:right w:val="single" w:color="auto" w:sz="4" w:space="0"/>
            </w:tcBorders>
            <w:vAlign w:val="center"/>
          </w:tcPr>
          <w:p w14:paraId="0D4759B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647" w:type="dxa"/>
            <w:tcBorders>
              <w:top w:val="single" w:color="auto" w:sz="4" w:space="0"/>
              <w:left w:val="single" w:color="auto" w:sz="4" w:space="0"/>
              <w:bottom w:val="single" w:color="auto" w:sz="4" w:space="0"/>
              <w:right w:val="single" w:color="auto" w:sz="4" w:space="0"/>
            </w:tcBorders>
            <w:vAlign w:val="center"/>
          </w:tcPr>
          <w:p w14:paraId="4DCEE43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721" w:type="dxa"/>
            <w:tcBorders>
              <w:top w:val="single" w:color="auto" w:sz="4" w:space="0"/>
              <w:left w:val="single" w:color="auto" w:sz="4" w:space="0"/>
              <w:bottom w:val="single" w:color="auto" w:sz="4" w:space="0"/>
              <w:right w:val="single" w:color="auto" w:sz="4" w:space="0"/>
            </w:tcBorders>
            <w:vAlign w:val="center"/>
          </w:tcPr>
          <w:p w14:paraId="42E85EA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.0</w:t>
            </w:r>
          </w:p>
        </w:tc>
        <w:tc>
          <w:tcPr>
            <w:tcW w:w="692" w:type="dxa"/>
            <w:tcBorders>
              <w:top w:val="single" w:color="auto" w:sz="4" w:space="0"/>
              <w:left w:val="single" w:color="auto" w:sz="4" w:space="0"/>
              <w:bottom w:val="single" w:color="auto" w:sz="4" w:space="0"/>
              <w:right w:val="single" w:color="auto" w:sz="4" w:space="0"/>
            </w:tcBorders>
            <w:vAlign w:val="center"/>
          </w:tcPr>
          <w:p w14:paraId="3B72597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c>
          <w:tcPr>
            <w:tcW w:w="927" w:type="dxa"/>
            <w:tcBorders>
              <w:top w:val="single" w:color="auto" w:sz="4" w:space="0"/>
              <w:left w:val="single" w:color="auto" w:sz="4" w:space="0"/>
              <w:bottom w:val="single" w:color="auto" w:sz="4" w:space="0"/>
              <w:right w:val="single" w:color="auto" w:sz="4" w:space="0"/>
            </w:tcBorders>
            <w:vAlign w:val="center"/>
          </w:tcPr>
          <w:p w14:paraId="3326C16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0.0589</w:t>
            </w:r>
          </w:p>
        </w:tc>
      </w:tr>
    </w:tbl>
    <w:p w14:paraId="34F65C4C">
      <w:pPr>
        <w:pageBreakBefore w:val="0"/>
        <w:widowControl w:val="0"/>
        <w:kinsoku/>
        <w:wordWrap/>
        <w:overflowPunct w:val="0"/>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（4）估算模型计算结果</w:t>
      </w:r>
    </w:p>
    <w:p w14:paraId="1FC14C38">
      <w:pPr>
        <w:pageBreakBefore w:val="0"/>
        <w:widowControl w:val="0"/>
        <w:kinsoku/>
        <w:wordWrap/>
        <w:topLinePunct w:val="0"/>
        <w:autoSpaceDE/>
        <w:autoSpaceDN/>
        <w:bidi w:val="0"/>
        <w:adjustRightInd/>
        <w:snapToGrid w:val="0"/>
        <w:spacing w:line="360" w:lineRule="auto"/>
        <w:ind w:left="0" w:leftChars="0" w:right="0" w:rightChars="0" w:firstLine="480" w:firstLineChars="2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采用导则推荐的估算模式计算最大落地浓度和占标率，本项目所有污染源的正常排放的污染物的P</w:t>
      </w:r>
      <w:r>
        <w:rPr>
          <w:rFonts w:hint="default" w:ascii="Times New Roman" w:hAnsi="Times New Roman" w:eastAsia="宋体" w:cs="Times New Roman"/>
          <w:color w:val="auto"/>
          <w:szCs w:val="21"/>
          <w:highlight w:val="none"/>
          <w:vertAlign w:val="subscript"/>
        </w:rPr>
        <w:t>max</w:t>
      </w:r>
      <w:r>
        <w:rPr>
          <w:rFonts w:hint="default" w:ascii="Times New Roman" w:hAnsi="Times New Roman" w:eastAsia="宋体" w:cs="Times New Roman"/>
          <w:color w:val="auto"/>
          <w:szCs w:val="21"/>
          <w:highlight w:val="none"/>
        </w:rPr>
        <w:t>和D</w:t>
      </w:r>
      <w:r>
        <w:rPr>
          <w:rFonts w:hint="default" w:ascii="Times New Roman" w:hAnsi="Times New Roman" w:eastAsia="宋体" w:cs="Times New Roman"/>
          <w:color w:val="auto"/>
          <w:szCs w:val="21"/>
          <w:highlight w:val="none"/>
          <w:vertAlign w:val="subscript"/>
        </w:rPr>
        <w:t>10%</w:t>
      </w:r>
      <w:r>
        <w:rPr>
          <w:rFonts w:hint="default" w:ascii="Times New Roman" w:hAnsi="Times New Roman" w:eastAsia="宋体" w:cs="Times New Roman"/>
          <w:color w:val="auto"/>
          <w:szCs w:val="21"/>
          <w:highlight w:val="none"/>
        </w:rPr>
        <w:t>预测结果详见下表。</w:t>
      </w:r>
    </w:p>
    <w:p w14:paraId="2F2977B4">
      <w:pPr>
        <w:pStyle w:val="7"/>
        <w:pageBreakBefore w:val="0"/>
        <w:widowControl w:val="0"/>
        <w:kinsoku/>
        <w:wordWrap/>
        <w:autoSpaceDN/>
        <w:bidi w:val="0"/>
        <w:adjustRightInd/>
        <w:snapToGrid w:val="0"/>
        <w:spacing w:line="360" w:lineRule="auto"/>
        <w:ind w:left="0" w:leftChars="0" w:right="0" w:rightChars="0" w:firstLine="482"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表2.5-4主要污染源估算模型计算结果表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4"/>
        <w:gridCol w:w="1416"/>
        <w:gridCol w:w="1131"/>
        <w:gridCol w:w="1721"/>
        <w:gridCol w:w="1605"/>
        <w:gridCol w:w="1380"/>
      </w:tblGrid>
      <w:tr w14:paraId="39B78D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8" w:type="dxa"/>
            <w:tcBorders>
              <w:top w:val="single" w:color="auto" w:sz="4" w:space="0"/>
              <w:left w:val="single" w:color="auto" w:sz="4" w:space="0"/>
            </w:tcBorders>
            <w:vAlign w:val="center"/>
          </w:tcPr>
          <w:p w14:paraId="3E8895B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污染源</w:t>
            </w:r>
          </w:p>
        </w:tc>
        <w:tc>
          <w:tcPr>
            <w:tcW w:w="1541" w:type="dxa"/>
            <w:tcBorders>
              <w:top w:val="single" w:color="auto" w:sz="4" w:space="0"/>
            </w:tcBorders>
            <w:vAlign w:val="center"/>
          </w:tcPr>
          <w:p w14:paraId="65089AA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因子</w:t>
            </w:r>
          </w:p>
        </w:tc>
        <w:tc>
          <w:tcPr>
            <w:tcW w:w="1226" w:type="dxa"/>
            <w:tcBorders>
              <w:top w:val="single" w:color="auto" w:sz="4" w:space="0"/>
            </w:tcBorders>
            <w:vAlign w:val="center"/>
          </w:tcPr>
          <w:p w14:paraId="3309E9F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源强（kg/h）</w:t>
            </w:r>
          </w:p>
        </w:tc>
        <w:tc>
          <w:tcPr>
            <w:tcW w:w="1878" w:type="dxa"/>
            <w:tcBorders>
              <w:top w:val="single" w:color="auto" w:sz="4" w:space="0"/>
            </w:tcBorders>
            <w:vAlign w:val="center"/>
          </w:tcPr>
          <w:p w14:paraId="5055677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最大质量浓度</w:t>
            </w:r>
          </w:p>
          <w:p w14:paraId="74D7561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（μg/m</w:t>
            </w:r>
            <w:r>
              <w:rPr>
                <w:rFonts w:hint="default" w:ascii="Times New Roman" w:hAnsi="Times New Roman" w:eastAsia="宋体" w:cs="Times New Roman"/>
                <w:snapToGrid w:val="0"/>
                <w:color w:val="auto"/>
                <w:sz w:val="21"/>
                <w:szCs w:val="21"/>
                <w:highlight w:val="none"/>
                <w:vertAlign w:val="superscript"/>
              </w:rPr>
              <w:t>3</w:t>
            </w:r>
            <w:r>
              <w:rPr>
                <w:rFonts w:hint="default" w:ascii="Times New Roman" w:hAnsi="Times New Roman" w:eastAsia="宋体" w:cs="Times New Roman"/>
                <w:snapToGrid w:val="0"/>
                <w:color w:val="auto"/>
                <w:sz w:val="21"/>
                <w:szCs w:val="21"/>
                <w:highlight w:val="none"/>
              </w:rPr>
              <w:t>）</w:t>
            </w:r>
          </w:p>
        </w:tc>
        <w:tc>
          <w:tcPr>
            <w:tcW w:w="1750" w:type="dxa"/>
            <w:tcBorders>
              <w:top w:val="single" w:color="auto" w:sz="4" w:space="0"/>
            </w:tcBorders>
            <w:vAlign w:val="center"/>
          </w:tcPr>
          <w:p w14:paraId="4020FF0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最大质量浓度占标率（%）</w:t>
            </w:r>
          </w:p>
        </w:tc>
        <w:tc>
          <w:tcPr>
            <w:tcW w:w="1500" w:type="dxa"/>
            <w:tcBorders>
              <w:top w:val="single" w:color="auto" w:sz="4" w:space="0"/>
              <w:right w:val="single" w:color="auto" w:sz="4" w:space="0"/>
            </w:tcBorders>
            <w:vAlign w:val="center"/>
          </w:tcPr>
          <w:p w14:paraId="6172964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D10%最远距离（m）</w:t>
            </w:r>
          </w:p>
        </w:tc>
      </w:tr>
      <w:tr w14:paraId="412A19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8" w:type="dxa"/>
            <w:vMerge w:val="restart"/>
            <w:tcBorders>
              <w:left w:val="single" w:color="auto" w:sz="4" w:space="0"/>
            </w:tcBorders>
            <w:vAlign w:val="center"/>
          </w:tcPr>
          <w:p w14:paraId="5ACAC53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rPr>
              <w:t>牛舍及运动场</w:t>
            </w:r>
          </w:p>
        </w:tc>
        <w:tc>
          <w:tcPr>
            <w:tcW w:w="1541" w:type="dxa"/>
            <w:vAlign w:val="center"/>
          </w:tcPr>
          <w:p w14:paraId="2AE3476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1226" w:type="dxa"/>
            <w:vAlign w:val="center"/>
          </w:tcPr>
          <w:p w14:paraId="3EE0E4A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0.0208</w:t>
            </w:r>
          </w:p>
        </w:tc>
        <w:tc>
          <w:tcPr>
            <w:tcW w:w="1878" w:type="dxa"/>
            <w:vAlign w:val="center"/>
          </w:tcPr>
          <w:p w14:paraId="56F31F3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00B050"/>
                <w:kern w:val="2"/>
                <w:sz w:val="21"/>
                <w:szCs w:val="21"/>
                <w:highlight w:val="none"/>
                <w:lang w:val="en-US" w:eastAsia="zh-CN" w:bidi="ar-SA"/>
              </w:rPr>
            </w:pPr>
            <w:r>
              <w:rPr>
                <w:rFonts w:hint="default" w:ascii="Times New Roman" w:hAnsi="Times New Roman" w:eastAsia="宋体" w:cs="Times New Roman"/>
                <w:i w:val="0"/>
                <w:iCs w:val="0"/>
                <w:color w:val="00B050"/>
                <w:kern w:val="2"/>
                <w:sz w:val="21"/>
                <w:szCs w:val="21"/>
                <w:highlight w:val="none"/>
                <w:lang w:val="en-US" w:eastAsia="zh-CN" w:bidi="ar-SA"/>
              </w:rPr>
              <w:t>7.86</w:t>
            </w:r>
          </w:p>
        </w:tc>
        <w:tc>
          <w:tcPr>
            <w:tcW w:w="1750" w:type="dxa"/>
            <w:vAlign w:val="center"/>
          </w:tcPr>
          <w:p w14:paraId="51D1AC9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kern w:val="2"/>
                <w:sz w:val="21"/>
                <w:szCs w:val="21"/>
                <w:highlight w:val="none"/>
                <w:lang w:val="en-US" w:eastAsia="zh-CN" w:bidi="ar-SA"/>
              </w:rPr>
              <w:t>3.93</w:t>
            </w:r>
          </w:p>
        </w:tc>
        <w:tc>
          <w:tcPr>
            <w:tcW w:w="1500" w:type="dxa"/>
            <w:tcBorders>
              <w:right w:val="single" w:color="auto" w:sz="4" w:space="0"/>
            </w:tcBorders>
            <w:vAlign w:val="center"/>
          </w:tcPr>
          <w:p w14:paraId="796AC85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未出现</w:t>
            </w:r>
          </w:p>
        </w:tc>
      </w:tr>
      <w:tr w14:paraId="704958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8" w:type="dxa"/>
            <w:vMerge w:val="continue"/>
            <w:tcBorders>
              <w:left w:val="single" w:color="auto" w:sz="4" w:space="0"/>
            </w:tcBorders>
            <w:vAlign w:val="center"/>
          </w:tcPr>
          <w:p w14:paraId="6F37DE9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z w:val="21"/>
                <w:szCs w:val="21"/>
                <w:highlight w:val="none"/>
              </w:rPr>
            </w:pPr>
          </w:p>
        </w:tc>
        <w:tc>
          <w:tcPr>
            <w:tcW w:w="1541" w:type="dxa"/>
            <w:vAlign w:val="center"/>
          </w:tcPr>
          <w:p w14:paraId="1AFDF5A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1226" w:type="dxa"/>
            <w:vAlign w:val="center"/>
          </w:tcPr>
          <w:p w14:paraId="48FECA8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0.00</w:t>
            </w:r>
            <w:r>
              <w:rPr>
                <w:rFonts w:hint="default" w:ascii="Times New Roman" w:hAnsi="Times New Roman" w:eastAsia="宋体" w:cs="Times New Roman"/>
                <w:color w:val="auto"/>
                <w:sz w:val="21"/>
                <w:szCs w:val="21"/>
                <w:highlight w:val="none"/>
                <w:lang w:val="en-US" w:eastAsia="zh-CN"/>
              </w:rPr>
              <w:t>03</w:t>
            </w:r>
          </w:p>
        </w:tc>
        <w:tc>
          <w:tcPr>
            <w:tcW w:w="1878" w:type="dxa"/>
            <w:vAlign w:val="center"/>
          </w:tcPr>
          <w:p w14:paraId="4521AAE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00B050"/>
                <w:kern w:val="2"/>
                <w:sz w:val="21"/>
                <w:szCs w:val="21"/>
                <w:highlight w:val="none"/>
                <w:lang w:val="en-US" w:eastAsia="zh-CN" w:bidi="ar-SA"/>
              </w:rPr>
            </w:pPr>
            <w:r>
              <w:rPr>
                <w:rFonts w:hint="default" w:ascii="Times New Roman" w:hAnsi="Times New Roman" w:eastAsia="宋体" w:cs="Times New Roman"/>
                <w:i w:val="0"/>
                <w:iCs w:val="0"/>
                <w:color w:val="00B050"/>
                <w:kern w:val="2"/>
                <w:sz w:val="21"/>
                <w:szCs w:val="21"/>
                <w:highlight w:val="none"/>
                <w:lang w:val="en-US" w:eastAsia="zh-CN" w:bidi="ar-SA"/>
              </w:rPr>
              <w:t>0.11</w:t>
            </w:r>
          </w:p>
        </w:tc>
        <w:tc>
          <w:tcPr>
            <w:tcW w:w="1750" w:type="dxa"/>
            <w:vAlign w:val="center"/>
          </w:tcPr>
          <w:p w14:paraId="5F758BB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kern w:val="2"/>
                <w:sz w:val="21"/>
                <w:szCs w:val="21"/>
                <w:highlight w:val="none"/>
                <w:lang w:val="en-US" w:eastAsia="zh-CN" w:bidi="ar-SA"/>
              </w:rPr>
              <w:t>1.10</w:t>
            </w:r>
          </w:p>
        </w:tc>
        <w:tc>
          <w:tcPr>
            <w:tcW w:w="1500" w:type="dxa"/>
            <w:tcBorders>
              <w:right w:val="single" w:color="auto" w:sz="4" w:space="0"/>
            </w:tcBorders>
            <w:vAlign w:val="center"/>
          </w:tcPr>
          <w:p w14:paraId="6E01575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未出现</w:t>
            </w:r>
          </w:p>
        </w:tc>
      </w:tr>
      <w:tr w14:paraId="465D2A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8" w:type="dxa"/>
            <w:vMerge w:val="restart"/>
            <w:tcBorders>
              <w:left w:val="single" w:color="auto" w:sz="4" w:space="0"/>
            </w:tcBorders>
            <w:vAlign w:val="center"/>
          </w:tcPr>
          <w:p w14:paraId="210A0B3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粪污处理池</w:t>
            </w:r>
          </w:p>
        </w:tc>
        <w:tc>
          <w:tcPr>
            <w:tcW w:w="1541" w:type="dxa"/>
            <w:vAlign w:val="center"/>
          </w:tcPr>
          <w:p w14:paraId="15BA6C3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1226" w:type="dxa"/>
            <w:vAlign w:val="center"/>
          </w:tcPr>
          <w:p w14:paraId="16417D9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0.0139</w:t>
            </w:r>
          </w:p>
        </w:tc>
        <w:tc>
          <w:tcPr>
            <w:tcW w:w="1878" w:type="dxa"/>
            <w:vAlign w:val="center"/>
          </w:tcPr>
          <w:p w14:paraId="58BDD0A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00B050"/>
                <w:kern w:val="2"/>
                <w:sz w:val="21"/>
                <w:szCs w:val="21"/>
                <w:highlight w:val="none"/>
                <w:lang w:val="en-US" w:eastAsia="zh-CN" w:bidi="ar-SA"/>
              </w:rPr>
            </w:pPr>
            <w:r>
              <w:rPr>
                <w:rFonts w:hint="default" w:ascii="Times New Roman" w:hAnsi="Times New Roman" w:eastAsia="宋体" w:cs="Times New Roman"/>
                <w:i w:val="0"/>
                <w:iCs w:val="0"/>
                <w:color w:val="00B050"/>
                <w:kern w:val="2"/>
                <w:sz w:val="21"/>
                <w:szCs w:val="21"/>
                <w:highlight w:val="none"/>
                <w:lang w:val="en-US" w:eastAsia="zh-CN" w:bidi="ar-SA"/>
              </w:rPr>
              <w:t>16.62</w:t>
            </w:r>
          </w:p>
        </w:tc>
        <w:tc>
          <w:tcPr>
            <w:tcW w:w="1750" w:type="dxa"/>
            <w:vAlign w:val="center"/>
          </w:tcPr>
          <w:p w14:paraId="2624DF0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kern w:val="2"/>
                <w:sz w:val="21"/>
                <w:szCs w:val="21"/>
                <w:highlight w:val="none"/>
                <w:lang w:val="en-US" w:eastAsia="zh-CN" w:bidi="ar-SA"/>
              </w:rPr>
              <w:t>8.31</w:t>
            </w:r>
          </w:p>
        </w:tc>
        <w:tc>
          <w:tcPr>
            <w:tcW w:w="1500" w:type="dxa"/>
            <w:tcBorders>
              <w:right w:val="single" w:color="auto" w:sz="4" w:space="0"/>
            </w:tcBorders>
            <w:vAlign w:val="center"/>
          </w:tcPr>
          <w:p w14:paraId="51A633B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未出现</w:t>
            </w:r>
          </w:p>
        </w:tc>
      </w:tr>
      <w:tr w14:paraId="5A3528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8" w:type="dxa"/>
            <w:vMerge w:val="continue"/>
            <w:tcBorders>
              <w:left w:val="single" w:color="auto" w:sz="4" w:space="0"/>
            </w:tcBorders>
            <w:vAlign w:val="center"/>
          </w:tcPr>
          <w:p w14:paraId="17A6A98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z w:val="21"/>
                <w:szCs w:val="21"/>
                <w:highlight w:val="none"/>
              </w:rPr>
            </w:pPr>
          </w:p>
        </w:tc>
        <w:tc>
          <w:tcPr>
            <w:tcW w:w="1541" w:type="dxa"/>
            <w:vAlign w:val="center"/>
          </w:tcPr>
          <w:p w14:paraId="5B9FF41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1226" w:type="dxa"/>
            <w:vAlign w:val="center"/>
          </w:tcPr>
          <w:p w14:paraId="53C2C07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0.00</w:t>
            </w:r>
            <w:r>
              <w:rPr>
                <w:rFonts w:hint="default" w:ascii="Times New Roman" w:hAnsi="Times New Roman" w:eastAsia="宋体" w:cs="Times New Roman"/>
                <w:color w:val="auto"/>
                <w:sz w:val="21"/>
                <w:szCs w:val="21"/>
                <w:highlight w:val="none"/>
                <w:lang w:val="en-US" w:eastAsia="zh-CN"/>
              </w:rPr>
              <w:t>02</w:t>
            </w:r>
          </w:p>
        </w:tc>
        <w:tc>
          <w:tcPr>
            <w:tcW w:w="1878" w:type="dxa"/>
            <w:vAlign w:val="center"/>
          </w:tcPr>
          <w:p w14:paraId="7B53D4B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00B050"/>
                <w:kern w:val="2"/>
                <w:sz w:val="21"/>
                <w:szCs w:val="21"/>
                <w:highlight w:val="none"/>
                <w:lang w:val="en-US" w:eastAsia="zh-CN" w:bidi="ar-SA"/>
              </w:rPr>
            </w:pPr>
            <w:r>
              <w:rPr>
                <w:rFonts w:hint="default" w:ascii="Times New Roman" w:hAnsi="Times New Roman" w:eastAsia="宋体" w:cs="Times New Roman"/>
                <w:i w:val="0"/>
                <w:iCs w:val="0"/>
                <w:color w:val="00B050"/>
                <w:kern w:val="2"/>
                <w:sz w:val="21"/>
                <w:szCs w:val="21"/>
                <w:highlight w:val="none"/>
                <w:lang w:val="en-US" w:eastAsia="zh-CN" w:bidi="ar-SA"/>
              </w:rPr>
              <w:t>0.22</w:t>
            </w:r>
          </w:p>
        </w:tc>
        <w:tc>
          <w:tcPr>
            <w:tcW w:w="1750" w:type="dxa"/>
            <w:vAlign w:val="center"/>
          </w:tcPr>
          <w:p w14:paraId="4051B9C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kern w:val="2"/>
                <w:sz w:val="21"/>
                <w:szCs w:val="21"/>
                <w:highlight w:val="none"/>
                <w:lang w:val="en-US" w:eastAsia="zh-CN" w:bidi="ar-SA"/>
              </w:rPr>
              <w:t>2.19</w:t>
            </w:r>
          </w:p>
        </w:tc>
        <w:tc>
          <w:tcPr>
            <w:tcW w:w="1500" w:type="dxa"/>
            <w:tcBorders>
              <w:right w:val="single" w:color="auto" w:sz="4" w:space="0"/>
            </w:tcBorders>
            <w:vAlign w:val="center"/>
          </w:tcPr>
          <w:p w14:paraId="1257454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未出现</w:t>
            </w:r>
          </w:p>
        </w:tc>
      </w:tr>
      <w:tr w14:paraId="213108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8" w:type="dxa"/>
            <w:tcBorders>
              <w:left w:val="single" w:color="auto" w:sz="4" w:space="0"/>
              <w:bottom w:val="single" w:color="auto" w:sz="4" w:space="0"/>
            </w:tcBorders>
            <w:vAlign w:val="center"/>
          </w:tcPr>
          <w:p w14:paraId="1F1A612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lang w:eastAsia="zh-CN"/>
              </w:rPr>
              <w:t>TMR车间</w:t>
            </w:r>
          </w:p>
        </w:tc>
        <w:tc>
          <w:tcPr>
            <w:tcW w:w="1541" w:type="dxa"/>
            <w:tcBorders>
              <w:bottom w:val="single" w:color="auto" w:sz="4" w:space="0"/>
            </w:tcBorders>
            <w:vAlign w:val="center"/>
          </w:tcPr>
          <w:p w14:paraId="18F178C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c>
          <w:tcPr>
            <w:tcW w:w="1226" w:type="dxa"/>
            <w:tcBorders>
              <w:bottom w:val="single" w:color="auto" w:sz="4" w:space="0"/>
            </w:tcBorders>
            <w:vAlign w:val="center"/>
          </w:tcPr>
          <w:p w14:paraId="279706B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0.0589</w:t>
            </w:r>
          </w:p>
        </w:tc>
        <w:tc>
          <w:tcPr>
            <w:tcW w:w="1878" w:type="dxa"/>
            <w:tcBorders>
              <w:bottom w:val="single" w:color="auto" w:sz="4" w:space="0"/>
            </w:tcBorders>
            <w:vAlign w:val="center"/>
          </w:tcPr>
          <w:p w14:paraId="74ECE9B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00B050"/>
                <w:kern w:val="2"/>
                <w:sz w:val="21"/>
                <w:szCs w:val="21"/>
                <w:highlight w:val="none"/>
                <w:lang w:val="en-US" w:eastAsia="zh-CN" w:bidi="ar-SA"/>
              </w:rPr>
            </w:pPr>
            <w:r>
              <w:rPr>
                <w:rFonts w:hint="default" w:ascii="Times New Roman" w:hAnsi="Times New Roman" w:eastAsia="宋体" w:cs="Times New Roman"/>
                <w:i w:val="0"/>
                <w:iCs w:val="0"/>
                <w:color w:val="00B050"/>
                <w:kern w:val="2"/>
                <w:sz w:val="21"/>
                <w:szCs w:val="21"/>
                <w:highlight w:val="none"/>
                <w:lang w:val="en-US" w:eastAsia="zh-CN" w:bidi="ar-SA"/>
              </w:rPr>
              <w:t>76.91</w:t>
            </w:r>
          </w:p>
        </w:tc>
        <w:tc>
          <w:tcPr>
            <w:tcW w:w="1750" w:type="dxa"/>
            <w:tcBorders>
              <w:bottom w:val="single" w:color="auto" w:sz="4" w:space="0"/>
            </w:tcBorders>
            <w:vAlign w:val="center"/>
          </w:tcPr>
          <w:p w14:paraId="4B7C077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kern w:val="2"/>
                <w:sz w:val="21"/>
                <w:szCs w:val="21"/>
                <w:highlight w:val="none"/>
                <w:lang w:val="en-US" w:eastAsia="zh-CN" w:bidi="ar-SA"/>
              </w:rPr>
              <w:t>8.55</w:t>
            </w:r>
          </w:p>
        </w:tc>
        <w:tc>
          <w:tcPr>
            <w:tcW w:w="1500" w:type="dxa"/>
            <w:tcBorders>
              <w:bottom w:val="single" w:color="auto" w:sz="4" w:space="0"/>
              <w:right w:val="single" w:color="auto" w:sz="4" w:space="0"/>
            </w:tcBorders>
            <w:vAlign w:val="center"/>
          </w:tcPr>
          <w:p w14:paraId="24FAC02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未出现</w:t>
            </w:r>
          </w:p>
        </w:tc>
      </w:tr>
    </w:tbl>
    <w:p w14:paraId="67240E8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0000"/>
          <w:sz w:val="24"/>
          <w:szCs w:val="24"/>
          <w:highlight w:val="none"/>
          <w:lang w:eastAsia="zh-CN"/>
        </w:rPr>
      </w:pPr>
      <w:r>
        <w:rPr>
          <w:rFonts w:hint="default" w:ascii="Times New Roman" w:hAnsi="Times New Roman" w:eastAsia="宋体" w:cs="Times New Roman"/>
          <w:color w:val="00B050"/>
          <w:sz w:val="24"/>
          <w:szCs w:val="24"/>
          <w:highlight w:val="none"/>
        </w:rPr>
        <w:t>据估算模式计算结果可知，牛舍及运动场无组织排放的NH</w:t>
      </w:r>
      <w:r>
        <w:rPr>
          <w:rFonts w:hint="default" w:ascii="Times New Roman" w:hAnsi="Times New Roman" w:eastAsia="宋体" w:cs="Times New Roman"/>
          <w:color w:val="00B050"/>
          <w:sz w:val="24"/>
          <w:szCs w:val="24"/>
          <w:highlight w:val="none"/>
          <w:vertAlign w:val="subscript"/>
        </w:rPr>
        <w:t>3</w:t>
      </w:r>
      <w:r>
        <w:rPr>
          <w:rFonts w:hint="default" w:ascii="Times New Roman" w:hAnsi="Times New Roman" w:eastAsia="宋体" w:cs="Times New Roman"/>
          <w:color w:val="00B050"/>
          <w:sz w:val="24"/>
          <w:szCs w:val="24"/>
          <w:highlight w:val="none"/>
          <w:lang w:val="en-US" w:eastAsia="zh-CN"/>
        </w:rPr>
        <w:t>最大质量浓度为7.86</w:t>
      </w:r>
      <w:r>
        <w:rPr>
          <w:rFonts w:hint="default" w:ascii="Times New Roman" w:hAnsi="Times New Roman" w:eastAsia="宋体" w:cs="Times New Roman"/>
          <w:snapToGrid w:val="0"/>
          <w:color w:val="00B050"/>
          <w:sz w:val="24"/>
          <w:szCs w:val="24"/>
          <w:highlight w:val="none"/>
        </w:rPr>
        <w:t>μg/m</w:t>
      </w:r>
      <w:r>
        <w:rPr>
          <w:rFonts w:hint="default" w:ascii="Times New Roman" w:hAnsi="Times New Roman" w:eastAsia="宋体" w:cs="Times New Roman"/>
          <w:snapToGrid w:val="0"/>
          <w:color w:val="00B050"/>
          <w:sz w:val="24"/>
          <w:szCs w:val="24"/>
          <w:highlight w:val="none"/>
          <w:vertAlign w:val="superscript"/>
        </w:rPr>
        <w:t>3</w:t>
      </w:r>
      <w:r>
        <w:rPr>
          <w:rFonts w:hint="default" w:ascii="Times New Roman" w:hAnsi="Times New Roman" w:eastAsia="宋体" w:cs="Times New Roman"/>
          <w:color w:val="00B050"/>
          <w:sz w:val="24"/>
          <w:szCs w:val="24"/>
          <w:highlight w:val="none"/>
          <w:lang w:eastAsia="zh-CN"/>
        </w:rPr>
        <w:t>、最大质量浓度占标率3.93%，H</w:t>
      </w:r>
      <w:r>
        <w:rPr>
          <w:rFonts w:hint="default" w:ascii="Times New Roman" w:hAnsi="Times New Roman" w:eastAsia="宋体" w:cs="Times New Roman"/>
          <w:color w:val="00B050"/>
          <w:sz w:val="24"/>
          <w:szCs w:val="24"/>
          <w:highlight w:val="none"/>
          <w:vertAlign w:val="subscript"/>
          <w:lang w:eastAsia="zh-CN"/>
        </w:rPr>
        <w:t>2</w:t>
      </w:r>
      <w:r>
        <w:rPr>
          <w:rFonts w:hint="default" w:ascii="Times New Roman" w:hAnsi="Times New Roman" w:eastAsia="宋体" w:cs="Times New Roman"/>
          <w:color w:val="00B050"/>
          <w:sz w:val="24"/>
          <w:szCs w:val="24"/>
          <w:highlight w:val="none"/>
          <w:lang w:eastAsia="zh-CN"/>
        </w:rPr>
        <w:t>S</w:t>
      </w:r>
      <w:r>
        <w:rPr>
          <w:rFonts w:hint="default" w:ascii="Times New Roman" w:hAnsi="Times New Roman" w:eastAsia="宋体" w:cs="Times New Roman"/>
          <w:color w:val="00B050"/>
          <w:sz w:val="24"/>
          <w:szCs w:val="24"/>
          <w:highlight w:val="none"/>
          <w:lang w:val="en-US" w:eastAsia="zh-CN"/>
        </w:rPr>
        <w:t>最大质量浓度为</w:t>
      </w:r>
      <w:r>
        <w:rPr>
          <w:rFonts w:hint="default" w:ascii="Times New Roman" w:hAnsi="Times New Roman" w:eastAsia="宋体" w:cs="Times New Roman"/>
          <w:i w:val="0"/>
          <w:iCs w:val="0"/>
          <w:color w:val="00B050"/>
          <w:kern w:val="2"/>
          <w:sz w:val="24"/>
          <w:szCs w:val="24"/>
          <w:highlight w:val="none"/>
          <w:lang w:val="en-US" w:eastAsia="zh-CN" w:bidi="ar-SA"/>
        </w:rPr>
        <w:t>0.11</w:t>
      </w:r>
      <w:r>
        <w:rPr>
          <w:rFonts w:hint="default" w:ascii="Times New Roman" w:hAnsi="Times New Roman" w:eastAsia="宋体" w:cs="Times New Roman"/>
          <w:snapToGrid w:val="0"/>
          <w:color w:val="00B050"/>
          <w:sz w:val="24"/>
          <w:szCs w:val="24"/>
          <w:highlight w:val="none"/>
        </w:rPr>
        <w:t>μg/m</w:t>
      </w:r>
      <w:r>
        <w:rPr>
          <w:rFonts w:hint="default" w:ascii="Times New Roman" w:hAnsi="Times New Roman" w:eastAsia="宋体" w:cs="Times New Roman"/>
          <w:snapToGrid w:val="0"/>
          <w:color w:val="00B050"/>
          <w:sz w:val="24"/>
          <w:szCs w:val="24"/>
          <w:highlight w:val="none"/>
          <w:vertAlign w:val="superscript"/>
        </w:rPr>
        <w:t>3</w:t>
      </w:r>
      <w:r>
        <w:rPr>
          <w:rFonts w:hint="default" w:ascii="Times New Roman" w:hAnsi="Times New Roman" w:eastAsia="宋体" w:cs="Times New Roman"/>
          <w:color w:val="00B050"/>
          <w:sz w:val="24"/>
          <w:szCs w:val="24"/>
          <w:highlight w:val="none"/>
          <w:lang w:eastAsia="zh-CN"/>
        </w:rPr>
        <w:t>、最大质量浓度占标率</w:t>
      </w:r>
      <w:r>
        <w:rPr>
          <w:rFonts w:hint="default" w:ascii="Times New Roman" w:hAnsi="Times New Roman" w:eastAsia="宋体" w:cs="Times New Roman"/>
          <w:i w:val="0"/>
          <w:iCs w:val="0"/>
          <w:color w:val="00B050"/>
          <w:kern w:val="2"/>
          <w:sz w:val="24"/>
          <w:szCs w:val="24"/>
          <w:highlight w:val="none"/>
          <w:lang w:val="en-US" w:eastAsia="zh-CN" w:bidi="ar-SA"/>
        </w:rPr>
        <w:t>1.10</w:t>
      </w:r>
      <w:r>
        <w:rPr>
          <w:rFonts w:hint="default" w:ascii="Times New Roman" w:hAnsi="Times New Roman" w:eastAsia="宋体" w:cs="Times New Roman"/>
          <w:color w:val="00B050"/>
          <w:sz w:val="24"/>
          <w:szCs w:val="24"/>
          <w:highlight w:val="none"/>
          <w:lang w:eastAsia="zh-CN"/>
        </w:rPr>
        <w:t>%；</w:t>
      </w:r>
      <w:r>
        <w:rPr>
          <w:rFonts w:hint="default" w:ascii="Times New Roman" w:hAnsi="Times New Roman" w:eastAsia="宋体" w:cs="Times New Roman"/>
          <w:color w:val="00B050"/>
          <w:sz w:val="24"/>
          <w:szCs w:val="24"/>
          <w:highlight w:val="none"/>
        </w:rPr>
        <w:t>粪污处理池无组织排放的NH</w:t>
      </w:r>
      <w:r>
        <w:rPr>
          <w:rFonts w:hint="default" w:ascii="Times New Roman" w:hAnsi="Times New Roman" w:eastAsia="宋体" w:cs="Times New Roman"/>
          <w:color w:val="00B050"/>
          <w:sz w:val="24"/>
          <w:szCs w:val="24"/>
          <w:highlight w:val="none"/>
          <w:vertAlign w:val="subscript"/>
        </w:rPr>
        <w:t>3</w:t>
      </w:r>
      <w:r>
        <w:rPr>
          <w:rFonts w:hint="default" w:ascii="Times New Roman" w:hAnsi="Times New Roman" w:eastAsia="宋体" w:cs="Times New Roman"/>
          <w:color w:val="00B050"/>
          <w:sz w:val="24"/>
          <w:szCs w:val="24"/>
          <w:highlight w:val="none"/>
          <w:lang w:val="en-US" w:eastAsia="zh-CN"/>
        </w:rPr>
        <w:t>最大质量浓度为</w:t>
      </w:r>
      <w:r>
        <w:rPr>
          <w:rFonts w:hint="default" w:ascii="Times New Roman" w:hAnsi="Times New Roman" w:eastAsia="宋体" w:cs="Times New Roman"/>
          <w:i w:val="0"/>
          <w:iCs w:val="0"/>
          <w:color w:val="00B050"/>
          <w:kern w:val="2"/>
          <w:sz w:val="24"/>
          <w:szCs w:val="24"/>
          <w:highlight w:val="none"/>
          <w:lang w:val="en-US" w:eastAsia="zh-CN" w:bidi="ar-SA"/>
        </w:rPr>
        <w:t>16.62</w:t>
      </w:r>
      <w:r>
        <w:rPr>
          <w:rFonts w:hint="default" w:ascii="Times New Roman" w:hAnsi="Times New Roman" w:eastAsia="宋体" w:cs="Times New Roman"/>
          <w:snapToGrid w:val="0"/>
          <w:color w:val="00B050"/>
          <w:sz w:val="24"/>
          <w:szCs w:val="24"/>
          <w:highlight w:val="none"/>
        </w:rPr>
        <w:t>μg/m</w:t>
      </w:r>
      <w:r>
        <w:rPr>
          <w:rFonts w:hint="default" w:ascii="Times New Roman" w:hAnsi="Times New Roman" w:eastAsia="宋体" w:cs="Times New Roman"/>
          <w:snapToGrid w:val="0"/>
          <w:color w:val="00B050"/>
          <w:sz w:val="24"/>
          <w:szCs w:val="24"/>
          <w:highlight w:val="none"/>
          <w:vertAlign w:val="superscript"/>
        </w:rPr>
        <w:t>3</w:t>
      </w:r>
      <w:r>
        <w:rPr>
          <w:rFonts w:hint="default" w:ascii="Times New Roman" w:hAnsi="Times New Roman" w:eastAsia="宋体" w:cs="Times New Roman"/>
          <w:color w:val="00B050"/>
          <w:sz w:val="24"/>
          <w:szCs w:val="24"/>
          <w:highlight w:val="none"/>
          <w:lang w:eastAsia="zh-CN"/>
        </w:rPr>
        <w:t>、最大质量浓度占标率</w:t>
      </w:r>
      <w:r>
        <w:rPr>
          <w:rFonts w:hint="default" w:ascii="Times New Roman" w:hAnsi="Times New Roman" w:eastAsia="宋体" w:cs="Times New Roman"/>
          <w:i w:val="0"/>
          <w:iCs w:val="0"/>
          <w:color w:val="00B050"/>
          <w:kern w:val="2"/>
          <w:sz w:val="24"/>
          <w:szCs w:val="24"/>
          <w:highlight w:val="none"/>
          <w:lang w:val="en-US" w:eastAsia="zh-CN" w:bidi="ar-SA"/>
        </w:rPr>
        <w:t>8.31</w:t>
      </w:r>
      <w:r>
        <w:rPr>
          <w:rFonts w:hint="default" w:ascii="Times New Roman" w:hAnsi="Times New Roman" w:eastAsia="宋体" w:cs="Times New Roman"/>
          <w:color w:val="00B050"/>
          <w:sz w:val="24"/>
          <w:szCs w:val="24"/>
          <w:highlight w:val="none"/>
          <w:lang w:eastAsia="zh-CN"/>
        </w:rPr>
        <w:t>%，H</w:t>
      </w:r>
      <w:r>
        <w:rPr>
          <w:rFonts w:hint="default" w:ascii="Times New Roman" w:hAnsi="Times New Roman" w:eastAsia="宋体" w:cs="Times New Roman"/>
          <w:color w:val="00B050"/>
          <w:sz w:val="24"/>
          <w:szCs w:val="24"/>
          <w:highlight w:val="none"/>
          <w:vertAlign w:val="subscript"/>
          <w:lang w:eastAsia="zh-CN"/>
        </w:rPr>
        <w:t>2</w:t>
      </w:r>
      <w:r>
        <w:rPr>
          <w:rFonts w:hint="default" w:ascii="Times New Roman" w:hAnsi="Times New Roman" w:eastAsia="宋体" w:cs="Times New Roman"/>
          <w:color w:val="00B050"/>
          <w:sz w:val="24"/>
          <w:szCs w:val="24"/>
          <w:highlight w:val="none"/>
          <w:lang w:eastAsia="zh-CN"/>
        </w:rPr>
        <w:t>S</w:t>
      </w:r>
      <w:r>
        <w:rPr>
          <w:rFonts w:hint="default" w:ascii="Times New Roman" w:hAnsi="Times New Roman" w:eastAsia="宋体" w:cs="Times New Roman"/>
          <w:color w:val="00B050"/>
          <w:sz w:val="24"/>
          <w:szCs w:val="24"/>
          <w:highlight w:val="none"/>
          <w:lang w:val="en-US" w:eastAsia="zh-CN"/>
        </w:rPr>
        <w:t>最大质量浓度为</w:t>
      </w:r>
      <w:r>
        <w:rPr>
          <w:rFonts w:hint="default" w:ascii="Times New Roman" w:hAnsi="Times New Roman" w:eastAsia="宋体" w:cs="Times New Roman"/>
          <w:i w:val="0"/>
          <w:iCs w:val="0"/>
          <w:color w:val="00B050"/>
          <w:kern w:val="2"/>
          <w:sz w:val="24"/>
          <w:szCs w:val="24"/>
          <w:highlight w:val="none"/>
          <w:lang w:val="en-US" w:eastAsia="zh-CN" w:bidi="ar-SA"/>
        </w:rPr>
        <w:t>0.22</w:t>
      </w:r>
      <w:r>
        <w:rPr>
          <w:rFonts w:hint="default" w:ascii="Times New Roman" w:hAnsi="Times New Roman" w:eastAsia="宋体" w:cs="Times New Roman"/>
          <w:snapToGrid w:val="0"/>
          <w:color w:val="00B050"/>
          <w:sz w:val="24"/>
          <w:szCs w:val="24"/>
          <w:highlight w:val="none"/>
        </w:rPr>
        <w:t>μg/m</w:t>
      </w:r>
      <w:r>
        <w:rPr>
          <w:rFonts w:hint="default" w:ascii="Times New Roman" w:hAnsi="Times New Roman" w:eastAsia="宋体" w:cs="Times New Roman"/>
          <w:snapToGrid w:val="0"/>
          <w:color w:val="00B050"/>
          <w:sz w:val="24"/>
          <w:szCs w:val="24"/>
          <w:highlight w:val="none"/>
          <w:vertAlign w:val="superscript"/>
        </w:rPr>
        <w:t>3</w:t>
      </w:r>
      <w:r>
        <w:rPr>
          <w:rFonts w:hint="default" w:ascii="Times New Roman" w:hAnsi="Times New Roman" w:eastAsia="宋体" w:cs="Times New Roman"/>
          <w:color w:val="00B050"/>
          <w:sz w:val="24"/>
          <w:szCs w:val="24"/>
          <w:highlight w:val="none"/>
          <w:lang w:eastAsia="zh-CN"/>
        </w:rPr>
        <w:t>、最大质量浓度占标率</w:t>
      </w:r>
      <w:r>
        <w:rPr>
          <w:rFonts w:hint="default" w:ascii="Times New Roman" w:hAnsi="Times New Roman" w:eastAsia="宋体" w:cs="Times New Roman"/>
          <w:i w:val="0"/>
          <w:iCs w:val="0"/>
          <w:color w:val="00B050"/>
          <w:kern w:val="2"/>
          <w:sz w:val="24"/>
          <w:szCs w:val="24"/>
          <w:highlight w:val="none"/>
          <w:lang w:val="en-US" w:eastAsia="zh-CN" w:bidi="ar-SA"/>
        </w:rPr>
        <w:t>2.19</w:t>
      </w:r>
      <w:r>
        <w:rPr>
          <w:rFonts w:hint="default" w:ascii="Times New Roman" w:hAnsi="Times New Roman" w:eastAsia="宋体" w:cs="Times New Roman"/>
          <w:color w:val="00B050"/>
          <w:sz w:val="24"/>
          <w:szCs w:val="24"/>
          <w:highlight w:val="none"/>
          <w:lang w:eastAsia="zh-CN"/>
        </w:rPr>
        <w:t>%；TMR车间</w:t>
      </w:r>
      <w:r>
        <w:rPr>
          <w:rFonts w:hint="default" w:ascii="Times New Roman" w:hAnsi="Times New Roman" w:eastAsia="宋体" w:cs="Times New Roman"/>
          <w:color w:val="00B050"/>
          <w:sz w:val="24"/>
          <w:szCs w:val="24"/>
          <w:highlight w:val="none"/>
        </w:rPr>
        <w:t>无组织排放的TSP</w:t>
      </w:r>
      <w:r>
        <w:rPr>
          <w:rFonts w:hint="default" w:ascii="Times New Roman" w:hAnsi="Times New Roman" w:eastAsia="宋体" w:cs="Times New Roman"/>
          <w:color w:val="00B050"/>
          <w:sz w:val="24"/>
          <w:szCs w:val="24"/>
          <w:highlight w:val="none"/>
          <w:lang w:val="en-US" w:eastAsia="zh-CN"/>
        </w:rPr>
        <w:t>最大质量浓度为76.91</w:t>
      </w:r>
      <w:r>
        <w:rPr>
          <w:rFonts w:hint="default" w:ascii="Times New Roman" w:hAnsi="Times New Roman" w:eastAsia="宋体" w:cs="Times New Roman"/>
          <w:snapToGrid w:val="0"/>
          <w:color w:val="00B050"/>
          <w:sz w:val="24"/>
          <w:szCs w:val="24"/>
          <w:highlight w:val="none"/>
        </w:rPr>
        <w:t>μg/m</w:t>
      </w:r>
      <w:r>
        <w:rPr>
          <w:rFonts w:hint="default" w:ascii="Times New Roman" w:hAnsi="Times New Roman" w:eastAsia="宋体" w:cs="Times New Roman"/>
          <w:snapToGrid w:val="0"/>
          <w:color w:val="00B050"/>
          <w:sz w:val="24"/>
          <w:szCs w:val="24"/>
          <w:highlight w:val="none"/>
          <w:vertAlign w:val="superscript"/>
        </w:rPr>
        <w:t>3</w:t>
      </w:r>
      <w:r>
        <w:rPr>
          <w:rFonts w:hint="default" w:ascii="Times New Roman" w:hAnsi="Times New Roman" w:eastAsia="宋体" w:cs="Times New Roman"/>
          <w:color w:val="00B050"/>
          <w:sz w:val="24"/>
          <w:szCs w:val="24"/>
          <w:highlight w:val="none"/>
          <w:lang w:eastAsia="zh-CN"/>
        </w:rPr>
        <w:t>、最大质量浓度占标率8.55%。</w:t>
      </w:r>
    </w:p>
    <w:p w14:paraId="011A689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sz w:val="24"/>
          <w:szCs w:val="24"/>
          <w:highlight w:val="none"/>
          <w:lang w:val="en-US" w:eastAsia="zh-CN"/>
        </w:rPr>
        <w:t>本项目</w:t>
      </w:r>
      <w:r>
        <w:rPr>
          <w:rFonts w:hint="default" w:ascii="Times New Roman" w:hAnsi="Times New Roman" w:eastAsia="宋体" w:cs="Times New Roman"/>
          <w:color w:val="FF0000"/>
          <w:sz w:val="24"/>
          <w:szCs w:val="24"/>
          <w:highlight w:val="none"/>
        </w:rPr>
        <w:t>污染物最大地面浓度占标率1%≤Pmax</w:t>
      </w:r>
      <w:r>
        <w:rPr>
          <w:rFonts w:hint="default" w:ascii="Times New Roman" w:hAnsi="Times New Roman" w:eastAsia="宋体" w:cs="Times New Roman"/>
          <w:color w:val="FF0000"/>
          <w:sz w:val="24"/>
          <w:szCs w:val="24"/>
          <w:highlight w:val="none"/>
          <w:lang w:val="en-US" w:eastAsia="zh-CN"/>
        </w:rPr>
        <w:t>=8.55%</w:t>
      </w:r>
      <w:r>
        <w:rPr>
          <w:rFonts w:hint="default" w:ascii="Times New Roman" w:hAnsi="Times New Roman" w:eastAsia="宋体" w:cs="Times New Roman"/>
          <w:color w:val="FF0000"/>
          <w:sz w:val="24"/>
          <w:szCs w:val="24"/>
          <w:highlight w:val="none"/>
        </w:rPr>
        <w:t>＜10%，确定本项目的大气环境评价工作等级为二级。</w:t>
      </w:r>
    </w:p>
    <w:p w14:paraId="59E9B85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（2）评价范围</w:t>
      </w:r>
    </w:p>
    <w:p w14:paraId="67D10CB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highlight w:val="none"/>
          <w:lang w:eastAsia="zh-CN"/>
        </w:rPr>
        <w:t>环境影响评价技术导则</w:t>
      </w:r>
      <w:r>
        <w:rPr>
          <w:rFonts w:hint="default" w:ascii="Times New Roman" w:hAnsi="Times New Roman" w:eastAsia="宋体" w:cs="Times New Roman"/>
          <w:color w:val="auto"/>
          <w:highlight w:val="none"/>
        </w:rPr>
        <w:t>大气环境》（HJ2.2-2018），评价范围根据建设项目排放污染物的最远影响距离（D10%）确定大气环境影响评价范围，本项目D10%未出现，当D10%小于2.5km时，评价范围边长取5km。因此，本次评价大气环境影响评价范围边长取5km的矩形区域。</w:t>
      </w:r>
    </w:p>
    <w:p w14:paraId="63E7257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项目大气环境评价范围如2.6-1所示。</w:t>
      </w:r>
    </w:p>
    <w:p w14:paraId="3810135F">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154" w:name="_Toc7400"/>
      <w:bookmarkStart w:id="155" w:name="_Toc453603068"/>
      <w:bookmarkStart w:id="156" w:name="_Toc23971"/>
      <w:bookmarkStart w:id="157" w:name="_Toc452567813"/>
      <w:bookmarkStart w:id="158" w:name="_Toc512871531"/>
      <w:r>
        <w:rPr>
          <w:rFonts w:hint="default" w:ascii="Times New Roman" w:hAnsi="Times New Roman" w:eastAsia="宋体" w:cs="Times New Roman"/>
          <w:color w:val="auto"/>
          <w:highlight w:val="none"/>
        </w:rPr>
        <w:t>2.5.2地表水环境</w:t>
      </w:r>
      <w:bookmarkEnd w:id="154"/>
    </w:p>
    <w:p w14:paraId="4D3F77E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本项目为水污染影响型建设</w:t>
      </w:r>
      <w:bookmarkStart w:id="819" w:name="_GoBack"/>
      <w:bookmarkEnd w:id="819"/>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eastAsia="zh-CN"/>
        </w:rPr>
        <w:t>无养殖废水排放；</w:t>
      </w:r>
      <w:r>
        <w:rPr>
          <w:rFonts w:hint="default" w:ascii="Times New Roman" w:hAnsi="Times New Roman" w:eastAsia="宋体" w:cs="Times New Roman"/>
          <w:color w:val="auto"/>
          <w:highlight w:val="none"/>
        </w:rPr>
        <w:t>生活污水</w:t>
      </w:r>
      <w:r>
        <w:rPr>
          <w:rFonts w:hint="default" w:ascii="Times New Roman" w:hAnsi="Times New Roman" w:eastAsia="宋体" w:cs="Times New Roman"/>
          <w:color w:val="auto"/>
          <w:highlight w:val="none"/>
          <w:lang w:eastAsia="zh-CN"/>
        </w:rPr>
        <w:t>经化粪池处理</w:t>
      </w:r>
      <w:r>
        <w:rPr>
          <w:rFonts w:hint="default" w:ascii="Times New Roman" w:hAnsi="Times New Roman" w:eastAsia="宋体" w:cs="Times New Roman"/>
          <w:color w:val="auto"/>
          <w:highlight w:val="none"/>
        </w:rPr>
        <w:t>后，</w:t>
      </w:r>
      <w:r>
        <w:rPr>
          <w:rFonts w:hint="default" w:ascii="Times New Roman" w:hAnsi="Times New Roman" w:eastAsia="宋体" w:cs="Times New Roman"/>
          <w:color w:val="auto"/>
          <w:highlight w:val="none"/>
          <w:lang w:eastAsia="zh-CN"/>
        </w:rPr>
        <w:t>定期由当地环卫部门清运处置，不排放。</w:t>
      </w: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highlight w:val="none"/>
          <w:lang w:eastAsia="zh-CN"/>
        </w:rPr>
        <w:t>环境影响评价技术导则</w:t>
      </w:r>
      <w:r>
        <w:rPr>
          <w:rFonts w:hint="default" w:ascii="Times New Roman" w:hAnsi="Times New Roman" w:eastAsia="宋体" w:cs="Times New Roman"/>
          <w:color w:val="auto"/>
          <w:highlight w:val="none"/>
        </w:rPr>
        <w:t>地表水环境》（HJ2.3-2018）进行评价等级判定，见下表。</w:t>
      </w:r>
    </w:p>
    <w:p w14:paraId="417D3065">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表2.5-5水污染影响型建设项目评价等级判定表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891"/>
        <w:gridCol w:w="1892"/>
        <w:gridCol w:w="4494"/>
      </w:tblGrid>
      <w:tr w14:paraId="360E52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jc w:val="center"/>
        </w:trPr>
        <w:tc>
          <w:tcPr>
            <w:tcW w:w="2051" w:type="dxa"/>
            <w:vMerge w:val="restart"/>
            <w:tcBorders>
              <w:top w:val="single" w:color="auto" w:sz="4" w:space="0"/>
              <w:left w:val="single" w:color="auto" w:sz="4" w:space="0"/>
              <w:bottom w:val="single" w:color="auto" w:sz="4" w:space="0"/>
              <w:right w:val="single" w:color="auto" w:sz="4" w:space="0"/>
            </w:tcBorders>
            <w:vAlign w:val="center"/>
          </w:tcPr>
          <w:p w14:paraId="2D665055">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评级等级</w:t>
            </w:r>
          </w:p>
        </w:tc>
        <w:tc>
          <w:tcPr>
            <w:tcW w:w="6952" w:type="dxa"/>
            <w:gridSpan w:val="2"/>
            <w:tcBorders>
              <w:top w:val="single" w:color="auto" w:sz="4" w:space="0"/>
              <w:left w:val="single" w:color="auto" w:sz="4" w:space="0"/>
              <w:bottom w:val="single" w:color="auto" w:sz="4" w:space="0"/>
              <w:right w:val="single" w:color="auto" w:sz="4" w:space="0"/>
            </w:tcBorders>
            <w:vAlign w:val="center"/>
          </w:tcPr>
          <w:p w14:paraId="4774F1CE">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判定依据</w:t>
            </w:r>
          </w:p>
        </w:tc>
      </w:tr>
      <w:tr w14:paraId="671AC8A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051" w:type="dxa"/>
            <w:vMerge w:val="continue"/>
            <w:tcBorders>
              <w:top w:val="single" w:color="auto" w:sz="4" w:space="0"/>
              <w:left w:val="single" w:color="auto" w:sz="4" w:space="0"/>
              <w:bottom w:val="single" w:color="auto" w:sz="4" w:space="0"/>
              <w:right w:val="single" w:color="auto" w:sz="4" w:space="0"/>
            </w:tcBorders>
            <w:vAlign w:val="center"/>
          </w:tcPr>
          <w:p w14:paraId="24E0E8E0">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highlight w:val="none"/>
              </w:rPr>
            </w:pPr>
          </w:p>
        </w:tc>
        <w:tc>
          <w:tcPr>
            <w:tcW w:w="2051" w:type="dxa"/>
            <w:tcBorders>
              <w:top w:val="single" w:color="auto" w:sz="4" w:space="0"/>
              <w:left w:val="single" w:color="auto" w:sz="4" w:space="0"/>
              <w:bottom w:val="single" w:color="auto" w:sz="4" w:space="0"/>
              <w:right w:val="single" w:color="auto" w:sz="4" w:space="0"/>
            </w:tcBorders>
            <w:vAlign w:val="center"/>
          </w:tcPr>
          <w:p w14:paraId="7610858E">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排放方式</w:t>
            </w:r>
          </w:p>
        </w:tc>
        <w:tc>
          <w:tcPr>
            <w:tcW w:w="4901" w:type="dxa"/>
            <w:tcBorders>
              <w:top w:val="single" w:color="auto" w:sz="4" w:space="0"/>
              <w:left w:val="single" w:color="auto" w:sz="4" w:space="0"/>
              <w:bottom w:val="single" w:color="auto" w:sz="4" w:space="0"/>
              <w:right w:val="single" w:color="auto" w:sz="4" w:space="0"/>
            </w:tcBorders>
            <w:vAlign w:val="center"/>
          </w:tcPr>
          <w:p w14:paraId="223442D0">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废水排放量Q/（m</w:t>
            </w:r>
            <w:r>
              <w:rPr>
                <w:rFonts w:hint="default" w:ascii="Times New Roman" w:hAnsi="Times New Roman" w:eastAsia="宋体" w:cs="Times New Roman"/>
                <w:color w:val="auto"/>
                <w:sz w:val="21"/>
                <w:highlight w:val="none"/>
                <w:vertAlign w:val="superscript"/>
              </w:rPr>
              <w:t>3</w:t>
            </w:r>
            <w:r>
              <w:rPr>
                <w:rFonts w:hint="default" w:ascii="Times New Roman" w:hAnsi="Times New Roman" w:eastAsia="宋体" w:cs="Times New Roman"/>
                <w:color w:val="auto"/>
                <w:sz w:val="21"/>
                <w:highlight w:val="none"/>
              </w:rPr>
              <w:t>/d）</w:t>
            </w:r>
          </w:p>
          <w:p w14:paraId="7ED18712">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水污染物当量W/（量纲一）</w:t>
            </w:r>
          </w:p>
        </w:tc>
      </w:tr>
      <w:tr w14:paraId="71702B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051" w:type="dxa"/>
            <w:tcBorders>
              <w:top w:val="single" w:color="auto" w:sz="4" w:space="0"/>
              <w:left w:val="single" w:color="auto" w:sz="4" w:space="0"/>
              <w:bottom w:val="single" w:color="auto" w:sz="4" w:space="0"/>
              <w:right w:val="single" w:color="auto" w:sz="4" w:space="0"/>
            </w:tcBorders>
            <w:vAlign w:val="center"/>
          </w:tcPr>
          <w:p w14:paraId="1EBBA4F2">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一级</w:t>
            </w:r>
          </w:p>
        </w:tc>
        <w:tc>
          <w:tcPr>
            <w:tcW w:w="2051" w:type="dxa"/>
            <w:tcBorders>
              <w:top w:val="single" w:color="auto" w:sz="4" w:space="0"/>
              <w:left w:val="single" w:color="auto" w:sz="4" w:space="0"/>
              <w:bottom w:val="single" w:color="auto" w:sz="4" w:space="0"/>
              <w:right w:val="single" w:color="auto" w:sz="4" w:space="0"/>
            </w:tcBorders>
            <w:vAlign w:val="center"/>
          </w:tcPr>
          <w:p w14:paraId="656A6819">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直接排放</w:t>
            </w:r>
          </w:p>
        </w:tc>
        <w:tc>
          <w:tcPr>
            <w:tcW w:w="4901" w:type="dxa"/>
            <w:tcBorders>
              <w:top w:val="single" w:color="auto" w:sz="4" w:space="0"/>
              <w:left w:val="single" w:color="auto" w:sz="4" w:space="0"/>
              <w:bottom w:val="single" w:color="auto" w:sz="4" w:space="0"/>
              <w:right w:val="single" w:color="auto" w:sz="4" w:space="0"/>
            </w:tcBorders>
            <w:vAlign w:val="center"/>
          </w:tcPr>
          <w:p w14:paraId="1398B0B5">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Q≥20000或W≥600000</w:t>
            </w:r>
          </w:p>
        </w:tc>
      </w:tr>
      <w:tr w14:paraId="4D1817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051" w:type="dxa"/>
            <w:tcBorders>
              <w:top w:val="single" w:color="auto" w:sz="4" w:space="0"/>
              <w:left w:val="single" w:color="auto" w:sz="4" w:space="0"/>
              <w:bottom w:val="single" w:color="auto" w:sz="4" w:space="0"/>
              <w:right w:val="single" w:color="auto" w:sz="4" w:space="0"/>
            </w:tcBorders>
            <w:vAlign w:val="center"/>
          </w:tcPr>
          <w:p w14:paraId="49B1E315">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二级</w:t>
            </w:r>
          </w:p>
        </w:tc>
        <w:tc>
          <w:tcPr>
            <w:tcW w:w="2051" w:type="dxa"/>
            <w:tcBorders>
              <w:top w:val="single" w:color="auto" w:sz="4" w:space="0"/>
              <w:left w:val="single" w:color="auto" w:sz="4" w:space="0"/>
              <w:bottom w:val="single" w:color="auto" w:sz="4" w:space="0"/>
              <w:right w:val="single" w:color="auto" w:sz="4" w:space="0"/>
            </w:tcBorders>
            <w:vAlign w:val="center"/>
          </w:tcPr>
          <w:p w14:paraId="4ED73F49">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直接排放</w:t>
            </w:r>
          </w:p>
        </w:tc>
        <w:tc>
          <w:tcPr>
            <w:tcW w:w="4901" w:type="dxa"/>
            <w:tcBorders>
              <w:top w:val="single" w:color="auto" w:sz="4" w:space="0"/>
              <w:left w:val="single" w:color="auto" w:sz="4" w:space="0"/>
              <w:bottom w:val="single" w:color="auto" w:sz="4" w:space="0"/>
              <w:right w:val="single" w:color="auto" w:sz="4" w:space="0"/>
            </w:tcBorders>
            <w:vAlign w:val="center"/>
          </w:tcPr>
          <w:p w14:paraId="3D89DB05">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其他</w:t>
            </w:r>
          </w:p>
        </w:tc>
      </w:tr>
      <w:tr w14:paraId="1877B7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051" w:type="dxa"/>
            <w:tcBorders>
              <w:top w:val="single" w:color="auto" w:sz="4" w:space="0"/>
              <w:left w:val="single" w:color="auto" w:sz="4" w:space="0"/>
              <w:bottom w:val="single" w:color="auto" w:sz="4" w:space="0"/>
              <w:right w:val="single" w:color="auto" w:sz="4" w:space="0"/>
            </w:tcBorders>
            <w:vAlign w:val="center"/>
          </w:tcPr>
          <w:p w14:paraId="4613DE8B">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三级A</w:t>
            </w:r>
          </w:p>
        </w:tc>
        <w:tc>
          <w:tcPr>
            <w:tcW w:w="2051" w:type="dxa"/>
            <w:tcBorders>
              <w:top w:val="single" w:color="auto" w:sz="4" w:space="0"/>
              <w:left w:val="single" w:color="auto" w:sz="4" w:space="0"/>
              <w:bottom w:val="single" w:color="auto" w:sz="4" w:space="0"/>
              <w:right w:val="single" w:color="auto" w:sz="4" w:space="0"/>
            </w:tcBorders>
            <w:vAlign w:val="center"/>
          </w:tcPr>
          <w:p w14:paraId="7BE49F4F">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直接排放</w:t>
            </w:r>
          </w:p>
        </w:tc>
        <w:tc>
          <w:tcPr>
            <w:tcW w:w="4901" w:type="dxa"/>
            <w:tcBorders>
              <w:top w:val="single" w:color="auto" w:sz="4" w:space="0"/>
              <w:left w:val="single" w:color="auto" w:sz="4" w:space="0"/>
              <w:bottom w:val="single" w:color="auto" w:sz="4" w:space="0"/>
              <w:right w:val="single" w:color="auto" w:sz="4" w:space="0"/>
            </w:tcBorders>
            <w:vAlign w:val="center"/>
          </w:tcPr>
          <w:p w14:paraId="270AF59D">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Q＜200且W＜6000</w:t>
            </w:r>
          </w:p>
        </w:tc>
      </w:tr>
      <w:tr w14:paraId="711CB8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051" w:type="dxa"/>
            <w:tcBorders>
              <w:top w:val="single" w:color="auto" w:sz="4" w:space="0"/>
              <w:left w:val="single" w:color="auto" w:sz="4" w:space="0"/>
              <w:bottom w:val="single" w:color="auto" w:sz="4" w:space="0"/>
              <w:right w:val="single" w:color="auto" w:sz="4" w:space="0"/>
            </w:tcBorders>
            <w:vAlign w:val="center"/>
          </w:tcPr>
          <w:p w14:paraId="1B1605BC">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三级B</w:t>
            </w:r>
          </w:p>
        </w:tc>
        <w:tc>
          <w:tcPr>
            <w:tcW w:w="2051" w:type="dxa"/>
            <w:tcBorders>
              <w:top w:val="single" w:color="auto" w:sz="4" w:space="0"/>
              <w:left w:val="single" w:color="auto" w:sz="4" w:space="0"/>
              <w:bottom w:val="single" w:color="auto" w:sz="4" w:space="0"/>
              <w:right w:val="single" w:color="auto" w:sz="4" w:space="0"/>
            </w:tcBorders>
            <w:vAlign w:val="center"/>
          </w:tcPr>
          <w:p w14:paraId="19ED4315">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间接排放</w:t>
            </w:r>
          </w:p>
        </w:tc>
        <w:tc>
          <w:tcPr>
            <w:tcW w:w="4901" w:type="dxa"/>
            <w:tcBorders>
              <w:top w:val="single" w:color="auto" w:sz="4" w:space="0"/>
              <w:left w:val="single" w:color="auto" w:sz="4" w:space="0"/>
              <w:bottom w:val="single" w:color="auto" w:sz="4" w:space="0"/>
              <w:right w:val="single" w:color="auto" w:sz="4" w:space="0"/>
            </w:tcBorders>
            <w:vAlign w:val="center"/>
          </w:tcPr>
          <w:p w14:paraId="42C1062D">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w:t>
            </w:r>
          </w:p>
        </w:tc>
      </w:tr>
    </w:tbl>
    <w:p w14:paraId="192E1C7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本项目</w:t>
      </w:r>
      <w:r>
        <w:rPr>
          <w:rFonts w:hint="default" w:ascii="Times New Roman" w:hAnsi="Times New Roman" w:eastAsia="宋体" w:cs="Times New Roman"/>
          <w:color w:val="auto"/>
          <w:highlight w:val="none"/>
          <w:lang w:val="en-US" w:eastAsia="zh-CN"/>
        </w:rPr>
        <w:t>运营期生活污水</w:t>
      </w:r>
      <w:r>
        <w:rPr>
          <w:rFonts w:hint="default" w:ascii="Times New Roman" w:hAnsi="Times New Roman" w:eastAsia="宋体" w:cs="Times New Roman"/>
          <w:color w:val="auto"/>
          <w:highlight w:val="none"/>
          <w:lang w:eastAsia="zh-CN"/>
        </w:rPr>
        <w:t>不</w:t>
      </w:r>
      <w:r>
        <w:rPr>
          <w:rFonts w:hint="default" w:ascii="Times New Roman" w:hAnsi="Times New Roman" w:eastAsia="宋体" w:cs="Times New Roman"/>
          <w:color w:val="auto"/>
          <w:highlight w:val="none"/>
          <w:lang w:val="en-US" w:eastAsia="zh-CN"/>
        </w:rPr>
        <w:t>直接</w:t>
      </w:r>
      <w:r>
        <w:rPr>
          <w:rFonts w:hint="default" w:ascii="Times New Roman" w:hAnsi="Times New Roman" w:eastAsia="宋体" w:cs="Times New Roman"/>
          <w:color w:val="auto"/>
          <w:highlight w:val="none"/>
          <w:lang w:eastAsia="zh-CN"/>
        </w:rPr>
        <w:t>排放到外环境，</w:t>
      </w:r>
      <w:r>
        <w:rPr>
          <w:rFonts w:hint="default" w:ascii="Times New Roman" w:hAnsi="Times New Roman" w:eastAsia="宋体" w:cs="Times New Roman"/>
          <w:color w:val="auto"/>
          <w:highlight w:val="none"/>
        </w:rPr>
        <w:t>因此</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项目地表水评价等级为三级B。</w:t>
      </w:r>
    </w:p>
    <w:p w14:paraId="596F388A">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159" w:name="_Toc2624"/>
      <w:r>
        <w:rPr>
          <w:rFonts w:hint="default" w:ascii="Times New Roman" w:hAnsi="Times New Roman" w:eastAsia="宋体" w:cs="Times New Roman"/>
          <w:color w:val="auto"/>
          <w:highlight w:val="none"/>
        </w:rPr>
        <w:t>2.5.3地下水环境</w:t>
      </w:r>
      <w:bookmarkEnd w:id="155"/>
      <w:bookmarkEnd w:id="156"/>
      <w:bookmarkEnd w:id="157"/>
      <w:bookmarkEnd w:id="158"/>
      <w:bookmarkEnd w:id="159"/>
    </w:p>
    <w:p w14:paraId="21C39CE2">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（1）项目类别</w:t>
      </w:r>
    </w:p>
    <w:p w14:paraId="70E59FD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Cs w:val="24"/>
          <w:highlight w:val="none"/>
          <w:lang w:eastAsia="zh-CN"/>
        </w:rPr>
      </w:pPr>
      <w:r>
        <w:rPr>
          <w:rFonts w:hint="default" w:ascii="Times New Roman" w:hAnsi="Times New Roman" w:eastAsia="宋体" w:cs="Times New Roman"/>
          <w:color w:val="auto"/>
          <w:highlight w:val="none"/>
        </w:rPr>
        <w:t>本项目为</w:t>
      </w:r>
      <w:r>
        <w:rPr>
          <w:rFonts w:hint="default" w:ascii="Times New Roman" w:hAnsi="Times New Roman" w:eastAsia="宋体" w:cs="Times New Roman"/>
          <w:color w:val="auto"/>
          <w:highlight w:val="none"/>
          <w:lang w:eastAsia="zh-CN"/>
        </w:rPr>
        <w:t>规模化肉牛养殖项目，</w:t>
      </w:r>
      <w:r>
        <w:rPr>
          <w:rFonts w:hint="default" w:ascii="Times New Roman" w:hAnsi="Times New Roman" w:eastAsia="宋体" w:cs="Times New Roman"/>
          <w:color w:val="auto"/>
          <w:highlight w:val="none"/>
        </w:rPr>
        <w:t>拟建项目位于</w:t>
      </w:r>
      <w:r>
        <w:rPr>
          <w:rFonts w:hint="default" w:ascii="Times New Roman" w:hAnsi="Times New Roman" w:eastAsia="宋体" w:cs="Times New Roman"/>
          <w:color w:val="auto"/>
          <w:sz w:val="24"/>
          <w:szCs w:val="24"/>
          <w:highlight w:val="none"/>
          <w:lang w:eastAsia="zh-CN"/>
        </w:rPr>
        <w:t>内蒙古自治区巴彦淖尔市乌拉特前旗大佘太镇马卜子村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highlight w:val="none"/>
          <w:lang w:eastAsia="zh-CN"/>
        </w:rPr>
        <w:t>环境影响评价技术导则</w:t>
      </w:r>
      <w:r>
        <w:rPr>
          <w:rFonts w:hint="default" w:ascii="Times New Roman" w:hAnsi="Times New Roman" w:eastAsia="宋体" w:cs="Times New Roman"/>
          <w:color w:val="auto"/>
          <w:highlight w:val="none"/>
        </w:rPr>
        <w:t>地下水环境》（HJ610-2016</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szCs w:val="24"/>
          <w:highlight w:val="none"/>
        </w:rPr>
        <w:t>附录A</w:t>
      </w:r>
      <w:r>
        <w:rPr>
          <w:rFonts w:hint="default" w:ascii="Times New Roman" w:hAnsi="Times New Roman" w:eastAsia="宋体" w:cs="Times New Roman"/>
          <w:color w:val="auto"/>
          <w:highlight w:val="none"/>
        </w:rPr>
        <w:t>地下水环境影响评价行业分类表，</w:t>
      </w:r>
      <w:r>
        <w:rPr>
          <w:rFonts w:hint="default" w:ascii="Times New Roman" w:hAnsi="Times New Roman" w:eastAsia="宋体" w:cs="Times New Roman"/>
          <w:color w:val="auto"/>
          <w:highlight w:val="none"/>
          <w:lang w:eastAsia="zh-CN"/>
        </w:rPr>
        <w:t>属于</w:t>
      </w:r>
      <w:r>
        <w:rPr>
          <w:rFonts w:hint="default" w:ascii="Times New Roman" w:hAnsi="Times New Roman" w:eastAsia="宋体" w:cs="Times New Roman"/>
          <w:color w:val="auto"/>
          <w:highlight w:val="none"/>
          <w:lang w:val="en-US" w:eastAsia="zh-CN"/>
        </w:rPr>
        <w:t>B农、林、牧、渔、海洋--14、</w:t>
      </w:r>
      <w:r>
        <w:rPr>
          <w:rFonts w:hint="default" w:ascii="Times New Roman" w:hAnsi="Times New Roman" w:eastAsia="宋体" w:cs="Times New Roman"/>
          <w:color w:val="auto"/>
          <w:highlight w:val="none"/>
        </w:rPr>
        <w:t>畜禽养殖场、养殖小区</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确定</w:t>
      </w:r>
      <w:r>
        <w:rPr>
          <w:rFonts w:hint="default" w:ascii="Times New Roman" w:hAnsi="Times New Roman" w:eastAsia="宋体" w:cs="Times New Roman"/>
          <w:color w:val="auto"/>
          <w:highlight w:val="none"/>
          <w:lang w:eastAsia="zh-CN"/>
        </w:rPr>
        <w:t>本项目</w:t>
      </w:r>
      <w:r>
        <w:rPr>
          <w:rFonts w:hint="default" w:ascii="Times New Roman" w:hAnsi="Times New Roman" w:eastAsia="宋体" w:cs="Times New Roman"/>
          <w:color w:val="auto"/>
          <w:szCs w:val="24"/>
          <w:highlight w:val="none"/>
        </w:rPr>
        <w:t>地下水环境影响评价项目</w:t>
      </w:r>
      <w:r>
        <w:rPr>
          <w:rFonts w:hint="default" w:ascii="Times New Roman" w:hAnsi="Times New Roman" w:eastAsia="宋体" w:cs="Times New Roman"/>
          <w:color w:val="auto"/>
          <w:szCs w:val="24"/>
          <w:highlight w:val="none"/>
          <w:lang w:eastAsia="zh-CN"/>
        </w:rPr>
        <w:t>类别为</w:t>
      </w:r>
      <w:r>
        <w:rPr>
          <w:rFonts w:hint="default" w:ascii="Times New Roman" w:hAnsi="Times New Roman" w:eastAsia="宋体" w:cs="Times New Roman"/>
          <w:color w:val="auto"/>
          <w:szCs w:val="24"/>
          <w:highlight w:val="none"/>
        </w:rPr>
        <w:t>Ⅲ类</w:t>
      </w:r>
      <w:r>
        <w:rPr>
          <w:rFonts w:hint="default" w:ascii="Times New Roman" w:hAnsi="Times New Roman" w:eastAsia="宋体" w:cs="Times New Roman"/>
          <w:color w:val="auto"/>
          <w:szCs w:val="24"/>
          <w:highlight w:val="none"/>
          <w:lang w:eastAsia="zh-CN"/>
        </w:rPr>
        <w:t>。</w:t>
      </w:r>
    </w:p>
    <w:p w14:paraId="4EE7D93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（2）地下水环境敏感程度</w:t>
      </w:r>
    </w:p>
    <w:p w14:paraId="4714C865">
      <w:pPr>
        <w:pageBreakBefore w:val="0"/>
        <w:kinsoku/>
        <w:wordWrap/>
        <w:overflowPunct w:val="0"/>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highlight w:val="none"/>
          <w:lang w:eastAsia="zh-CN"/>
        </w:rPr>
        <w:t>环境影响评价技术导则</w:t>
      </w:r>
      <w:r>
        <w:rPr>
          <w:rFonts w:hint="default" w:ascii="Times New Roman" w:hAnsi="Times New Roman" w:eastAsia="宋体" w:cs="Times New Roman"/>
          <w:color w:val="auto"/>
          <w:highlight w:val="none"/>
        </w:rPr>
        <w:t>地下水环境》（HJ610-2016），依据表2.5-</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判别本区地下水环境敏感程度。</w:t>
      </w:r>
    </w:p>
    <w:p w14:paraId="635DC902">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表2.5-6地下水环境敏感程度分级表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083"/>
        <w:gridCol w:w="7194"/>
      </w:tblGrid>
      <w:tr w14:paraId="0F41F0AB">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63" w:type="dxa"/>
            <w:tcBorders>
              <w:top w:val="single" w:color="auto" w:sz="4" w:space="0"/>
              <w:left w:val="single" w:color="auto" w:sz="4" w:space="0"/>
              <w:bottom w:val="single" w:color="auto" w:sz="4" w:space="0"/>
              <w:right w:val="single" w:color="auto" w:sz="4" w:space="0"/>
            </w:tcBorders>
            <w:vAlign w:val="center"/>
          </w:tcPr>
          <w:p w14:paraId="5123DBAB">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敏感程度</w:t>
            </w:r>
          </w:p>
        </w:tc>
        <w:tc>
          <w:tcPr>
            <w:tcW w:w="7840" w:type="dxa"/>
            <w:tcBorders>
              <w:top w:val="single" w:color="auto" w:sz="4" w:space="0"/>
              <w:left w:val="single" w:color="auto" w:sz="4" w:space="0"/>
              <w:bottom w:val="single" w:color="auto" w:sz="4" w:space="0"/>
              <w:right w:val="single" w:color="auto" w:sz="4" w:space="0"/>
            </w:tcBorders>
            <w:vAlign w:val="center"/>
          </w:tcPr>
          <w:p w14:paraId="5943259B">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地下水环境敏感特征</w:t>
            </w:r>
          </w:p>
        </w:tc>
      </w:tr>
      <w:tr w14:paraId="22BD163A">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63" w:type="dxa"/>
            <w:tcBorders>
              <w:top w:val="single" w:color="auto" w:sz="4" w:space="0"/>
              <w:left w:val="single" w:color="auto" w:sz="4" w:space="0"/>
              <w:bottom w:val="single" w:color="auto" w:sz="4" w:space="0"/>
              <w:right w:val="single" w:color="auto" w:sz="4" w:space="0"/>
            </w:tcBorders>
            <w:vAlign w:val="center"/>
          </w:tcPr>
          <w:p w14:paraId="5089A12F">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敏感</w:t>
            </w:r>
          </w:p>
        </w:tc>
        <w:tc>
          <w:tcPr>
            <w:tcW w:w="7840" w:type="dxa"/>
            <w:tcBorders>
              <w:top w:val="single" w:color="auto" w:sz="4" w:space="0"/>
              <w:left w:val="single" w:color="auto" w:sz="4" w:space="0"/>
              <w:bottom w:val="single" w:color="auto" w:sz="4" w:space="0"/>
              <w:right w:val="single" w:color="auto" w:sz="4" w:space="0"/>
            </w:tcBorders>
            <w:vAlign w:val="center"/>
          </w:tcPr>
          <w:p w14:paraId="45D72E23">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集中式饮用水水源（包括已建成的、备用、应急水源，在建和规划的饮用水源）准保护区；除集中式饮用水水源以外的国家或地方政府设定的与地下水环境相关的其他保护区，如热水、矿泉水、温泉等特殊地下水资源保护区。</w:t>
            </w:r>
          </w:p>
        </w:tc>
      </w:tr>
      <w:tr w14:paraId="0B36325F">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63" w:type="dxa"/>
            <w:tcBorders>
              <w:top w:val="single" w:color="auto" w:sz="4" w:space="0"/>
              <w:left w:val="single" w:color="auto" w:sz="4" w:space="0"/>
              <w:bottom w:val="single" w:color="auto" w:sz="4" w:space="0"/>
              <w:right w:val="single" w:color="auto" w:sz="4" w:space="0"/>
            </w:tcBorders>
            <w:vAlign w:val="center"/>
          </w:tcPr>
          <w:p w14:paraId="219BD9CC">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较敏感</w:t>
            </w:r>
          </w:p>
        </w:tc>
        <w:tc>
          <w:tcPr>
            <w:tcW w:w="7840" w:type="dxa"/>
            <w:tcBorders>
              <w:top w:val="single" w:color="auto" w:sz="4" w:space="0"/>
              <w:left w:val="single" w:color="auto" w:sz="4" w:space="0"/>
              <w:bottom w:val="single" w:color="auto" w:sz="4" w:space="0"/>
              <w:right w:val="single" w:color="auto" w:sz="4" w:space="0"/>
            </w:tcBorders>
            <w:vAlign w:val="center"/>
          </w:tcPr>
          <w:p w14:paraId="2575A2E4">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集中式饮用水水源（包括已建成的、备用、应急水源，在建和规划的饮用水源）准保护区以外的补给径流区；未划定准保护区的集中式饮用水水源，其保护区以外的补给径流区；分散式饮用水水源地；特殊地下水资源（如矿泉水、温泉等）保护区以外的分布区等未列入上述敏感分级的环境敏感区。</w:t>
            </w:r>
          </w:p>
        </w:tc>
      </w:tr>
      <w:tr w14:paraId="32D5D83C">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63" w:type="dxa"/>
            <w:tcBorders>
              <w:top w:val="single" w:color="auto" w:sz="4" w:space="0"/>
              <w:left w:val="single" w:color="auto" w:sz="4" w:space="0"/>
              <w:bottom w:val="single" w:color="auto" w:sz="4" w:space="0"/>
              <w:right w:val="single" w:color="auto" w:sz="4" w:space="0"/>
            </w:tcBorders>
            <w:vAlign w:val="center"/>
          </w:tcPr>
          <w:p w14:paraId="537B0E07">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不敏感</w:t>
            </w:r>
          </w:p>
        </w:tc>
        <w:tc>
          <w:tcPr>
            <w:tcW w:w="7840" w:type="dxa"/>
            <w:tcBorders>
              <w:top w:val="single" w:color="auto" w:sz="4" w:space="0"/>
              <w:left w:val="single" w:color="auto" w:sz="4" w:space="0"/>
              <w:bottom w:val="single" w:color="auto" w:sz="4" w:space="0"/>
              <w:right w:val="single" w:color="auto" w:sz="4" w:space="0"/>
            </w:tcBorders>
            <w:vAlign w:val="center"/>
          </w:tcPr>
          <w:p w14:paraId="4A5463D5">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上述地区之外其他地区a</w:t>
            </w:r>
          </w:p>
        </w:tc>
      </w:tr>
      <w:tr w14:paraId="1BCC5A3B">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9003" w:type="dxa"/>
            <w:gridSpan w:val="2"/>
            <w:tcBorders>
              <w:top w:val="single" w:color="auto" w:sz="4" w:space="0"/>
              <w:left w:val="single" w:color="auto" w:sz="4" w:space="0"/>
              <w:bottom w:val="single" w:color="auto" w:sz="4" w:space="0"/>
              <w:right w:val="single" w:color="auto" w:sz="4" w:space="0"/>
            </w:tcBorders>
            <w:vAlign w:val="center"/>
          </w:tcPr>
          <w:p w14:paraId="097BF88F">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注：a“环境敏感区”是指《建设项目环境影响评价分类管理名录》中所界定的涉及地下水的环境敏感区。</w:t>
            </w:r>
          </w:p>
        </w:tc>
      </w:tr>
    </w:tbl>
    <w:p w14:paraId="49514A04">
      <w:pPr>
        <w:pageBreakBefore w:val="0"/>
        <w:kinsoku/>
        <w:wordWrap/>
        <w:overflowPunct w:val="0"/>
        <w:bidi w:val="0"/>
        <w:adjustRightInd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zh-CN"/>
        </w:rPr>
        <w:t>本项目区不属于集中式、分散式饮用水源地准保护区、特殊地下水资源保护区、补给径流区和特殊地下水资源保护区，但周边存在分散式饮用水水源井，</w:t>
      </w:r>
      <w:r>
        <w:rPr>
          <w:rFonts w:hint="default" w:ascii="Times New Roman" w:hAnsi="Times New Roman" w:eastAsia="宋体" w:cs="Times New Roman"/>
          <w:color w:val="auto"/>
          <w:highlight w:val="none"/>
        </w:rPr>
        <w:t>因此，地下水环境敏感程度为“较敏感”。</w:t>
      </w:r>
    </w:p>
    <w:p w14:paraId="3992DDF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（3）评价等级确定</w:t>
      </w:r>
    </w:p>
    <w:p w14:paraId="2D4895D2">
      <w:pPr>
        <w:pageBreakBefore w:val="0"/>
        <w:kinsoku/>
        <w:wordWrap/>
        <w:overflowPunct w:val="0"/>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highlight w:val="none"/>
          <w:lang w:eastAsia="zh-CN"/>
        </w:rPr>
        <w:t>环境影响评价技术导则</w:t>
      </w:r>
      <w:r>
        <w:rPr>
          <w:rFonts w:hint="default" w:ascii="Times New Roman" w:hAnsi="Times New Roman" w:eastAsia="宋体" w:cs="Times New Roman"/>
          <w:color w:val="auto"/>
          <w:highlight w:val="none"/>
        </w:rPr>
        <w:t>地下水环境》（HJ610-2016），根据地下水环境敏感程度、项目地下水环境影响评价类别依据下表确定评价等级。</w:t>
      </w:r>
    </w:p>
    <w:p w14:paraId="6FB4CC65">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表2.5-7地下水评价工作等级分级表</w:t>
      </w:r>
    </w:p>
    <w:tbl>
      <w:tblPr>
        <w:tblStyle w:val="40"/>
        <w:tblW w:w="827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069"/>
        <w:gridCol w:w="2069"/>
        <w:gridCol w:w="2069"/>
        <w:gridCol w:w="2070"/>
      </w:tblGrid>
      <w:tr w14:paraId="52BE41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250" w:type="dxa"/>
            <w:tcBorders>
              <w:top w:val="single" w:color="auto" w:sz="4" w:space="0"/>
              <w:left w:val="single" w:color="auto" w:sz="4" w:space="0"/>
              <w:bottom w:val="single" w:color="auto" w:sz="4" w:space="0"/>
              <w:right w:val="single" w:color="auto" w:sz="4" w:space="0"/>
              <w:tl2br w:val="single" w:color="auto" w:sz="4" w:space="0"/>
            </w:tcBorders>
            <w:vAlign w:val="center"/>
          </w:tcPr>
          <w:p w14:paraId="5A999A98">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right"/>
              <w:textAlignment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项目类别</w:t>
            </w:r>
          </w:p>
          <w:p w14:paraId="15C0711B">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环境敏感程度</w:t>
            </w:r>
          </w:p>
        </w:tc>
        <w:tc>
          <w:tcPr>
            <w:tcW w:w="2251" w:type="dxa"/>
            <w:tcBorders>
              <w:top w:val="single" w:color="auto" w:sz="4" w:space="0"/>
              <w:left w:val="single" w:color="auto" w:sz="4" w:space="0"/>
              <w:bottom w:val="single" w:color="auto" w:sz="4" w:space="0"/>
              <w:right w:val="single" w:color="auto" w:sz="4" w:space="0"/>
            </w:tcBorders>
            <w:vAlign w:val="center"/>
          </w:tcPr>
          <w:p w14:paraId="0E027F17">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fldChar w:fldCharType="begin"/>
            </w:r>
            <w:r>
              <w:rPr>
                <w:rFonts w:hint="default" w:ascii="Times New Roman" w:hAnsi="Times New Roman" w:eastAsia="宋体" w:cs="Times New Roman"/>
                <w:color w:val="auto"/>
                <w:sz w:val="21"/>
                <w:highlight w:val="none"/>
              </w:rPr>
              <w:instrText xml:space="preserve"> = 1 \* ROMAN </w:instrText>
            </w:r>
            <w:r>
              <w:rPr>
                <w:rFonts w:hint="default" w:ascii="Times New Roman" w:hAnsi="Times New Roman" w:eastAsia="宋体" w:cs="Times New Roman"/>
                <w:color w:val="auto"/>
                <w:sz w:val="21"/>
                <w:highlight w:val="none"/>
              </w:rPr>
              <w:fldChar w:fldCharType="separate"/>
            </w:r>
            <w:r>
              <w:rPr>
                <w:rFonts w:hint="default" w:ascii="Times New Roman" w:hAnsi="Times New Roman" w:eastAsia="宋体" w:cs="Times New Roman"/>
                <w:color w:val="auto"/>
                <w:sz w:val="21"/>
                <w:highlight w:val="none"/>
              </w:rPr>
              <w:t>I</w:t>
            </w:r>
            <w:r>
              <w:rPr>
                <w:rFonts w:hint="default" w:ascii="Times New Roman" w:hAnsi="Times New Roman" w:eastAsia="宋体" w:cs="Times New Roman"/>
                <w:color w:val="auto"/>
                <w:sz w:val="21"/>
                <w:highlight w:val="none"/>
              </w:rPr>
              <w:fldChar w:fldCharType="end"/>
            </w:r>
            <w:r>
              <w:rPr>
                <w:rFonts w:hint="default" w:ascii="Times New Roman" w:hAnsi="Times New Roman" w:eastAsia="宋体" w:cs="Times New Roman"/>
                <w:color w:val="auto"/>
                <w:sz w:val="21"/>
                <w:highlight w:val="none"/>
              </w:rPr>
              <w:t>类项目</w:t>
            </w:r>
          </w:p>
        </w:tc>
        <w:tc>
          <w:tcPr>
            <w:tcW w:w="2251" w:type="dxa"/>
            <w:tcBorders>
              <w:top w:val="single" w:color="auto" w:sz="4" w:space="0"/>
              <w:left w:val="single" w:color="auto" w:sz="4" w:space="0"/>
              <w:bottom w:val="single" w:color="auto" w:sz="4" w:space="0"/>
              <w:right w:val="single" w:color="auto" w:sz="4" w:space="0"/>
            </w:tcBorders>
            <w:vAlign w:val="center"/>
          </w:tcPr>
          <w:p w14:paraId="6B4C434D">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fldChar w:fldCharType="begin"/>
            </w:r>
            <w:r>
              <w:rPr>
                <w:rFonts w:hint="default" w:ascii="Times New Roman" w:hAnsi="Times New Roman" w:eastAsia="宋体" w:cs="Times New Roman"/>
                <w:color w:val="auto"/>
                <w:sz w:val="21"/>
                <w:highlight w:val="none"/>
              </w:rPr>
              <w:instrText xml:space="preserve"> = 2 \* ROMAN </w:instrText>
            </w:r>
            <w:r>
              <w:rPr>
                <w:rFonts w:hint="default" w:ascii="Times New Roman" w:hAnsi="Times New Roman" w:eastAsia="宋体" w:cs="Times New Roman"/>
                <w:color w:val="auto"/>
                <w:sz w:val="21"/>
                <w:highlight w:val="none"/>
              </w:rPr>
              <w:fldChar w:fldCharType="separate"/>
            </w:r>
            <w:r>
              <w:rPr>
                <w:rFonts w:hint="default" w:ascii="Times New Roman" w:hAnsi="Times New Roman" w:eastAsia="宋体" w:cs="Times New Roman"/>
                <w:color w:val="auto"/>
                <w:sz w:val="21"/>
                <w:highlight w:val="none"/>
                <w:lang w:eastAsia="zh-CN"/>
              </w:rPr>
              <w:t>Ⅱ</w:t>
            </w:r>
            <w:r>
              <w:rPr>
                <w:rFonts w:hint="default" w:ascii="Times New Roman" w:hAnsi="Times New Roman" w:eastAsia="宋体" w:cs="Times New Roman"/>
                <w:color w:val="auto"/>
                <w:sz w:val="21"/>
                <w:highlight w:val="none"/>
              </w:rPr>
              <w:fldChar w:fldCharType="end"/>
            </w:r>
            <w:r>
              <w:rPr>
                <w:rFonts w:hint="default" w:ascii="Times New Roman" w:hAnsi="Times New Roman" w:eastAsia="宋体" w:cs="Times New Roman"/>
                <w:color w:val="auto"/>
                <w:sz w:val="21"/>
                <w:highlight w:val="none"/>
              </w:rPr>
              <w:t>类项目</w:t>
            </w:r>
          </w:p>
        </w:tc>
        <w:tc>
          <w:tcPr>
            <w:tcW w:w="2251" w:type="dxa"/>
            <w:tcBorders>
              <w:top w:val="single" w:color="auto" w:sz="4" w:space="0"/>
              <w:left w:val="single" w:color="auto" w:sz="4" w:space="0"/>
              <w:bottom w:val="single" w:color="auto" w:sz="4" w:space="0"/>
              <w:right w:val="single" w:color="auto" w:sz="4" w:space="0"/>
            </w:tcBorders>
            <w:vAlign w:val="center"/>
          </w:tcPr>
          <w:p w14:paraId="6DA2C2AE">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fldChar w:fldCharType="begin"/>
            </w:r>
            <w:r>
              <w:rPr>
                <w:rFonts w:hint="default" w:ascii="Times New Roman" w:hAnsi="Times New Roman" w:eastAsia="宋体" w:cs="Times New Roman"/>
                <w:color w:val="auto"/>
                <w:sz w:val="21"/>
                <w:highlight w:val="none"/>
              </w:rPr>
              <w:instrText xml:space="preserve"> = 3 \* ROMAN </w:instrText>
            </w:r>
            <w:r>
              <w:rPr>
                <w:rFonts w:hint="default" w:ascii="Times New Roman" w:hAnsi="Times New Roman" w:eastAsia="宋体" w:cs="Times New Roman"/>
                <w:color w:val="auto"/>
                <w:sz w:val="21"/>
                <w:highlight w:val="none"/>
              </w:rPr>
              <w:fldChar w:fldCharType="separate"/>
            </w:r>
            <w:r>
              <w:rPr>
                <w:rFonts w:hint="default" w:ascii="Times New Roman" w:hAnsi="Times New Roman" w:eastAsia="宋体" w:cs="Times New Roman"/>
                <w:color w:val="auto"/>
                <w:sz w:val="21"/>
                <w:highlight w:val="none"/>
                <w:lang w:eastAsia="zh-CN"/>
              </w:rPr>
              <w:t>Ⅲ</w:t>
            </w:r>
            <w:r>
              <w:rPr>
                <w:rFonts w:hint="default" w:ascii="Times New Roman" w:hAnsi="Times New Roman" w:eastAsia="宋体" w:cs="Times New Roman"/>
                <w:color w:val="auto"/>
                <w:sz w:val="21"/>
                <w:highlight w:val="none"/>
              </w:rPr>
              <w:fldChar w:fldCharType="end"/>
            </w:r>
            <w:r>
              <w:rPr>
                <w:rFonts w:hint="default" w:ascii="Times New Roman" w:hAnsi="Times New Roman" w:eastAsia="宋体" w:cs="Times New Roman"/>
                <w:color w:val="auto"/>
                <w:sz w:val="21"/>
                <w:highlight w:val="none"/>
              </w:rPr>
              <w:t>类项目</w:t>
            </w:r>
          </w:p>
        </w:tc>
      </w:tr>
      <w:tr w14:paraId="4608E4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250" w:type="dxa"/>
            <w:tcBorders>
              <w:top w:val="single" w:color="auto" w:sz="4" w:space="0"/>
              <w:left w:val="single" w:color="auto" w:sz="4" w:space="0"/>
              <w:bottom w:val="single" w:color="auto" w:sz="4" w:space="0"/>
              <w:right w:val="single" w:color="auto" w:sz="4" w:space="0"/>
            </w:tcBorders>
            <w:vAlign w:val="center"/>
          </w:tcPr>
          <w:p w14:paraId="50577CF6">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2"/>
                <w:highlight w:val="none"/>
                <w:lang w:val="en-GB" w:eastAsia="zh-CN" w:bidi="ar-SA"/>
              </w:rPr>
            </w:pPr>
            <w:r>
              <w:rPr>
                <w:rFonts w:hint="default" w:ascii="Times New Roman" w:hAnsi="Times New Roman" w:eastAsia="宋体" w:cs="Times New Roman"/>
                <w:color w:val="auto"/>
                <w:kern w:val="2"/>
                <w:sz w:val="21"/>
                <w:szCs w:val="22"/>
                <w:highlight w:val="none"/>
                <w:lang w:val="en-GB" w:eastAsia="zh-CN" w:bidi="ar-SA"/>
              </w:rPr>
              <w:t>敏感</w:t>
            </w:r>
          </w:p>
        </w:tc>
        <w:tc>
          <w:tcPr>
            <w:tcW w:w="2251" w:type="dxa"/>
            <w:tcBorders>
              <w:top w:val="single" w:color="auto" w:sz="4" w:space="0"/>
              <w:left w:val="single" w:color="auto" w:sz="4" w:space="0"/>
              <w:bottom w:val="single" w:color="auto" w:sz="4" w:space="0"/>
              <w:right w:val="single" w:color="auto" w:sz="4" w:space="0"/>
            </w:tcBorders>
            <w:vAlign w:val="center"/>
          </w:tcPr>
          <w:p w14:paraId="36B63166">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2"/>
                <w:highlight w:val="none"/>
                <w:lang w:val="en-GB" w:eastAsia="zh-CN" w:bidi="ar-SA"/>
              </w:rPr>
            </w:pPr>
            <w:r>
              <w:rPr>
                <w:rFonts w:hint="default" w:ascii="Times New Roman" w:hAnsi="Times New Roman" w:eastAsia="宋体" w:cs="Times New Roman"/>
                <w:color w:val="auto"/>
                <w:kern w:val="2"/>
                <w:sz w:val="21"/>
                <w:szCs w:val="22"/>
                <w:highlight w:val="none"/>
                <w:lang w:val="en-GB" w:eastAsia="zh-CN" w:bidi="ar-SA"/>
              </w:rPr>
              <w:t>一</w:t>
            </w:r>
          </w:p>
        </w:tc>
        <w:tc>
          <w:tcPr>
            <w:tcW w:w="2251" w:type="dxa"/>
            <w:tcBorders>
              <w:top w:val="single" w:color="auto" w:sz="4" w:space="0"/>
              <w:left w:val="single" w:color="auto" w:sz="4" w:space="0"/>
              <w:bottom w:val="single" w:color="auto" w:sz="4" w:space="0"/>
              <w:right w:val="single" w:color="auto" w:sz="4" w:space="0"/>
            </w:tcBorders>
            <w:vAlign w:val="center"/>
          </w:tcPr>
          <w:p w14:paraId="1707DCC1">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2"/>
                <w:highlight w:val="none"/>
                <w:lang w:val="en-GB" w:eastAsia="zh-CN" w:bidi="ar-SA"/>
              </w:rPr>
            </w:pPr>
            <w:r>
              <w:rPr>
                <w:rFonts w:hint="default" w:ascii="Times New Roman" w:hAnsi="Times New Roman" w:eastAsia="宋体" w:cs="Times New Roman"/>
                <w:color w:val="auto"/>
                <w:kern w:val="2"/>
                <w:sz w:val="21"/>
                <w:szCs w:val="22"/>
                <w:highlight w:val="none"/>
                <w:lang w:val="en-GB" w:eastAsia="zh-CN" w:bidi="ar-SA"/>
              </w:rPr>
              <w:t>一</w:t>
            </w:r>
          </w:p>
        </w:tc>
        <w:tc>
          <w:tcPr>
            <w:tcW w:w="2251" w:type="dxa"/>
            <w:tcBorders>
              <w:top w:val="single" w:color="auto" w:sz="4" w:space="0"/>
              <w:left w:val="single" w:color="auto" w:sz="4" w:space="0"/>
              <w:bottom w:val="single" w:color="auto" w:sz="4" w:space="0"/>
              <w:right w:val="single" w:color="auto" w:sz="4" w:space="0"/>
            </w:tcBorders>
            <w:vAlign w:val="center"/>
          </w:tcPr>
          <w:p w14:paraId="533C92C0">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2"/>
                <w:highlight w:val="none"/>
                <w:lang w:val="en-GB" w:eastAsia="zh-CN" w:bidi="ar-SA"/>
              </w:rPr>
            </w:pPr>
            <w:r>
              <w:rPr>
                <w:rFonts w:hint="default" w:ascii="Times New Roman" w:hAnsi="Times New Roman" w:eastAsia="宋体" w:cs="Times New Roman"/>
                <w:color w:val="auto"/>
                <w:kern w:val="2"/>
                <w:sz w:val="21"/>
                <w:szCs w:val="22"/>
                <w:highlight w:val="none"/>
                <w:lang w:val="en-GB" w:eastAsia="zh-CN" w:bidi="ar-SA"/>
              </w:rPr>
              <w:t>二</w:t>
            </w:r>
          </w:p>
        </w:tc>
      </w:tr>
      <w:tr w14:paraId="09CE49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250" w:type="dxa"/>
            <w:tcBorders>
              <w:top w:val="single" w:color="auto" w:sz="4" w:space="0"/>
              <w:left w:val="single" w:color="auto" w:sz="4" w:space="0"/>
              <w:bottom w:val="single" w:color="auto" w:sz="4" w:space="0"/>
              <w:right w:val="single" w:color="auto" w:sz="4" w:space="0"/>
            </w:tcBorders>
            <w:vAlign w:val="center"/>
          </w:tcPr>
          <w:p w14:paraId="1365C7A4">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2"/>
                <w:highlight w:val="none"/>
                <w:lang w:val="en-GB" w:eastAsia="zh-CN" w:bidi="ar-SA"/>
              </w:rPr>
            </w:pPr>
            <w:r>
              <w:rPr>
                <w:rFonts w:hint="default" w:ascii="Times New Roman" w:hAnsi="Times New Roman" w:eastAsia="宋体" w:cs="Times New Roman"/>
                <w:color w:val="auto"/>
                <w:kern w:val="2"/>
                <w:sz w:val="21"/>
                <w:szCs w:val="22"/>
                <w:highlight w:val="none"/>
                <w:lang w:val="en-GB" w:eastAsia="zh-CN" w:bidi="ar-SA"/>
              </w:rPr>
              <w:t>较敏感</w:t>
            </w:r>
          </w:p>
        </w:tc>
        <w:tc>
          <w:tcPr>
            <w:tcW w:w="2251" w:type="dxa"/>
            <w:tcBorders>
              <w:top w:val="single" w:color="auto" w:sz="4" w:space="0"/>
              <w:left w:val="single" w:color="auto" w:sz="4" w:space="0"/>
              <w:bottom w:val="single" w:color="auto" w:sz="4" w:space="0"/>
              <w:right w:val="single" w:color="auto" w:sz="4" w:space="0"/>
            </w:tcBorders>
            <w:vAlign w:val="center"/>
          </w:tcPr>
          <w:p w14:paraId="016B1358">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2"/>
                <w:highlight w:val="none"/>
                <w:lang w:val="en-GB" w:eastAsia="zh-CN" w:bidi="ar-SA"/>
              </w:rPr>
            </w:pPr>
            <w:r>
              <w:rPr>
                <w:rFonts w:hint="default" w:ascii="Times New Roman" w:hAnsi="Times New Roman" w:eastAsia="宋体" w:cs="Times New Roman"/>
                <w:color w:val="auto"/>
                <w:kern w:val="2"/>
                <w:sz w:val="21"/>
                <w:szCs w:val="22"/>
                <w:highlight w:val="none"/>
                <w:lang w:val="en-GB" w:eastAsia="zh-CN" w:bidi="ar-SA"/>
              </w:rPr>
              <w:t>一</w:t>
            </w:r>
          </w:p>
        </w:tc>
        <w:tc>
          <w:tcPr>
            <w:tcW w:w="2251" w:type="dxa"/>
            <w:tcBorders>
              <w:top w:val="single" w:color="auto" w:sz="4" w:space="0"/>
              <w:left w:val="single" w:color="auto" w:sz="4" w:space="0"/>
              <w:bottom w:val="single" w:color="auto" w:sz="4" w:space="0"/>
              <w:right w:val="single" w:color="auto" w:sz="4" w:space="0"/>
            </w:tcBorders>
            <w:vAlign w:val="center"/>
          </w:tcPr>
          <w:p w14:paraId="08E5DC31">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2"/>
                <w:highlight w:val="none"/>
                <w:lang w:val="en-GB" w:eastAsia="zh-CN" w:bidi="ar-SA"/>
              </w:rPr>
            </w:pPr>
            <w:r>
              <w:rPr>
                <w:rFonts w:hint="default" w:ascii="Times New Roman" w:hAnsi="Times New Roman" w:eastAsia="宋体" w:cs="Times New Roman"/>
                <w:color w:val="auto"/>
                <w:kern w:val="2"/>
                <w:sz w:val="21"/>
                <w:szCs w:val="22"/>
                <w:highlight w:val="none"/>
                <w:lang w:val="en-GB" w:eastAsia="zh-CN" w:bidi="ar-SA"/>
              </w:rPr>
              <w:t>二</w:t>
            </w:r>
          </w:p>
        </w:tc>
        <w:tc>
          <w:tcPr>
            <w:tcW w:w="2251" w:type="dxa"/>
            <w:tcBorders>
              <w:top w:val="single" w:color="auto" w:sz="4" w:space="0"/>
              <w:left w:val="single" w:color="auto" w:sz="4" w:space="0"/>
              <w:bottom w:val="single" w:color="auto" w:sz="4" w:space="0"/>
              <w:right w:val="single" w:color="auto" w:sz="4" w:space="0"/>
            </w:tcBorders>
            <w:shd w:val="clear" w:color="auto" w:fill="A5A5A5" w:themeFill="background1" w:themeFillShade="A6"/>
            <w:vAlign w:val="center"/>
          </w:tcPr>
          <w:p w14:paraId="0D15507C">
            <w:pPr>
              <w:keepNext w:val="0"/>
              <w:keepLines w:val="0"/>
              <w:pageBreakBefore w:val="0"/>
              <w:widowControl w:val="0"/>
              <w:kinsoku/>
              <w:wordWrap/>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2"/>
                <w:highlight w:val="none"/>
                <w:lang w:val="en-GB" w:eastAsia="zh-CN" w:bidi="ar-SA"/>
              </w:rPr>
            </w:pPr>
            <w:r>
              <w:rPr>
                <w:rFonts w:hint="default" w:ascii="Times New Roman" w:hAnsi="Times New Roman" w:eastAsia="宋体" w:cs="Times New Roman"/>
                <w:color w:val="auto"/>
                <w:kern w:val="2"/>
                <w:sz w:val="21"/>
                <w:szCs w:val="22"/>
                <w:highlight w:val="none"/>
                <w:lang w:val="en-GB" w:eastAsia="zh-CN" w:bidi="ar-SA"/>
              </w:rPr>
              <w:t>三</w:t>
            </w:r>
          </w:p>
        </w:tc>
      </w:tr>
      <w:tr w14:paraId="72B6C6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250" w:type="dxa"/>
            <w:tcBorders>
              <w:top w:val="single" w:color="auto" w:sz="4" w:space="0"/>
              <w:left w:val="single" w:color="auto" w:sz="4" w:space="0"/>
              <w:bottom w:val="single" w:color="auto" w:sz="4" w:space="0"/>
              <w:right w:val="single" w:color="auto" w:sz="4" w:space="0"/>
            </w:tcBorders>
            <w:vAlign w:val="center"/>
          </w:tcPr>
          <w:p w14:paraId="0AF0DB3C">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2"/>
                <w:highlight w:val="none"/>
                <w:lang w:val="en-GB" w:eastAsia="zh-CN" w:bidi="ar-SA"/>
              </w:rPr>
            </w:pPr>
            <w:r>
              <w:rPr>
                <w:rFonts w:hint="default" w:ascii="Times New Roman" w:hAnsi="Times New Roman" w:eastAsia="宋体" w:cs="Times New Roman"/>
                <w:color w:val="auto"/>
                <w:kern w:val="2"/>
                <w:sz w:val="21"/>
                <w:szCs w:val="22"/>
                <w:highlight w:val="none"/>
                <w:lang w:val="en-GB" w:eastAsia="zh-CN" w:bidi="ar-SA"/>
              </w:rPr>
              <w:t>不敏感</w:t>
            </w:r>
          </w:p>
        </w:tc>
        <w:tc>
          <w:tcPr>
            <w:tcW w:w="2251" w:type="dxa"/>
            <w:tcBorders>
              <w:top w:val="single" w:color="auto" w:sz="4" w:space="0"/>
              <w:left w:val="single" w:color="auto" w:sz="4" w:space="0"/>
              <w:bottom w:val="single" w:color="auto" w:sz="4" w:space="0"/>
              <w:right w:val="single" w:color="auto" w:sz="4" w:space="0"/>
            </w:tcBorders>
            <w:vAlign w:val="center"/>
          </w:tcPr>
          <w:p w14:paraId="51C0AE4C">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2"/>
                <w:highlight w:val="none"/>
                <w:lang w:val="en-GB" w:eastAsia="zh-CN" w:bidi="ar-SA"/>
              </w:rPr>
            </w:pPr>
            <w:r>
              <w:rPr>
                <w:rFonts w:hint="default" w:ascii="Times New Roman" w:hAnsi="Times New Roman" w:eastAsia="宋体" w:cs="Times New Roman"/>
                <w:color w:val="auto"/>
                <w:kern w:val="2"/>
                <w:sz w:val="21"/>
                <w:szCs w:val="22"/>
                <w:highlight w:val="none"/>
                <w:lang w:val="en-GB" w:eastAsia="zh-CN" w:bidi="ar-SA"/>
              </w:rPr>
              <w:t>二</w:t>
            </w:r>
          </w:p>
        </w:tc>
        <w:tc>
          <w:tcPr>
            <w:tcW w:w="2251" w:type="dxa"/>
            <w:tcBorders>
              <w:top w:val="single" w:color="auto" w:sz="4" w:space="0"/>
              <w:left w:val="single" w:color="auto" w:sz="4" w:space="0"/>
              <w:bottom w:val="single" w:color="auto" w:sz="4" w:space="0"/>
              <w:right w:val="single" w:color="auto" w:sz="4" w:space="0"/>
            </w:tcBorders>
            <w:vAlign w:val="center"/>
          </w:tcPr>
          <w:p w14:paraId="0CF02CDF">
            <w:pPr>
              <w:keepNext w:val="0"/>
              <w:keepLines w:val="0"/>
              <w:pageBreakBefore w:val="0"/>
              <w:widowControl w:val="0"/>
              <w:kinsoku/>
              <w:wordWrap/>
              <w:overflowPunct w:val="0"/>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2"/>
                <w:highlight w:val="none"/>
                <w:lang w:val="en-GB" w:eastAsia="zh-CN" w:bidi="ar-SA"/>
              </w:rPr>
            </w:pPr>
            <w:r>
              <w:rPr>
                <w:rFonts w:hint="default" w:ascii="Times New Roman" w:hAnsi="Times New Roman" w:eastAsia="宋体" w:cs="Times New Roman"/>
                <w:color w:val="auto"/>
                <w:kern w:val="2"/>
                <w:sz w:val="21"/>
                <w:szCs w:val="22"/>
                <w:highlight w:val="none"/>
                <w:lang w:val="en-GB" w:eastAsia="zh-CN" w:bidi="ar-SA"/>
              </w:rPr>
              <w:t>三</w:t>
            </w:r>
          </w:p>
        </w:tc>
        <w:tc>
          <w:tcPr>
            <w:tcW w:w="2251" w:type="dxa"/>
            <w:tcBorders>
              <w:top w:val="single" w:color="auto" w:sz="4" w:space="0"/>
              <w:left w:val="single" w:color="auto" w:sz="4" w:space="0"/>
              <w:bottom w:val="single" w:color="auto" w:sz="4" w:space="0"/>
              <w:right w:val="single" w:color="auto" w:sz="4" w:space="0"/>
            </w:tcBorders>
            <w:shd w:val="clear" w:color="auto" w:fill="auto"/>
            <w:vAlign w:val="center"/>
          </w:tcPr>
          <w:p w14:paraId="31CE3D61">
            <w:pPr>
              <w:keepNext w:val="0"/>
              <w:keepLines w:val="0"/>
              <w:pageBreakBefore w:val="0"/>
              <w:widowControl w:val="0"/>
              <w:kinsoku/>
              <w:wordWrap/>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2"/>
                <w:highlight w:val="none"/>
                <w:lang w:val="en-GB" w:eastAsia="zh-CN" w:bidi="ar-SA"/>
              </w:rPr>
            </w:pPr>
            <w:r>
              <w:rPr>
                <w:rFonts w:hint="default" w:ascii="Times New Roman" w:hAnsi="Times New Roman" w:eastAsia="宋体" w:cs="Times New Roman"/>
                <w:color w:val="auto"/>
                <w:kern w:val="2"/>
                <w:sz w:val="21"/>
                <w:szCs w:val="22"/>
                <w:highlight w:val="none"/>
                <w:lang w:val="en-GB" w:eastAsia="zh-CN" w:bidi="ar-SA"/>
              </w:rPr>
              <w:t>三</w:t>
            </w:r>
          </w:p>
        </w:tc>
      </w:tr>
    </w:tbl>
    <w:p w14:paraId="4D8BE26D">
      <w:pPr>
        <w:pageBreakBefore w:val="0"/>
        <w:kinsoku/>
        <w:wordWrap/>
        <w:overflowPunct w:val="0"/>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依据建设项目地下水环境影响评价工作等级划分中的要求，</w:t>
      </w:r>
      <w:r>
        <w:rPr>
          <w:rFonts w:hint="default" w:ascii="Times New Roman" w:hAnsi="Times New Roman" w:eastAsia="宋体" w:cs="Times New Roman"/>
          <w:color w:val="auto"/>
          <w:highlight w:val="none"/>
          <w:lang w:eastAsia="zh-CN"/>
        </w:rPr>
        <w:t>本</w:t>
      </w: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eastAsia="zh-CN"/>
        </w:rPr>
        <w:t>类别</w:t>
      </w:r>
      <w:r>
        <w:rPr>
          <w:rFonts w:hint="default" w:ascii="Times New Roman" w:hAnsi="Times New Roman" w:eastAsia="宋体" w:cs="Times New Roman"/>
          <w:color w:val="auto"/>
          <w:highlight w:val="none"/>
        </w:rPr>
        <w:t>为Ⅲ类</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环境敏感程度为“</w:t>
      </w:r>
      <w:r>
        <w:rPr>
          <w:rFonts w:hint="default" w:ascii="Times New Roman" w:hAnsi="Times New Roman" w:eastAsia="宋体" w:cs="Times New Roman"/>
          <w:color w:val="auto"/>
          <w:highlight w:val="none"/>
          <w:lang w:eastAsia="zh-CN"/>
        </w:rPr>
        <w:t>较</w:t>
      </w:r>
      <w:r>
        <w:rPr>
          <w:rFonts w:hint="default" w:ascii="Times New Roman" w:hAnsi="Times New Roman" w:eastAsia="宋体" w:cs="Times New Roman"/>
          <w:color w:val="auto"/>
          <w:highlight w:val="none"/>
        </w:rPr>
        <w:t>敏感”，确定本项目地下水评价工作等级为三级。</w:t>
      </w:r>
    </w:p>
    <w:p w14:paraId="5EF736C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（4）地下水评价范围</w:t>
      </w:r>
    </w:p>
    <w:p w14:paraId="3702516F">
      <w:pPr>
        <w:pageBreakBefore w:val="0"/>
        <w:kinsoku/>
        <w:wordWrap/>
        <w:topLinePunct w:val="0"/>
        <w:autoSpaceDE/>
        <w:bidi w:val="0"/>
        <w:snapToGrid w:val="0"/>
        <w:spacing w:line="360" w:lineRule="auto"/>
        <w:ind w:left="0" w:leftChars="0" w:right="0" w:rightChars="0" w:firstLine="480"/>
        <w:rPr>
          <w:rFonts w:hint="default" w:ascii="Times New Roman" w:hAnsi="Times New Roman" w:eastAsia="宋体" w:cs="Times New Roman"/>
          <w:color w:val="auto"/>
          <w:szCs w:val="24"/>
          <w:highlight w:val="none"/>
          <w:lang w:val="zh-CN"/>
        </w:rPr>
      </w:pPr>
      <w:r>
        <w:rPr>
          <w:rFonts w:hint="default" w:ascii="Times New Roman" w:hAnsi="Times New Roman" w:eastAsia="宋体" w:cs="Times New Roman"/>
          <w:color w:val="auto"/>
          <w:szCs w:val="24"/>
          <w:highlight w:val="none"/>
          <w:lang w:val="zh-CN"/>
        </w:rPr>
        <w:t>根据《</w:t>
      </w:r>
      <w:r>
        <w:rPr>
          <w:rFonts w:hint="default" w:ascii="Times New Roman" w:hAnsi="Times New Roman" w:eastAsia="宋体" w:cs="Times New Roman"/>
          <w:color w:val="auto"/>
          <w:szCs w:val="24"/>
          <w:highlight w:val="none"/>
          <w:lang w:val="zh-CN"/>
        </w:rPr>
        <w:t>环境影响评价技术导则</w:t>
      </w:r>
      <w:r>
        <w:rPr>
          <w:rFonts w:hint="default" w:ascii="Times New Roman" w:hAnsi="Times New Roman" w:eastAsia="宋体" w:cs="Times New Roman"/>
          <w:color w:val="auto"/>
          <w:szCs w:val="24"/>
          <w:highlight w:val="none"/>
          <w:lang w:val="zh-CN"/>
        </w:rPr>
        <w:t>地下水环境》（HJ610-2016），建设项目地下水环境影响现状调查评价范围可采用公式法、查表法和自定义法确定。本次评价采用查表法确定地下水评价范围。地下水环境现状调查评价范围参照表见下表。</w:t>
      </w:r>
    </w:p>
    <w:p w14:paraId="6C00F395">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表2.5-8地下水环境现状调查评价范围参照表</w:t>
      </w:r>
    </w:p>
    <w:tbl>
      <w:tblPr>
        <w:tblStyle w:val="4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87"/>
        <w:gridCol w:w="3254"/>
        <w:gridCol w:w="2836"/>
      </w:tblGrid>
      <w:tr w14:paraId="73CC6C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5" w:type="dxa"/>
            <w:vAlign w:val="center"/>
          </w:tcPr>
          <w:p w14:paraId="2B78EA5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评价等级</w:t>
            </w:r>
          </w:p>
        </w:tc>
        <w:tc>
          <w:tcPr>
            <w:tcW w:w="3543" w:type="dxa"/>
            <w:vAlign w:val="center"/>
          </w:tcPr>
          <w:p w14:paraId="488D018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调查评价范围（km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w:t>
            </w:r>
          </w:p>
        </w:tc>
        <w:tc>
          <w:tcPr>
            <w:tcW w:w="3085" w:type="dxa"/>
            <w:vAlign w:val="center"/>
          </w:tcPr>
          <w:p w14:paraId="70F6AD8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备注</w:t>
            </w:r>
          </w:p>
        </w:tc>
      </w:tr>
      <w:tr w14:paraId="0F463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5" w:type="dxa"/>
            <w:vAlign w:val="center"/>
          </w:tcPr>
          <w:p w14:paraId="5152DCE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p>
        </w:tc>
        <w:tc>
          <w:tcPr>
            <w:tcW w:w="3543" w:type="dxa"/>
            <w:vAlign w:val="center"/>
          </w:tcPr>
          <w:p w14:paraId="0876A33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3085" w:type="dxa"/>
            <w:vMerge w:val="restart"/>
            <w:vAlign w:val="center"/>
          </w:tcPr>
          <w:p w14:paraId="6D9468F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应包括重要的地下水环境保护目标，必要时适当扩大范围。</w:t>
            </w:r>
          </w:p>
        </w:tc>
      </w:tr>
      <w:tr w14:paraId="30FFD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5" w:type="dxa"/>
            <w:vAlign w:val="center"/>
          </w:tcPr>
          <w:p w14:paraId="668A195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3543" w:type="dxa"/>
            <w:vAlign w:val="center"/>
          </w:tcPr>
          <w:p w14:paraId="774D88D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6~20</w:t>
            </w:r>
          </w:p>
        </w:tc>
        <w:tc>
          <w:tcPr>
            <w:tcW w:w="3085" w:type="dxa"/>
            <w:vMerge w:val="continue"/>
            <w:vAlign w:val="center"/>
          </w:tcPr>
          <w:p w14:paraId="368BD4B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r w14:paraId="5123C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5" w:type="dxa"/>
            <w:vAlign w:val="center"/>
          </w:tcPr>
          <w:p w14:paraId="4942285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3543" w:type="dxa"/>
            <w:vAlign w:val="center"/>
          </w:tcPr>
          <w:p w14:paraId="7087868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3085" w:type="dxa"/>
            <w:vMerge w:val="continue"/>
            <w:vAlign w:val="center"/>
          </w:tcPr>
          <w:p w14:paraId="2786443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r>
    </w:tbl>
    <w:p w14:paraId="1C0FAC72">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本项目区下游无集中式地下水源地，</w:t>
      </w:r>
      <w:r>
        <w:rPr>
          <w:rFonts w:hint="default" w:ascii="Times New Roman" w:hAnsi="Times New Roman" w:eastAsia="宋体" w:cs="Times New Roman"/>
          <w:color w:val="auto"/>
          <w:highlight w:val="none"/>
          <w:lang w:eastAsia="zh-CN"/>
        </w:rPr>
        <w:t>地下水流向为</w:t>
      </w:r>
      <w:r>
        <w:rPr>
          <w:rFonts w:hint="default" w:ascii="Times New Roman" w:hAnsi="Times New Roman" w:eastAsia="宋体" w:cs="Times New Roman"/>
          <w:color w:val="auto"/>
          <w:highlight w:val="none"/>
        </w:rPr>
        <w:t>由</w:t>
      </w:r>
      <w:r>
        <w:rPr>
          <w:rFonts w:hint="default" w:ascii="Times New Roman" w:hAnsi="Times New Roman" w:eastAsia="宋体" w:cs="Times New Roman"/>
          <w:color w:val="auto"/>
          <w:highlight w:val="none"/>
          <w:lang w:eastAsia="zh-CN"/>
        </w:rPr>
        <w:t>北</w:t>
      </w:r>
      <w:r>
        <w:rPr>
          <w:rFonts w:hint="default" w:ascii="Times New Roman" w:hAnsi="Times New Roman" w:eastAsia="宋体" w:cs="Times New Roman"/>
          <w:color w:val="auto"/>
          <w:highlight w:val="none"/>
        </w:rPr>
        <w:t>向</w:t>
      </w:r>
      <w:r>
        <w:rPr>
          <w:rFonts w:hint="default" w:ascii="Times New Roman" w:hAnsi="Times New Roman" w:eastAsia="宋体" w:cs="Times New Roman"/>
          <w:color w:val="auto"/>
          <w:highlight w:val="none"/>
          <w:lang w:eastAsia="zh-CN"/>
        </w:rPr>
        <w:t>南</w:t>
      </w:r>
      <w:r>
        <w:rPr>
          <w:rFonts w:hint="default" w:ascii="Times New Roman" w:hAnsi="Times New Roman" w:eastAsia="宋体" w:cs="Times New Roman"/>
          <w:color w:val="auto"/>
          <w:highlight w:val="none"/>
        </w:rPr>
        <w:t>；本次调查评价范围：</w:t>
      </w:r>
      <w:r>
        <w:rPr>
          <w:rFonts w:hint="default" w:ascii="Times New Roman" w:hAnsi="Times New Roman" w:eastAsia="宋体" w:cs="Times New Roman"/>
          <w:color w:val="0000FF"/>
          <w:highlight w:val="none"/>
        </w:rPr>
        <w:t>上游</w:t>
      </w:r>
      <w:r>
        <w:rPr>
          <w:rFonts w:hint="default" w:ascii="Times New Roman" w:hAnsi="Times New Roman" w:eastAsia="宋体" w:cs="Times New Roman"/>
          <w:color w:val="0000FF"/>
          <w:highlight w:val="none"/>
          <w:lang w:eastAsia="zh-CN"/>
        </w:rPr>
        <w:t>西</w:t>
      </w:r>
      <w:r>
        <w:rPr>
          <w:rFonts w:hint="default" w:ascii="Times New Roman" w:hAnsi="Times New Roman" w:eastAsia="宋体" w:cs="Times New Roman"/>
          <w:color w:val="0000FF"/>
          <w:highlight w:val="none"/>
          <w:lang w:val="en-US" w:eastAsia="zh-CN"/>
        </w:rPr>
        <w:t>北</w:t>
      </w:r>
      <w:r>
        <w:rPr>
          <w:rFonts w:hint="default" w:ascii="Times New Roman" w:hAnsi="Times New Roman" w:eastAsia="宋体" w:cs="Times New Roman"/>
          <w:color w:val="0000FF"/>
          <w:highlight w:val="none"/>
        </w:rPr>
        <w:t>侧扩展</w:t>
      </w:r>
      <w:r>
        <w:rPr>
          <w:rFonts w:hint="default" w:ascii="Times New Roman" w:hAnsi="Times New Roman" w:eastAsia="宋体" w:cs="Times New Roman"/>
          <w:color w:val="0000FF"/>
          <w:highlight w:val="none"/>
          <w:lang w:val="en-US" w:eastAsia="zh-CN"/>
        </w:rPr>
        <w:t>1</w:t>
      </w:r>
      <w:r>
        <w:rPr>
          <w:rFonts w:hint="default" w:ascii="Times New Roman" w:hAnsi="Times New Roman" w:eastAsia="宋体" w:cs="Times New Roman"/>
          <w:color w:val="0000FF"/>
          <w:highlight w:val="none"/>
        </w:rPr>
        <w:t>km为界，</w:t>
      </w:r>
      <w:r>
        <w:rPr>
          <w:rFonts w:hint="default" w:ascii="Times New Roman" w:hAnsi="Times New Roman" w:eastAsia="宋体" w:cs="Times New Roman"/>
          <w:color w:val="0000FF"/>
          <w:highlight w:val="none"/>
          <w:lang w:eastAsia="zh-CN"/>
        </w:rPr>
        <w:t>两</w:t>
      </w:r>
      <w:r>
        <w:rPr>
          <w:rFonts w:hint="default" w:ascii="Times New Roman" w:hAnsi="Times New Roman" w:eastAsia="宋体" w:cs="Times New Roman"/>
          <w:color w:val="0000FF"/>
          <w:highlight w:val="none"/>
        </w:rPr>
        <w:t>侧向外扩展1.0km为界，下游</w:t>
      </w:r>
      <w:r>
        <w:rPr>
          <w:rFonts w:hint="default" w:ascii="Times New Roman" w:hAnsi="Times New Roman" w:eastAsia="宋体" w:cs="Times New Roman"/>
          <w:color w:val="0000FF"/>
          <w:highlight w:val="none"/>
          <w:lang w:eastAsia="zh-CN"/>
        </w:rPr>
        <w:t>东</w:t>
      </w:r>
      <w:r>
        <w:rPr>
          <w:rFonts w:hint="default" w:ascii="Times New Roman" w:hAnsi="Times New Roman" w:eastAsia="宋体" w:cs="Times New Roman"/>
          <w:color w:val="0000FF"/>
          <w:highlight w:val="none"/>
          <w:lang w:val="en-US" w:eastAsia="zh-CN"/>
        </w:rPr>
        <w:t>南</w:t>
      </w:r>
      <w:r>
        <w:rPr>
          <w:rFonts w:hint="default" w:ascii="Times New Roman" w:hAnsi="Times New Roman" w:eastAsia="宋体" w:cs="Times New Roman"/>
          <w:color w:val="0000FF"/>
          <w:highlight w:val="none"/>
          <w:lang w:eastAsia="zh-CN"/>
        </w:rPr>
        <w:t>侧</w:t>
      </w:r>
      <w:r>
        <w:rPr>
          <w:rFonts w:hint="default" w:ascii="Times New Roman" w:hAnsi="Times New Roman" w:eastAsia="宋体" w:cs="Times New Roman"/>
          <w:color w:val="0000FF"/>
          <w:highlight w:val="none"/>
        </w:rPr>
        <w:t>扩展</w:t>
      </w:r>
      <w:r>
        <w:rPr>
          <w:rFonts w:hint="default" w:ascii="Times New Roman" w:hAnsi="Times New Roman" w:eastAsia="宋体" w:cs="Times New Roman"/>
          <w:color w:val="0000FF"/>
          <w:highlight w:val="none"/>
          <w:lang w:val="en-US" w:eastAsia="zh-CN"/>
        </w:rPr>
        <w:t>2</w:t>
      </w:r>
      <w:r>
        <w:rPr>
          <w:rFonts w:hint="default" w:ascii="Times New Roman" w:hAnsi="Times New Roman" w:eastAsia="宋体" w:cs="Times New Roman"/>
          <w:color w:val="0000FF"/>
          <w:highlight w:val="none"/>
        </w:rPr>
        <w:t>km为界，面积约为6.0km</w:t>
      </w:r>
      <w:r>
        <w:rPr>
          <w:rFonts w:hint="default" w:ascii="Times New Roman" w:hAnsi="Times New Roman" w:eastAsia="宋体" w:cs="Times New Roman"/>
          <w:color w:val="0000FF"/>
          <w:highlight w:val="none"/>
          <w:vertAlign w:val="superscript"/>
        </w:rPr>
        <w:t>2</w:t>
      </w:r>
      <w:r>
        <w:rPr>
          <w:rFonts w:hint="default" w:ascii="Times New Roman" w:hAnsi="Times New Roman" w:eastAsia="宋体" w:cs="Times New Roman"/>
          <w:color w:val="0000FF"/>
          <w:highlight w:val="none"/>
        </w:rPr>
        <w:t>，如图2.6-1所示。</w:t>
      </w:r>
    </w:p>
    <w:p w14:paraId="7CF341A6">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lang w:val="en-GB"/>
        </w:rPr>
      </w:pPr>
      <w:bookmarkStart w:id="160" w:name="_Toc9611"/>
      <w:r>
        <w:rPr>
          <w:rFonts w:hint="default" w:ascii="Times New Roman" w:hAnsi="Times New Roman" w:eastAsia="宋体" w:cs="Times New Roman"/>
          <w:color w:val="auto"/>
          <w:highlight w:val="none"/>
          <w:lang w:val="en-GB"/>
        </w:rPr>
        <w:t>2.5.4土壤环境</w:t>
      </w:r>
      <w:bookmarkEnd w:id="160"/>
    </w:p>
    <w:p w14:paraId="4BDEF3F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（1）项目类别</w:t>
      </w:r>
    </w:p>
    <w:p w14:paraId="2434A2C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highlight w:val="none"/>
        </w:rPr>
        <w:t>本项目为</w:t>
      </w:r>
      <w:r>
        <w:rPr>
          <w:rFonts w:hint="default" w:ascii="Times New Roman" w:hAnsi="Times New Roman" w:eastAsia="宋体" w:cs="Times New Roman"/>
          <w:color w:val="auto"/>
          <w:highlight w:val="none"/>
          <w:lang w:eastAsia="zh-CN"/>
        </w:rPr>
        <w:t>规模化肉牛养殖项目，</w:t>
      </w:r>
      <w:r>
        <w:rPr>
          <w:rFonts w:hint="default" w:ascii="Times New Roman" w:hAnsi="Times New Roman" w:eastAsia="宋体" w:cs="Times New Roman"/>
          <w:color w:val="auto"/>
          <w:highlight w:val="none"/>
        </w:rPr>
        <w:t>位于</w:t>
      </w:r>
      <w:r>
        <w:rPr>
          <w:rFonts w:hint="default" w:ascii="Times New Roman" w:hAnsi="Times New Roman" w:eastAsia="宋体" w:cs="Times New Roman"/>
          <w:color w:val="auto"/>
          <w:sz w:val="24"/>
          <w:szCs w:val="24"/>
          <w:highlight w:val="none"/>
          <w:lang w:eastAsia="zh-CN"/>
        </w:rPr>
        <w:t>内蒙古自治区巴彦淖尔市乌拉特前旗大佘太镇马卜子村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highlight w:val="none"/>
          <w:lang w:val="en-GB"/>
        </w:rPr>
        <w:t>《</w:t>
      </w:r>
      <w:r>
        <w:rPr>
          <w:rFonts w:hint="default" w:ascii="Times New Roman" w:hAnsi="Times New Roman" w:eastAsia="宋体" w:cs="Times New Roman"/>
          <w:color w:val="auto"/>
          <w:highlight w:val="none"/>
          <w:lang w:val="en-GB" w:eastAsia="zh-CN"/>
        </w:rPr>
        <w:t>环境影响评价技术导则</w:t>
      </w:r>
      <w:r>
        <w:rPr>
          <w:rFonts w:hint="default" w:ascii="Times New Roman" w:hAnsi="Times New Roman" w:eastAsia="宋体" w:cs="Times New Roman"/>
          <w:color w:val="auto"/>
          <w:highlight w:val="none"/>
          <w:lang w:val="en-GB"/>
        </w:rPr>
        <w:t>土壤环境（试行）》（HJ964-2018）</w:t>
      </w:r>
      <w:r>
        <w:rPr>
          <w:rFonts w:hint="default" w:ascii="Times New Roman" w:hAnsi="Times New Roman" w:eastAsia="宋体" w:cs="Times New Roman"/>
          <w:color w:val="auto"/>
          <w:szCs w:val="24"/>
          <w:highlight w:val="none"/>
        </w:rPr>
        <w:t>附录A</w:t>
      </w:r>
      <w:r>
        <w:rPr>
          <w:rFonts w:hint="default" w:ascii="Times New Roman" w:hAnsi="Times New Roman" w:eastAsia="宋体" w:cs="Times New Roman"/>
          <w:color w:val="auto"/>
          <w:highlight w:val="none"/>
        </w:rPr>
        <w:t>土壤环境影响评价行业分类表，本项目</w:t>
      </w:r>
      <w:r>
        <w:rPr>
          <w:rFonts w:hint="default" w:ascii="Times New Roman" w:hAnsi="Times New Roman" w:eastAsia="宋体" w:cs="Times New Roman"/>
          <w:color w:val="auto"/>
          <w:szCs w:val="24"/>
          <w:highlight w:val="none"/>
        </w:rPr>
        <w:t>土壤环境影响评价项目</w:t>
      </w:r>
      <w:r>
        <w:rPr>
          <w:rFonts w:hint="default" w:ascii="Times New Roman" w:hAnsi="Times New Roman" w:eastAsia="宋体" w:cs="Times New Roman"/>
          <w:color w:val="auto"/>
          <w:szCs w:val="24"/>
          <w:highlight w:val="none"/>
          <w:lang w:eastAsia="zh-CN"/>
        </w:rPr>
        <w:t>类别为</w:t>
      </w:r>
      <w:r>
        <w:rPr>
          <w:rFonts w:hint="default" w:ascii="Times New Roman" w:hAnsi="Times New Roman" w:eastAsia="宋体" w:cs="Times New Roman"/>
          <w:color w:val="auto"/>
          <w:szCs w:val="24"/>
          <w:highlight w:val="none"/>
        </w:rPr>
        <w:fldChar w:fldCharType="begin"/>
      </w:r>
      <w:r>
        <w:rPr>
          <w:rFonts w:hint="default" w:ascii="Times New Roman" w:hAnsi="Times New Roman" w:eastAsia="宋体" w:cs="Times New Roman"/>
          <w:color w:val="auto"/>
          <w:szCs w:val="24"/>
          <w:highlight w:val="none"/>
        </w:rPr>
        <w:instrText xml:space="preserve"> = 3 \* ROMAN \* MERGEFORMAT </w:instrText>
      </w:r>
      <w:r>
        <w:rPr>
          <w:rFonts w:hint="default" w:ascii="Times New Roman" w:hAnsi="Times New Roman" w:eastAsia="宋体" w:cs="Times New Roman"/>
          <w:color w:val="auto"/>
          <w:szCs w:val="24"/>
          <w:highlight w:val="none"/>
        </w:rPr>
        <w:fldChar w:fldCharType="separate"/>
      </w:r>
      <w:r>
        <w:rPr>
          <w:rFonts w:hint="default" w:ascii="Times New Roman" w:hAnsi="Times New Roman" w:eastAsia="宋体" w:cs="Times New Roman"/>
          <w:color w:val="auto"/>
          <w:highlight w:val="none"/>
          <w:lang w:eastAsia="zh-CN"/>
        </w:rPr>
        <w:t>Ⅲ</w:t>
      </w:r>
      <w:r>
        <w:rPr>
          <w:rFonts w:hint="default" w:ascii="Times New Roman" w:hAnsi="Times New Roman" w:eastAsia="宋体" w:cs="Times New Roman"/>
          <w:color w:val="auto"/>
          <w:szCs w:val="24"/>
          <w:highlight w:val="none"/>
        </w:rPr>
        <w:fldChar w:fldCharType="end"/>
      </w:r>
      <w:r>
        <w:rPr>
          <w:rFonts w:hint="default" w:ascii="Times New Roman" w:hAnsi="Times New Roman" w:eastAsia="宋体" w:cs="Times New Roman"/>
          <w:color w:val="auto"/>
          <w:szCs w:val="24"/>
          <w:highlight w:val="none"/>
        </w:rPr>
        <w:t>类。</w:t>
      </w:r>
    </w:p>
    <w:p w14:paraId="72C3452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val="en-GB"/>
        </w:rPr>
      </w:pPr>
      <w:r>
        <w:rPr>
          <w:rFonts w:hint="default" w:ascii="Times New Roman" w:hAnsi="Times New Roman" w:eastAsia="宋体" w:cs="Times New Roman"/>
          <w:color w:val="auto"/>
          <w:highlight w:val="none"/>
          <w:lang w:val="en-GB"/>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val="en-GB"/>
        </w:rPr>
        <w:t>）</w:t>
      </w:r>
      <w:r>
        <w:rPr>
          <w:rFonts w:hint="default" w:ascii="Times New Roman" w:hAnsi="Times New Roman" w:eastAsia="宋体" w:cs="Times New Roman"/>
          <w:color w:val="auto"/>
          <w:highlight w:val="none"/>
          <w:lang w:eastAsia="zh-CN"/>
        </w:rPr>
        <w:t>土壤</w:t>
      </w:r>
      <w:r>
        <w:rPr>
          <w:rFonts w:hint="default" w:ascii="Times New Roman" w:hAnsi="Times New Roman" w:eastAsia="宋体" w:cs="Times New Roman"/>
          <w:color w:val="auto"/>
          <w:highlight w:val="none"/>
        </w:rPr>
        <w:t>环境敏感程度</w:t>
      </w:r>
    </w:p>
    <w:p w14:paraId="7594C4E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val="en-GB"/>
        </w:rPr>
      </w:pPr>
      <w:r>
        <w:rPr>
          <w:rFonts w:hint="default" w:ascii="Times New Roman" w:hAnsi="Times New Roman" w:eastAsia="宋体" w:cs="Times New Roman"/>
          <w:color w:val="auto"/>
          <w:highlight w:val="none"/>
          <w:lang w:val="en-GB"/>
        </w:rPr>
        <w:t>依据《</w:t>
      </w:r>
      <w:r>
        <w:rPr>
          <w:rFonts w:hint="default" w:ascii="Times New Roman" w:hAnsi="Times New Roman" w:eastAsia="宋体" w:cs="Times New Roman"/>
          <w:color w:val="auto"/>
          <w:highlight w:val="none"/>
          <w:lang w:val="en-GB" w:eastAsia="zh-CN"/>
        </w:rPr>
        <w:t>环境影响评价技术导则</w:t>
      </w:r>
      <w:r>
        <w:rPr>
          <w:rFonts w:hint="default" w:ascii="Times New Roman" w:hAnsi="Times New Roman" w:eastAsia="宋体" w:cs="Times New Roman"/>
          <w:color w:val="auto"/>
          <w:highlight w:val="none"/>
          <w:lang w:val="en-GB"/>
        </w:rPr>
        <w:t>土壤环境（试行）》（HJ964-2018），建设项目所在地周边的土壤环境敏感程度分为敏感、较敏感、不敏感，判别依据见表2.5-</w:t>
      </w:r>
      <w:r>
        <w:rPr>
          <w:rFonts w:hint="default"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lang w:val="en-GB"/>
        </w:rPr>
        <w:t>。</w:t>
      </w:r>
    </w:p>
    <w:p w14:paraId="19747E99">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sz w:val="23"/>
          <w:szCs w:val="23"/>
          <w:highlight w:val="none"/>
        </w:rPr>
      </w:pPr>
      <w:r>
        <w:rPr>
          <w:rFonts w:hint="default" w:ascii="Times New Roman" w:hAnsi="Times New Roman" w:eastAsia="宋体" w:cs="Times New Roman"/>
          <w:color w:val="auto"/>
          <w:highlight w:val="none"/>
        </w:rPr>
        <w:t>表2.5-</w:t>
      </w:r>
      <w:r>
        <w:rPr>
          <w:rFonts w:hint="default"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污染影响型敏感程度分级表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75"/>
        <w:gridCol w:w="6602"/>
      </w:tblGrid>
      <w:tr w14:paraId="5E1296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10" w:type="dxa"/>
            <w:tcBorders>
              <w:top w:val="single" w:color="auto" w:sz="4" w:space="0"/>
              <w:left w:val="single" w:color="auto" w:sz="4" w:space="0"/>
              <w:bottom w:val="single" w:color="auto" w:sz="4" w:space="0"/>
              <w:right w:val="single" w:color="auto" w:sz="4" w:space="0"/>
            </w:tcBorders>
            <w:vAlign w:val="center"/>
          </w:tcPr>
          <w:p w14:paraId="6BB767C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敏感程度</w:t>
            </w:r>
          </w:p>
        </w:tc>
        <w:tc>
          <w:tcPr>
            <w:tcW w:w="7193" w:type="dxa"/>
            <w:tcBorders>
              <w:top w:val="single" w:color="auto" w:sz="4" w:space="0"/>
              <w:left w:val="single" w:color="auto" w:sz="4" w:space="0"/>
              <w:bottom w:val="single" w:color="auto" w:sz="4" w:space="0"/>
              <w:right w:val="single" w:color="auto" w:sz="4" w:space="0"/>
            </w:tcBorders>
            <w:vAlign w:val="center"/>
          </w:tcPr>
          <w:p w14:paraId="2BAECAD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判别依据</w:t>
            </w:r>
          </w:p>
        </w:tc>
      </w:tr>
      <w:tr w14:paraId="2265C9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10" w:type="dxa"/>
            <w:tcBorders>
              <w:top w:val="single" w:color="auto" w:sz="4" w:space="0"/>
              <w:left w:val="single" w:color="auto" w:sz="4" w:space="0"/>
              <w:bottom w:val="single" w:color="auto" w:sz="4" w:space="0"/>
              <w:right w:val="single" w:color="auto" w:sz="4" w:space="0"/>
            </w:tcBorders>
            <w:vAlign w:val="center"/>
          </w:tcPr>
          <w:p w14:paraId="7FACB20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敏感</w:t>
            </w:r>
          </w:p>
        </w:tc>
        <w:tc>
          <w:tcPr>
            <w:tcW w:w="7193" w:type="dxa"/>
            <w:tcBorders>
              <w:top w:val="single" w:color="auto" w:sz="4" w:space="0"/>
              <w:left w:val="single" w:color="auto" w:sz="4" w:space="0"/>
              <w:bottom w:val="single" w:color="auto" w:sz="4" w:space="0"/>
              <w:right w:val="single" w:color="auto" w:sz="4" w:space="0"/>
            </w:tcBorders>
            <w:vAlign w:val="center"/>
          </w:tcPr>
          <w:p w14:paraId="7C0DECF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建设项目周边存在耕地、园地、牧草地、饮用水水源地或居民区、学校、医院、疗养院、养老院等土壤环境敏感目标的</w:t>
            </w:r>
          </w:p>
        </w:tc>
      </w:tr>
      <w:tr w14:paraId="7C7B165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10" w:type="dxa"/>
            <w:tcBorders>
              <w:top w:val="single" w:color="auto" w:sz="4" w:space="0"/>
              <w:left w:val="single" w:color="auto" w:sz="4" w:space="0"/>
              <w:bottom w:val="single" w:color="auto" w:sz="4" w:space="0"/>
              <w:right w:val="single" w:color="auto" w:sz="4" w:space="0"/>
            </w:tcBorders>
            <w:vAlign w:val="center"/>
          </w:tcPr>
          <w:p w14:paraId="6843DAA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较敏感</w:t>
            </w:r>
          </w:p>
        </w:tc>
        <w:tc>
          <w:tcPr>
            <w:tcW w:w="7193" w:type="dxa"/>
            <w:tcBorders>
              <w:top w:val="single" w:color="auto" w:sz="4" w:space="0"/>
              <w:left w:val="single" w:color="auto" w:sz="4" w:space="0"/>
              <w:bottom w:val="single" w:color="auto" w:sz="4" w:space="0"/>
              <w:right w:val="single" w:color="auto" w:sz="4" w:space="0"/>
            </w:tcBorders>
            <w:vAlign w:val="center"/>
          </w:tcPr>
          <w:p w14:paraId="67095F2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建设项目周边存在其他土壤环境敏感目标的</w:t>
            </w:r>
          </w:p>
        </w:tc>
      </w:tr>
      <w:tr w14:paraId="19879A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10" w:type="dxa"/>
            <w:tcBorders>
              <w:top w:val="single" w:color="auto" w:sz="4" w:space="0"/>
              <w:left w:val="single" w:color="auto" w:sz="4" w:space="0"/>
              <w:bottom w:val="single" w:color="auto" w:sz="4" w:space="0"/>
              <w:right w:val="single" w:color="auto" w:sz="4" w:space="0"/>
            </w:tcBorders>
            <w:vAlign w:val="center"/>
          </w:tcPr>
          <w:p w14:paraId="101208C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不敏感</w:t>
            </w:r>
          </w:p>
        </w:tc>
        <w:tc>
          <w:tcPr>
            <w:tcW w:w="7193" w:type="dxa"/>
            <w:tcBorders>
              <w:top w:val="single" w:color="auto" w:sz="4" w:space="0"/>
              <w:left w:val="single" w:color="auto" w:sz="4" w:space="0"/>
              <w:bottom w:val="single" w:color="auto" w:sz="4" w:space="0"/>
              <w:right w:val="single" w:color="auto" w:sz="4" w:space="0"/>
            </w:tcBorders>
            <w:vAlign w:val="center"/>
          </w:tcPr>
          <w:p w14:paraId="34C31BD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其他情况</w:t>
            </w:r>
          </w:p>
        </w:tc>
      </w:tr>
    </w:tbl>
    <w:p w14:paraId="09D5F9D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val="en-GB" w:eastAsia="zh-CN"/>
        </w:rPr>
      </w:pPr>
      <w:r>
        <w:rPr>
          <w:rFonts w:hint="default" w:ascii="Times New Roman" w:hAnsi="Times New Roman" w:eastAsia="宋体" w:cs="Times New Roman"/>
          <w:color w:val="auto"/>
          <w:highlight w:val="none"/>
          <w:lang w:val="en-GB"/>
        </w:rPr>
        <w:t>本项目周边存在</w:t>
      </w:r>
      <w:r>
        <w:rPr>
          <w:rFonts w:hint="default" w:ascii="Times New Roman" w:hAnsi="Times New Roman" w:eastAsia="宋体" w:cs="Times New Roman"/>
          <w:color w:val="auto"/>
          <w:highlight w:val="none"/>
          <w:lang w:val="en-GB" w:eastAsia="zh-CN"/>
        </w:rPr>
        <w:t>草地、耕地及设施农用地等</w:t>
      </w:r>
      <w:r>
        <w:rPr>
          <w:rFonts w:hint="default" w:ascii="Times New Roman" w:hAnsi="Times New Roman" w:eastAsia="宋体" w:cs="Times New Roman"/>
          <w:color w:val="auto"/>
          <w:highlight w:val="none"/>
          <w:lang w:val="en-GB"/>
        </w:rPr>
        <w:t>土壤环境敏感目标，敏感程度属于敏感</w:t>
      </w:r>
      <w:r>
        <w:rPr>
          <w:rFonts w:hint="default" w:ascii="Times New Roman" w:hAnsi="Times New Roman" w:eastAsia="宋体" w:cs="Times New Roman"/>
          <w:color w:val="auto"/>
          <w:highlight w:val="none"/>
          <w:lang w:val="en-GB" w:eastAsia="zh-CN"/>
        </w:rPr>
        <w:t>。</w:t>
      </w:r>
    </w:p>
    <w:p w14:paraId="67D733A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val="en-GB" w:eastAsia="zh-CN"/>
        </w:rPr>
      </w:pPr>
      <w:r>
        <w:rPr>
          <w:rFonts w:hint="default" w:ascii="Times New Roman" w:hAnsi="Times New Roman" w:eastAsia="宋体" w:cs="Times New Roman"/>
          <w:color w:val="auto"/>
          <w:highlight w:val="none"/>
          <w:lang w:val="en-GB" w:eastAsia="zh-CN"/>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val="en-GB" w:eastAsia="zh-CN"/>
        </w:rPr>
        <w:t>）</w:t>
      </w:r>
      <w:r>
        <w:rPr>
          <w:rFonts w:hint="default" w:ascii="Times New Roman" w:hAnsi="Times New Roman" w:eastAsia="宋体" w:cs="Times New Roman"/>
          <w:color w:val="auto"/>
          <w:highlight w:val="none"/>
          <w:lang w:val="en-GB"/>
        </w:rPr>
        <w:t>占地规模</w:t>
      </w:r>
    </w:p>
    <w:p w14:paraId="32CCF09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val="en-GB" w:eastAsia="zh-CN"/>
        </w:rPr>
      </w:pPr>
      <w:r>
        <w:rPr>
          <w:rFonts w:hint="default" w:ascii="Times New Roman" w:hAnsi="Times New Roman" w:eastAsia="宋体" w:cs="Times New Roman"/>
          <w:color w:val="auto"/>
          <w:highlight w:val="none"/>
          <w:lang w:val="en-GB"/>
        </w:rPr>
        <w:t>本项目占地规模5hm</w:t>
      </w:r>
      <w:r>
        <w:rPr>
          <w:rFonts w:hint="default" w:ascii="Times New Roman" w:hAnsi="Times New Roman" w:eastAsia="宋体" w:cs="Times New Roman"/>
          <w:color w:val="auto"/>
          <w:highlight w:val="none"/>
          <w:vertAlign w:val="superscript"/>
          <w:lang w:val="en-GB"/>
        </w:rPr>
        <w:t>2</w:t>
      </w:r>
      <w:r>
        <w:rPr>
          <w:rFonts w:hint="default" w:ascii="Times New Roman" w:hAnsi="Times New Roman" w:eastAsia="宋体" w:cs="Times New Roman"/>
          <w:color w:val="auto"/>
          <w:highlight w:val="none"/>
          <w:lang w:val="en-GB" w:eastAsia="zh-CN"/>
        </w:rPr>
        <w:t>＜</w:t>
      </w:r>
      <w:r>
        <w:rPr>
          <w:rFonts w:hint="default" w:ascii="Times New Roman" w:hAnsi="Times New Roman" w:eastAsia="宋体" w:cs="Times New Roman"/>
          <w:color w:val="auto"/>
          <w:highlight w:val="none"/>
          <w:lang w:val="en-GB"/>
        </w:rPr>
        <w:t>16</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GB"/>
        </w:rPr>
        <w:t>155536hm</w:t>
      </w:r>
      <w:r>
        <w:rPr>
          <w:rFonts w:hint="default" w:ascii="Times New Roman" w:hAnsi="Times New Roman" w:eastAsia="宋体" w:cs="Times New Roman"/>
          <w:color w:val="auto"/>
          <w:highlight w:val="none"/>
          <w:vertAlign w:val="superscript"/>
          <w:lang w:val="en-GB"/>
        </w:rPr>
        <w:t>2</w:t>
      </w:r>
      <w:r>
        <w:rPr>
          <w:rFonts w:hint="default" w:ascii="Times New Roman" w:hAnsi="Times New Roman" w:eastAsia="宋体" w:cs="Times New Roman"/>
          <w:color w:val="auto"/>
          <w:highlight w:val="none"/>
          <w:lang w:val="en-GB" w:eastAsia="zh-CN"/>
        </w:rPr>
        <w:t>＜</w:t>
      </w:r>
      <w:r>
        <w:rPr>
          <w:rFonts w:hint="default" w:ascii="Times New Roman" w:hAnsi="Times New Roman" w:eastAsia="宋体" w:cs="Times New Roman"/>
          <w:color w:val="auto"/>
          <w:highlight w:val="none"/>
          <w:lang w:val="en-GB"/>
        </w:rPr>
        <w:t>50hm</w:t>
      </w:r>
      <w:r>
        <w:rPr>
          <w:rFonts w:hint="default" w:ascii="Times New Roman" w:hAnsi="Times New Roman" w:eastAsia="宋体" w:cs="Times New Roman"/>
          <w:color w:val="auto"/>
          <w:highlight w:val="none"/>
          <w:vertAlign w:val="superscript"/>
          <w:lang w:val="en-GB"/>
        </w:rPr>
        <w:t>2</w:t>
      </w:r>
      <w:r>
        <w:rPr>
          <w:rFonts w:hint="default" w:ascii="Times New Roman" w:hAnsi="Times New Roman" w:eastAsia="宋体" w:cs="Times New Roman"/>
          <w:color w:val="auto"/>
          <w:highlight w:val="none"/>
          <w:lang w:val="en-GB"/>
        </w:rPr>
        <w:t>，占地规模为</w:t>
      </w:r>
      <w:r>
        <w:rPr>
          <w:rFonts w:hint="default" w:ascii="Times New Roman" w:hAnsi="Times New Roman" w:eastAsia="宋体" w:cs="Times New Roman"/>
          <w:color w:val="auto"/>
          <w:highlight w:val="none"/>
          <w:lang w:val="en-GB" w:eastAsia="zh-CN"/>
        </w:rPr>
        <w:t>中</w:t>
      </w:r>
      <w:r>
        <w:rPr>
          <w:rFonts w:hint="default" w:ascii="Times New Roman" w:hAnsi="Times New Roman" w:eastAsia="宋体" w:cs="Times New Roman"/>
          <w:color w:val="auto"/>
          <w:highlight w:val="none"/>
          <w:lang w:val="en-GB"/>
        </w:rPr>
        <w:t>型</w:t>
      </w:r>
      <w:r>
        <w:rPr>
          <w:rFonts w:hint="default" w:ascii="Times New Roman" w:hAnsi="Times New Roman" w:eastAsia="宋体" w:cs="Times New Roman"/>
          <w:color w:val="auto"/>
          <w:highlight w:val="none"/>
          <w:lang w:val="en-GB" w:eastAsia="zh-CN"/>
        </w:rPr>
        <w:t>。</w:t>
      </w:r>
    </w:p>
    <w:p w14:paraId="3253854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val="en-GB"/>
        </w:rPr>
      </w:pPr>
      <w:r>
        <w:rPr>
          <w:rFonts w:hint="default" w:ascii="Times New Roman" w:hAnsi="Times New Roman" w:eastAsia="宋体" w:cs="Times New Roman"/>
          <w:color w:val="auto"/>
          <w:highlight w:val="none"/>
          <w:lang w:val="en-GB"/>
        </w:rPr>
        <w:t>项目为污染影响型建设项目，评价工作等级划分见下表。</w:t>
      </w:r>
    </w:p>
    <w:p w14:paraId="45051C83">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lang w:val="en-GB"/>
        </w:rPr>
      </w:pPr>
      <w:r>
        <w:rPr>
          <w:rFonts w:hint="default" w:ascii="Times New Roman" w:hAnsi="Times New Roman" w:eastAsia="宋体" w:cs="Times New Roman"/>
          <w:color w:val="auto"/>
          <w:highlight w:val="none"/>
          <w:lang w:val="en-GB"/>
        </w:rPr>
        <w:t>表2.5-</w:t>
      </w:r>
      <w:r>
        <w:rPr>
          <w:rFonts w:hint="default" w:ascii="Times New Roman" w:hAnsi="Times New Roman" w:eastAsia="宋体" w:cs="Times New Roman"/>
          <w:color w:val="auto"/>
          <w:highlight w:val="none"/>
          <w:lang w:val="en-US" w:eastAsia="zh-CN"/>
        </w:rPr>
        <w:t>10</w:t>
      </w:r>
      <w:r>
        <w:rPr>
          <w:rFonts w:hint="default" w:ascii="Times New Roman" w:hAnsi="Times New Roman" w:eastAsia="宋体" w:cs="Times New Roman"/>
          <w:color w:val="auto"/>
          <w:highlight w:val="none"/>
          <w:lang w:val="en-GB"/>
        </w:rPr>
        <w:t>污染影响型评价工作等级划分表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770"/>
        <w:gridCol w:w="723"/>
        <w:gridCol w:w="723"/>
        <w:gridCol w:w="723"/>
        <w:gridCol w:w="723"/>
        <w:gridCol w:w="723"/>
        <w:gridCol w:w="723"/>
        <w:gridCol w:w="723"/>
        <w:gridCol w:w="723"/>
        <w:gridCol w:w="723"/>
      </w:tblGrid>
      <w:tr w14:paraId="6DFD72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57" w:type="dxa"/>
            <w:vMerge w:val="restart"/>
            <w:tcBorders>
              <w:top w:val="single" w:color="auto" w:sz="4" w:space="0"/>
              <w:left w:val="single" w:color="auto" w:sz="4" w:space="0"/>
              <w:bottom w:val="single" w:color="auto" w:sz="4" w:space="0"/>
              <w:right w:val="single" w:color="auto" w:sz="4" w:space="0"/>
            </w:tcBorders>
            <w:shd w:val="clear" w:color="auto" w:fill="auto"/>
            <w:vAlign w:val="center"/>
            <mc:AlternateContent>
              <mc:Choice Requires="wpsCustomData">
                <wpsCustomData:diagonals>
                  <wpsCustomData:diagonal from="14800" to="30000">
                    <wpsCustomData:border w:val="single" w:color="auto" w:sz="4" w:space="0"/>
                  </wpsCustomData:diagonal>
                  <wpsCustomData:diagonal from="30000" to="6300">
                    <wpsCustomData:border w:val="single" w:color="auto" w:sz="4" w:space="0"/>
                  </wpsCustomData:diagonal>
                </wpsCustomData:diagonals>
              </mc:Choice>
            </mc:AlternateContent>
          </w:tcPr>
          <w:p w14:paraId="3B7A6EA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mc:AlternateContent>
                <mc:Choice Requires="wpsCustomData">
                  <wpsCustomData:diagonalParaType/>
                </mc:Choice>
              </mc:AlternateContent>
              <w:rPr>
                <w:rFonts w:hint="default" w:ascii="Times New Roman" w:hAnsi="Times New Roman" w:eastAsia="宋体" w:cs="Times New Roman"/>
                <w:color w:val="auto"/>
                <w:sz w:val="21"/>
                <w:szCs w:val="21"/>
                <w:highlight w:val="none"/>
                <w:lang w:val="en-GB" w:eastAsia="zh-CN"/>
              </w:rPr>
            </w:pPr>
            <w:r>
              <w:rPr>
                <w:rFonts w:hint="default" w:ascii="Times New Roman" w:hAnsi="Times New Roman" w:eastAsia="宋体" w:cs="Times New Roman"/>
                <w:color w:val="auto"/>
                <w:sz w:val="21"/>
                <w:szCs w:val="21"/>
                <w:highlight w:val="none"/>
                <w:lang w:val="en-GB" w:eastAsia="zh-CN"/>
              </w:rPr>
              <w:t>敏感程度</w:t>
            </w:r>
          </w:p>
          <w:p w14:paraId="7629C66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mc:AlternateContent>
                <mc:Choice Requires="wpsCustomData">
                  <wpsCustomData:diagonalParaType/>
                </mc:Choice>
              </mc:AlternateContent>
              <w:rPr>
                <w:rFonts w:hint="default" w:ascii="Times New Roman" w:hAnsi="Times New Roman" w:eastAsia="宋体" w:cs="Times New Roman"/>
                <w:color w:val="auto"/>
                <w:sz w:val="21"/>
                <w:szCs w:val="21"/>
                <w:highlight w:val="none"/>
                <w:lang w:val="en-GB" w:eastAsia="zh-CN"/>
              </w:rPr>
            </w:pPr>
            <w:r>
              <w:rPr>
                <w:rFonts w:hint="default" w:ascii="Times New Roman" w:hAnsi="Times New Roman" w:eastAsia="宋体" w:cs="Times New Roman"/>
                <w:color w:val="auto"/>
                <w:sz w:val="21"/>
                <w:szCs w:val="21"/>
                <w:highlight w:val="none"/>
                <w:lang w:val="en-GB" w:eastAsia="zh-CN"/>
              </w:rPr>
              <w:t>评价工作等级</w:t>
            </w:r>
          </w:p>
          <w:p w14:paraId="43995EF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eastAsia="zh-CN"/>
              </w:rPr>
            </w:pPr>
            <w:r>
              <w:rPr>
                <w:rFonts w:hint="default" w:ascii="Times New Roman" w:hAnsi="Times New Roman" w:eastAsia="宋体" w:cs="Times New Roman"/>
                <w:color w:val="auto"/>
                <w:sz w:val="21"/>
                <w:szCs w:val="21"/>
                <w:highlight w:val="none"/>
                <w:lang w:val="en-GB" w:eastAsia="zh-CN"/>
              </w:rPr>
              <w:t>占地规模</w:t>
            </w:r>
          </w:p>
        </w:tc>
        <w:tc>
          <w:tcPr>
            <w:tcW w:w="2349"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5679797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Ⅰ类</w:t>
            </w:r>
          </w:p>
        </w:tc>
        <w:tc>
          <w:tcPr>
            <w:tcW w:w="2349"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50FC5ED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Ⅱ类</w:t>
            </w:r>
          </w:p>
        </w:tc>
        <w:tc>
          <w:tcPr>
            <w:tcW w:w="2349"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303623F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Ⅲ类</w:t>
            </w:r>
          </w:p>
        </w:tc>
      </w:tr>
      <w:tr w14:paraId="7DFC7E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57" w:hRule="atLeast"/>
          <w:jc w:val="center"/>
        </w:trPr>
        <w:tc>
          <w:tcPr>
            <w:tcW w:w="195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43FE85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5A48740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4EE0386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中</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2C33846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小</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0C473C1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3026912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中</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1C0F72A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小</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624B8E4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78407C3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中</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39910E8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小</w:t>
            </w:r>
          </w:p>
        </w:tc>
      </w:tr>
      <w:tr w14:paraId="45F8BD2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57" w:type="dxa"/>
            <w:tcBorders>
              <w:top w:val="single" w:color="auto" w:sz="4" w:space="0"/>
              <w:left w:val="single" w:color="auto" w:sz="4" w:space="0"/>
              <w:bottom w:val="single" w:color="auto" w:sz="4" w:space="0"/>
              <w:right w:val="single" w:color="auto" w:sz="4" w:space="0"/>
            </w:tcBorders>
            <w:shd w:val="clear" w:color="auto" w:fill="auto"/>
            <w:vAlign w:val="center"/>
          </w:tcPr>
          <w:p w14:paraId="26F82A8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敏感</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1060A92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一级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180AB1F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一级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1845A01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一级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485E991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shd w:val="clear"/>
                <w:lang w:val="en-GB"/>
              </w:rPr>
              <w:t>二级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43D5492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二级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7E4150D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二级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7FA7A8F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b w:val="0"/>
                <w:bCs w:val="0"/>
                <w:color w:val="auto"/>
                <w:sz w:val="21"/>
                <w:szCs w:val="21"/>
                <w:highlight w:val="none"/>
                <w:lang w:val="en-GB"/>
              </w:rPr>
              <w:t>三级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626DF55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lang w:val="en-GB"/>
              </w:rPr>
            </w:pPr>
            <w:r>
              <w:rPr>
                <w:rFonts w:hint="default" w:ascii="Times New Roman" w:hAnsi="Times New Roman" w:eastAsia="宋体" w:cs="Times New Roman"/>
                <w:b/>
                <w:bCs w:val="0"/>
                <w:color w:val="auto"/>
                <w:sz w:val="21"/>
                <w:szCs w:val="21"/>
                <w:highlight w:val="none"/>
                <w:lang w:val="en-GB"/>
              </w:rPr>
              <w:t>三级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6220551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三级</w:t>
            </w:r>
          </w:p>
        </w:tc>
      </w:tr>
      <w:tr w14:paraId="7E8894B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57" w:type="dxa"/>
            <w:tcBorders>
              <w:top w:val="single" w:color="auto" w:sz="4" w:space="0"/>
              <w:left w:val="single" w:color="auto" w:sz="4" w:space="0"/>
              <w:bottom w:val="single" w:color="auto" w:sz="4" w:space="0"/>
              <w:right w:val="single" w:color="auto" w:sz="4" w:space="0"/>
            </w:tcBorders>
            <w:shd w:val="clear" w:color="auto" w:fill="auto"/>
            <w:vAlign w:val="center"/>
          </w:tcPr>
          <w:p w14:paraId="138EB3C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较敏感</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613E2FF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一级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42909BB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一级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7341FD8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二级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1FB71FC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二级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63F0EE9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二级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136265D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三级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2741932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三级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39B51BA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三级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2597B03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w:t>
            </w:r>
          </w:p>
        </w:tc>
      </w:tr>
      <w:tr w14:paraId="2ACF0F4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57" w:type="dxa"/>
            <w:tcBorders>
              <w:top w:val="single" w:color="auto" w:sz="4" w:space="0"/>
              <w:left w:val="single" w:color="auto" w:sz="4" w:space="0"/>
              <w:bottom w:val="single" w:color="auto" w:sz="4" w:space="0"/>
              <w:right w:val="single" w:color="auto" w:sz="4" w:space="0"/>
            </w:tcBorders>
            <w:shd w:val="clear" w:color="auto" w:fill="auto"/>
            <w:vAlign w:val="center"/>
          </w:tcPr>
          <w:p w14:paraId="686560C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不敏感</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534DE24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一级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3CD35A3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二级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05675DD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lang w:val="en-GB"/>
              </w:rPr>
            </w:pPr>
            <w:r>
              <w:rPr>
                <w:rFonts w:hint="default" w:ascii="Times New Roman" w:hAnsi="Times New Roman" w:eastAsia="宋体" w:cs="Times New Roman"/>
                <w:bCs/>
                <w:color w:val="auto"/>
                <w:sz w:val="21"/>
                <w:szCs w:val="21"/>
                <w:highlight w:val="none"/>
                <w:lang w:val="en-GB"/>
              </w:rPr>
              <w:t>二级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44DF90A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二级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64A5E7D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三级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27651E5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三级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74F14DA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三级</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442E298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w:t>
            </w:r>
          </w:p>
        </w:tc>
        <w:tc>
          <w:tcPr>
            <w:tcW w:w="783" w:type="dxa"/>
            <w:tcBorders>
              <w:top w:val="single" w:color="auto" w:sz="4" w:space="0"/>
              <w:left w:val="single" w:color="auto" w:sz="4" w:space="0"/>
              <w:bottom w:val="single" w:color="auto" w:sz="4" w:space="0"/>
              <w:right w:val="single" w:color="auto" w:sz="4" w:space="0"/>
            </w:tcBorders>
            <w:shd w:val="clear" w:color="auto" w:fill="auto"/>
            <w:vAlign w:val="center"/>
          </w:tcPr>
          <w:p w14:paraId="094AB50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w:t>
            </w:r>
          </w:p>
        </w:tc>
      </w:tr>
    </w:tbl>
    <w:p w14:paraId="5C0F6FF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val="en-GB"/>
        </w:rPr>
      </w:pPr>
      <w:r>
        <w:rPr>
          <w:rFonts w:hint="default" w:ascii="Times New Roman" w:hAnsi="Times New Roman" w:eastAsia="宋体" w:cs="Times New Roman"/>
          <w:color w:val="auto"/>
          <w:highlight w:val="none"/>
          <w:lang w:val="en-GB"/>
        </w:rPr>
        <w:t>对照上表</w:t>
      </w:r>
      <w:r>
        <w:rPr>
          <w:rFonts w:hint="default" w:ascii="Times New Roman" w:hAnsi="Times New Roman" w:eastAsia="宋体" w:cs="Times New Roman"/>
          <w:color w:val="auto"/>
          <w:highlight w:val="none"/>
          <w:lang w:val="en-GB" w:eastAsia="zh-CN"/>
        </w:rPr>
        <w:t>，</w:t>
      </w:r>
      <w:r>
        <w:rPr>
          <w:rFonts w:hint="default" w:ascii="Times New Roman" w:hAnsi="Times New Roman" w:eastAsia="宋体" w:cs="Times New Roman"/>
          <w:color w:val="auto"/>
          <w:highlight w:val="none"/>
          <w:lang w:val="en-GB"/>
        </w:rPr>
        <w:t>确定项目土壤评价等级为</w:t>
      </w:r>
      <w:r>
        <w:rPr>
          <w:rFonts w:hint="default" w:ascii="Times New Roman" w:hAnsi="Times New Roman" w:eastAsia="宋体" w:cs="Times New Roman"/>
          <w:color w:val="auto"/>
          <w:highlight w:val="none"/>
          <w:lang w:val="en-GB" w:eastAsia="zh-CN"/>
        </w:rPr>
        <w:t>三</w:t>
      </w:r>
      <w:r>
        <w:rPr>
          <w:rFonts w:hint="default" w:ascii="Times New Roman" w:hAnsi="Times New Roman" w:eastAsia="宋体" w:cs="Times New Roman"/>
          <w:color w:val="auto"/>
          <w:highlight w:val="none"/>
          <w:lang w:val="en-GB"/>
        </w:rPr>
        <w:t>级。</w:t>
      </w:r>
    </w:p>
    <w:p w14:paraId="023C9C8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val="en-GB"/>
        </w:rPr>
      </w:pPr>
      <w:r>
        <w:rPr>
          <w:rFonts w:hint="default" w:ascii="Times New Roman" w:hAnsi="Times New Roman" w:eastAsia="宋体" w:cs="Times New Roman"/>
          <w:color w:val="auto"/>
          <w:highlight w:val="none"/>
          <w:lang w:val="en-GB"/>
        </w:rPr>
        <w:t>（</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val="en-GB"/>
        </w:rPr>
        <w:t>）评价范围</w:t>
      </w:r>
    </w:p>
    <w:p w14:paraId="7B0CE0D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val="en-GB"/>
        </w:rPr>
      </w:pPr>
      <w:r>
        <w:rPr>
          <w:rFonts w:hint="default" w:ascii="Times New Roman" w:hAnsi="Times New Roman" w:eastAsia="宋体" w:cs="Times New Roman"/>
          <w:color w:val="auto"/>
          <w:highlight w:val="none"/>
          <w:lang w:val="en-GB"/>
        </w:rPr>
        <w:t>依据《</w:t>
      </w:r>
      <w:r>
        <w:rPr>
          <w:rFonts w:hint="default" w:ascii="Times New Roman" w:hAnsi="Times New Roman" w:eastAsia="宋体" w:cs="Times New Roman"/>
          <w:color w:val="auto"/>
          <w:highlight w:val="none"/>
          <w:lang w:val="en-GB" w:eastAsia="zh-CN"/>
        </w:rPr>
        <w:t>环境影响评价技术导则</w:t>
      </w:r>
      <w:r>
        <w:rPr>
          <w:rFonts w:hint="default" w:ascii="Times New Roman" w:hAnsi="Times New Roman" w:eastAsia="宋体" w:cs="Times New Roman"/>
          <w:color w:val="auto"/>
          <w:highlight w:val="none"/>
          <w:lang w:val="en-GB"/>
        </w:rPr>
        <w:t>土壤环境（试行）》（HJ964-2018），项目为污染影响型，确定评价范围为工程占地范围及周边</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lang w:val="en-GB"/>
        </w:rPr>
        <w:t>0m范围内，如图2.6-</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val="en-GB"/>
        </w:rPr>
        <w:t>所示。</w:t>
      </w:r>
    </w:p>
    <w:p w14:paraId="410FA0C2">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lang w:val="en-GB"/>
        </w:rPr>
      </w:pPr>
      <w:bookmarkStart w:id="161" w:name="_Toc13087"/>
      <w:r>
        <w:rPr>
          <w:rFonts w:hint="default" w:ascii="Times New Roman" w:hAnsi="Times New Roman" w:eastAsia="宋体" w:cs="Times New Roman"/>
          <w:color w:val="auto"/>
          <w:highlight w:val="none"/>
          <w:lang w:val="en-GB"/>
        </w:rPr>
        <w:t>2.5.5声环境</w:t>
      </w:r>
      <w:bookmarkEnd w:id="161"/>
    </w:p>
    <w:p w14:paraId="68033323">
      <w:pPr>
        <w:pageBreakBefore w:val="0"/>
        <w:kinsoku/>
        <w:wordWrap/>
        <w:bidi w:val="0"/>
        <w:snapToGrid w:val="0"/>
        <w:spacing w:line="360" w:lineRule="auto"/>
        <w:ind w:left="0" w:leftChars="0" w:right="0" w:rightChars="0" w:firstLine="480"/>
        <w:outlineLvl w:val="2"/>
        <w:rPr>
          <w:rFonts w:hint="default" w:ascii="Times New Roman" w:hAnsi="Times New Roman" w:eastAsia="宋体" w:cs="Times New Roman"/>
          <w:color w:val="auto"/>
          <w:highlight w:val="none"/>
          <w:lang w:val="en-GB"/>
        </w:rPr>
      </w:pPr>
      <w:bookmarkStart w:id="162" w:name="_Toc19691"/>
      <w:bookmarkStart w:id="163" w:name="_Toc4020"/>
      <w:r>
        <w:rPr>
          <w:rFonts w:hint="default" w:ascii="Times New Roman" w:hAnsi="Times New Roman" w:eastAsia="宋体" w:cs="Times New Roman"/>
          <w:color w:val="auto"/>
          <w:highlight w:val="none"/>
          <w:lang w:val="en-GB"/>
        </w:rPr>
        <w:t>（1）评价等级</w:t>
      </w:r>
      <w:bookmarkEnd w:id="162"/>
      <w:bookmarkEnd w:id="163"/>
    </w:p>
    <w:p w14:paraId="02CC0CD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val="en-GB"/>
        </w:rPr>
      </w:pPr>
      <w:r>
        <w:rPr>
          <w:rFonts w:hint="default" w:ascii="Times New Roman" w:hAnsi="Times New Roman" w:eastAsia="宋体" w:cs="Times New Roman"/>
          <w:color w:val="auto"/>
          <w:highlight w:val="none"/>
          <w:lang w:val="en-GB"/>
        </w:rPr>
        <w:t>根据《</w:t>
      </w:r>
      <w:r>
        <w:rPr>
          <w:rFonts w:hint="default" w:ascii="Times New Roman" w:hAnsi="Times New Roman" w:eastAsia="宋体" w:cs="Times New Roman"/>
          <w:color w:val="auto"/>
          <w:highlight w:val="none"/>
          <w:lang w:val="en-GB" w:eastAsia="zh-CN"/>
        </w:rPr>
        <w:t>环境影响评价技术导则</w:t>
      </w:r>
      <w:r>
        <w:rPr>
          <w:rFonts w:hint="default" w:ascii="Times New Roman" w:hAnsi="Times New Roman" w:eastAsia="宋体" w:cs="Times New Roman"/>
          <w:color w:val="auto"/>
          <w:highlight w:val="none"/>
          <w:lang w:val="en-GB" w:eastAsia="zh-CN"/>
        </w:rPr>
        <w:t>声</w:t>
      </w:r>
      <w:r>
        <w:rPr>
          <w:rFonts w:hint="default" w:ascii="Times New Roman" w:hAnsi="Times New Roman" w:eastAsia="宋体" w:cs="Times New Roman"/>
          <w:color w:val="auto"/>
          <w:highlight w:val="none"/>
          <w:lang w:val="en-GB"/>
        </w:rPr>
        <w:t>环境》（</w:t>
      </w:r>
      <w:r>
        <w:rPr>
          <w:rFonts w:hint="default" w:ascii="Times New Roman" w:hAnsi="Times New Roman" w:eastAsia="宋体" w:cs="Times New Roman"/>
          <w:color w:val="auto"/>
          <w:highlight w:val="none"/>
          <w:lang w:val="en-GB" w:eastAsia="zh-CN"/>
        </w:rPr>
        <w:t>HJ2.4-2021</w:t>
      </w:r>
      <w:r>
        <w:rPr>
          <w:rFonts w:hint="default" w:ascii="Times New Roman" w:hAnsi="Times New Roman" w:eastAsia="宋体" w:cs="Times New Roman"/>
          <w:color w:val="auto"/>
          <w:highlight w:val="none"/>
          <w:lang w:val="en-GB"/>
        </w:rPr>
        <w:t>）中评价等级的划分，“建设项目所处的声环境功能区为《声环境质量标准》（GB3096-2008）规定的1类、2类地区，或建设项目建设前后评价范围内敏感目标噪声级增高量达3dB</w:t>
      </w:r>
      <w:r>
        <w:rPr>
          <w:rFonts w:hint="default" w:ascii="Times New Roman" w:hAnsi="Times New Roman" w:eastAsia="宋体" w:cs="Times New Roman"/>
          <w:color w:val="auto"/>
          <w:highlight w:val="none"/>
          <w:lang w:val="en-GB" w:eastAsia="zh-CN"/>
        </w:rPr>
        <w:t>（</w:t>
      </w:r>
      <w:r>
        <w:rPr>
          <w:rFonts w:hint="default" w:ascii="Times New Roman" w:hAnsi="Times New Roman" w:eastAsia="宋体" w:cs="Times New Roman"/>
          <w:color w:val="auto"/>
          <w:highlight w:val="none"/>
          <w:lang w:val="en-GB" w:eastAsia="zh-CN"/>
        </w:rPr>
        <w:t>A</w:t>
      </w:r>
      <w:r>
        <w:rPr>
          <w:rFonts w:hint="default" w:ascii="Times New Roman" w:hAnsi="Times New Roman" w:eastAsia="宋体" w:cs="Times New Roman"/>
          <w:color w:val="auto"/>
          <w:highlight w:val="none"/>
          <w:lang w:val="en-GB" w:eastAsia="zh-CN"/>
        </w:rPr>
        <w:t>）～</w:t>
      </w:r>
      <w:r>
        <w:rPr>
          <w:rFonts w:hint="default" w:ascii="Times New Roman" w:hAnsi="Times New Roman" w:eastAsia="宋体" w:cs="Times New Roman"/>
          <w:color w:val="auto"/>
          <w:highlight w:val="none"/>
          <w:lang w:val="en-GB"/>
        </w:rPr>
        <w:t>5dB</w:t>
      </w:r>
      <w:r>
        <w:rPr>
          <w:rFonts w:hint="default" w:ascii="Times New Roman" w:hAnsi="Times New Roman" w:eastAsia="宋体" w:cs="Times New Roman"/>
          <w:color w:val="auto"/>
          <w:highlight w:val="none"/>
          <w:lang w:val="en-GB" w:eastAsia="zh-CN"/>
        </w:rPr>
        <w:t>（</w:t>
      </w:r>
      <w:r>
        <w:rPr>
          <w:rFonts w:hint="default" w:ascii="Times New Roman" w:hAnsi="Times New Roman" w:eastAsia="宋体" w:cs="Times New Roman"/>
          <w:color w:val="auto"/>
          <w:highlight w:val="none"/>
          <w:lang w:val="en-GB" w:eastAsia="zh-CN"/>
        </w:rPr>
        <w:t>A</w:t>
      </w:r>
      <w:r>
        <w:rPr>
          <w:rFonts w:hint="default" w:ascii="Times New Roman" w:hAnsi="Times New Roman" w:eastAsia="宋体" w:cs="Times New Roman"/>
          <w:color w:val="auto"/>
          <w:highlight w:val="none"/>
          <w:lang w:val="en-GB" w:eastAsia="zh-CN"/>
        </w:rPr>
        <w:t>）</w:t>
      </w:r>
      <w:r>
        <w:rPr>
          <w:rFonts w:hint="default" w:ascii="Times New Roman" w:hAnsi="Times New Roman" w:eastAsia="宋体" w:cs="Times New Roman"/>
          <w:color w:val="auto"/>
          <w:highlight w:val="none"/>
          <w:lang w:val="en-GB"/>
        </w:rPr>
        <w:t>（含5dB</w:t>
      </w:r>
      <w:r>
        <w:rPr>
          <w:rFonts w:hint="default" w:ascii="Times New Roman" w:hAnsi="Times New Roman" w:eastAsia="宋体" w:cs="Times New Roman"/>
          <w:color w:val="auto"/>
          <w:highlight w:val="none"/>
          <w:lang w:val="en-GB" w:eastAsia="zh-CN"/>
        </w:rPr>
        <w:t>（</w:t>
      </w:r>
      <w:r>
        <w:rPr>
          <w:rFonts w:hint="default" w:ascii="Times New Roman" w:hAnsi="Times New Roman" w:eastAsia="宋体" w:cs="Times New Roman"/>
          <w:color w:val="auto"/>
          <w:highlight w:val="none"/>
          <w:lang w:val="en-GB" w:eastAsia="zh-CN"/>
        </w:rPr>
        <w:t>A</w:t>
      </w:r>
      <w:r>
        <w:rPr>
          <w:rFonts w:hint="default" w:ascii="Times New Roman" w:hAnsi="Times New Roman" w:eastAsia="宋体" w:cs="Times New Roman"/>
          <w:color w:val="auto"/>
          <w:highlight w:val="none"/>
          <w:lang w:val="en-GB" w:eastAsia="zh-CN"/>
        </w:rPr>
        <w:t>）</w:t>
      </w:r>
      <w:r>
        <w:rPr>
          <w:rFonts w:hint="default" w:ascii="Times New Roman" w:hAnsi="Times New Roman" w:eastAsia="宋体" w:cs="Times New Roman"/>
          <w:color w:val="auto"/>
          <w:highlight w:val="none"/>
          <w:lang w:val="en-GB"/>
        </w:rPr>
        <w:t>），或受噪声影响人口数量增加较多时，按二级评价”。</w:t>
      </w:r>
    </w:p>
    <w:p w14:paraId="1676723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val="en-GB"/>
        </w:rPr>
      </w:pPr>
      <w:r>
        <w:rPr>
          <w:rFonts w:hint="default" w:ascii="Times New Roman" w:hAnsi="Times New Roman" w:eastAsia="宋体" w:cs="Times New Roman"/>
          <w:color w:val="FFC000"/>
          <w:highlight w:val="none"/>
          <w:lang w:val="en-GB"/>
        </w:rPr>
        <w:t>本项目所处区域为（GB3096-2008）规定的</w:t>
      </w:r>
      <w:r>
        <w:rPr>
          <w:rFonts w:hint="default" w:ascii="Times New Roman" w:hAnsi="Times New Roman" w:eastAsia="宋体" w:cs="Times New Roman"/>
          <w:color w:val="FFC000"/>
          <w:highlight w:val="none"/>
          <w:lang w:val="en-US" w:eastAsia="zh-CN"/>
        </w:rPr>
        <w:t>1</w:t>
      </w:r>
      <w:r>
        <w:rPr>
          <w:rFonts w:hint="default" w:ascii="Times New Roman" w:hAnsi="Times New Roman" w:eastAsia="宋体" w:cs="Times New Roman"/>
          <w:color w:val="FFC000"/>
          <w:highlight w:val="none"/>
          <w:lang w:val="en-GB"/>
        </w:rPr>
        <w:t>类区，</w:t>
      </w:r>
      <w:r>
        <w:rPr>
          <w:rFonts w:hint="default" w:ascii="Times New Roman" w:hAnsi="Times New Roman" w:eastAsia="宋体" w:cs="Times New Roman"/>
          <w:color w:val="auto"/>
          <w:highlight w:val="none"/>
          <w:lang w:val="en-GB"/>
        </w:rPr>
        <w:t>项目建成后噪声增加值小于3dB</w:t>
      </w:r>
      <w:r>
        <w:rPr>
          <w:rFonts w:hint="default" w:ascii="Times New Roman" w:hAnsi="Times New Roman" w:eastAsia="宋体" w:cs="Times New Roman"/>
          <w:color w:val="auto"/>
          <w:highlight w:val="none"/>
          <w:lang w:val="en-GB" w:eastAsia="zh-CN"/>
        </w:rPr>
        <w:t>（</w:t>
      </w:r>
      <w:r>
        <w:rPr>
          <w:rFonts w:hint="default" w:ascii="Times New Roman" w:hAnsi="Times New Roman" w:eastAsia="宋体" w:cs="Times New Roman"/>
          <w:color w:val="auto"/>
          <w:highlight w:val="none"/>
          <w:lang w:val="en-GB" w:eastAsia="zh-CN"/>
        </w:rPr>
        <w:t>A</w:t>
      </w:r>
      <w:r>
        <w:rPr>
          <w:rFonts w:hint="default" w:ascii="Times New Roman" w:hAnsi="Times New Roman" w:eastAsia="宋体" w:cs="Times New Roman"/>
          <w:color w:val="auto"/>
          <w:highlight w:val="none"/>
          <w:lang w:val="en-GB" w:eastAsia="zh-CN"/>
        </w:rPr>
        <w:t>）</w:t>
      </w:r>
      <w:r>
        <w:rPr>
          <w:rFonts w:hint="default" w:ascii="Times New Roman" w:hAnsi="Times New Roman" w:eastAsia="宋体" w:cs="Times New Roman"/>
          <w:color w:val="auto"/>
          <w:highlight w:val="none"/>
          <w:lang w:val="en-GB"/>
        </w:rPr>
        <w:t>，且受项目噪声影响人口数量较小，根据《</w:t>
      </w:r>
      <w:r>
        <w:rPr>
          <w:rFonts w:hint="default" w:ascii="Times New Roman" w:hAnsi="Times New Roman" w:eastAsia="宋体" w:cs="Times New Roman"/>
          <w:color w:val="auto"/>
          <w:highlight w:val="none"/>
          <w:lang w:val="en-GB" w:eastAsia="zh-CN"/>
        </w:rPr>
        <w:t>环境影响评价技术导则</w:t>
      </w:r>
      <w:r>
        <w:rPr>
          <w:rFonts w:hint="default" w:ascii="Times New Roman" w:hAnsi="Times New Roman" w:eastAsia="宋体" w:cs="Times New Roman"/>
          <w:color w:val="auto"/>
          <w:highlight w:val="none"/>
          <w:lang w:val="en-GB"/>
        </w:rPr>
        <w:t>声环境》（</w:t>
      </w:r>
      <w:r>
        <w:rPr>
          <w:rFonts w:hint="default" w:ascii="Times New Roman" w:hAnsi="Times New Roman" w:eastAsia="宋体" w:cs="Times New Roman"/>
          <w:color w:val="auto"/>
          <w:highlight w:val="none"/>
          <w:lang w:val="en-GB" w:eastAsia="zh-CN"/>
        </w:rPr>
        <w:t>HJ2.4-2021</w:t>
      </w:r>
      <w:r>
        <w:rPr>
          <w:rFonts w:hint="default" w:ascii="Times New Roman" w:hAnsi="Times New Roman" w:eastAsia="宋体" w:cs="Times New Roman"/>
          <w:color w:val="auto"/>
          <w:highlight w:val="none"/>
          <w:lang w:val="en-GB"/>
        </w:rPr>
        <w:t>）中规定，确定噪声评价等级为二级。</w:t>
      </w:r>
    </w:p>
    <w:p w14:paraId="39DDC98E">
      <w:pPr>
        <w:pageBreakBefore w:val="0"/>
        <w:kinsoku/>
        <w:wordWrap/>
        <w:bidi w:val="0"/>
        <w:snapToGrid w:val="0"/>
        <w:spacing w:line="360" w:lineRule="auto"/>
        <w:ind w:left="0" w:leftChars="0" w:right="0" w:rightChars="0" w:firstLine="480"/>
        <w:outlineLvl w:val="2"/>
        <w:rPr>
          <w:rFonts w:hint="default" w:ascii="Times New Roman" w:hAnsi="Times New Roman" w:eastAsia="宋体" w:cs="Times New Roman"/>
          <w:color w:val="auto"/>
          <w:highlight w:val="none"/>
          <w:lang w:val="en-GB"/>
        </w:rPr>
      </w:pPr>
      <w:bookmarkStart w:id="164" w:name="_Toc16115"/>
      <w:bookmarkStart w:id="165" w:name="_Toc15656"/>
      <w:r>
        <w:rPr>
          <w:rFonts w:hint="default" w:ascii="Times New Roman" w:hAnsi="Times New Roman" w:eastAsia="宋体" w:cs="Times New Roman"/>
          <w:color w:val="auto"/>
          <w:highlight w:val="none"/>
          <w:lang w:val="en-GB"/>
        </w:rPr>
        <w:t>（2）评价范围</w:t>
      </w:r>
      <w:bookmarkEnd w:id="164"/>
      <w:bookmarkEnd w:id="165"/>
    </w:p>
    <w:p w14:paraId="531565B2">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val="en-GB"/>
        </w:rPr>
      </w:pPr>
      <w:r>
        <w:rPr>
          <w:rFonts w:hint="default" w:ascii="Times New Roman" w:hAnsi="Times New Roman" w:eastAsia="宋体" w:cs="Times New Roman"/>
          <w:color w:val="auto"/>
          <w:highlight w:val="none"/>
          <w:lang w:val="en-GB"/>
        </w:rPr>
        <w:t>根据项目特点，声环境评价范围确定为项目拟建厂边界外200m范围。</w:t>
      </w:r>
    </w:p>
    <w:p w14:paraId="39F1A8B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val="en-GB"/>
        </w:rPr>
      </w:pPr>
      <w:r>
        <w:rPr>
          <w:rFonts w:hint="default" w:ascii="Times New Roman" w:hAnsi="Times New Roman" w:eastAsia="宋体" w:cs="Times New Roman"/>
          <w:color w:val="auto"/>
          <w:highlight w:val="none"/>
          <w:lang w:val="en-GB"/>
        </w:rPr>
        <w:t>项目声环境评价范围如图2.6-</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val="en-GB"/>
        </w:rPr>
        <w:t>所示。</w:t>
      </w:r>
    </w:p>
    <w:p w14:paraId="55D3F1F3">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166" w:name="_Toc512871534"/>
      <w:bookmarkStart w:id="167" w:name="_Toc14069"/>
      <w:bookmarkStart w:id="168" w:name="_Toc9067"/>
      <w:r>
        <w:rPr>
          <w:rFonts w:hint="default" w:ascii="Times New Roman" w:hAnsi="Times New Roman" w:eastAsia="宋体" w:cs="Times New Roman"/>
          <w:color w:val="auto"/>
          <w:highlight w:val="none"/>
        </w:rPr>
        <w:t>2.5.6环境风险</w:t>
      </w:r>
      <w:bookmarkEnd w:id="166"/>
      <w:bookmarkEnd w:id="167"/>
      <w:bookmarkEnd w:id="168"/>
    </w:p>
    <w:p w14:paraId="2BEB4116">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FF0000"/>
          <w:highlight w:val="none"/>
        </w:rPr>
      </w:pPr>
      <w:bookmarkStart w:id="169" w:name="_Toc453603070"/>
      <w:bookmarkStart w:id="170" w:name="_Toc13748"/>
      <w:bookmarkStart w:id="171" w:name="_Toc512871533"/>
      <w:bookmarkStart w:id="172" w:name="_Toc452567815"/>
      <w:r>
        <w:rPr>
          <w:rFonts w:hint="default" w:ascii="Times New Roman" w:hAnsi="Times New Roman" w:eastAsia="宋体" w:cs="Times New Roman"/>
          <w:color w:val="FF0000"/>
          <w:highlight w:val="none"/>
        </w:rPr>
        <w:t>根据《建设项目环境风险评价技术导则》（HJ169-2018），环境风险评价等级划分为一级、二级、三级。根据建设项目涉及的物质及工艺系统危险性和所在地的环境敏感性确定环境风险潜势，然后根据风险潜势等级确定风险评价工作等级。</w:t>
      </w:r>
    </w:p>
    <w:p w14:paraId="3CFE6F7F">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rPr>
        <w:t>本项目生产、使用、储存过程原辅料为精饲料、草料、青贮饲料、产品为肉牛不涉及《建设项目环境风险评价技术导则》（HJ169-2018）附录B1中的“有毒有害、易燃易爆物质”的使用和储存；养殖区、</w:t>
      </w:r>
      <w:r>
        <w:rPr>
          <w:rFonts w:hint="default" w:ascii="Times New Roman" w:hAnsi="Times New Roman" w:eastAsia="宋体" w:cs="Times New Roman"/>
          <w:color w:val="FF0000"/>
          <w:highlight w:val="none"/>
          <w:lang w:eastAsia="zh-CN"/>
        </w:rPr>
        <w:t>粪污处理池</w:t>
      </w:r>
      <w:r>
        <w:rPr>
          <w:rFonts w:hint="default" w:ascii="Times New Roman" w:hAnsi="Times New Roman" w:eastAsia="宋体" w:cs="Times New Roman"/>
          <w:color w:val="FF0000"/>
          <w:highlight w:val="none"/>
        </w:rPr>
        <w:t>臭气（主要成分NH3、H2S）以无组织形式排放；危险废物主要为少量</w:t>
      </w:r>
      <w:r>
        <w:rPr>
          <w:rFonts w:hint="default" w:ascii="Times New Roman" w:hAnsi="Times New Roman" w:eastAsia="宋体" w:cs="Times New Roman"/>
          <w:color w:val="FF0000"/>
          <w:highlight w:val="none"/>
          <w:lang w:eastAsia="zh-CN"/>
        </w:rPr>
        <w:t>医疗垃圾</w:t>
      </w:r>
      <w:r>
        <w:rPr>
          <w:rFonts w:hint="default" w:ascii="Times New Roman" w:hAnsi="Times New Roman" w:eastAsia="宋体" w:cs="Times New Roman"/>
          <w:color w:val="FF0000"/>
          <w:highlight w:val="none"/>
        </w:rPr>
        <w:t>，对照附录B2，属于健康危险急性毒性物质，临界量为5t，</w:t>
      </w:r>
      <w:r>
        <w:rPr>
          <w:rFonts w:hint="default" w:ascii="Times New Roman" w:hAnsi="Times New Roman" w:eastAsia="宋体" w:cs="Times New Roman"/>
          <w:color w:val="FF0000"/>
          <w:highlight w:val="none"/>
          <w:lang w:eastAsia="zh-CN"/>
        </w:rPr>
        <w:t>医疗垃圾</w:t>
      </w:r>
      <w:r>
        <w:rPr>
          <w:rFonts w:hint="default" w:ascii="Times New Roman" w:hAnsi="Times New Roman" w:eastAsia="宋体" w:cs="Times New Roman"/>
          <w:color w:val="FF0000"/>
          <w:highlight w:val="none"/>
        </w:rPr>
        <w:t>年产生量0.</w:t>
      </w:r>
      <w:r>
        <w:rPr>
          <w:rFonts w:hint="default" w:ascii="Times New Roman" w:hAnsi="Times New Roman" w:eastAsia="宋体" w:cs="Times New Roman"/>
          <w:color w:val="FF0000"/>
          <w:highlight w:val="none"/>
          <w:lang w:val="en-US" w:eastAsia="zh-CN"/>
        </w:rPr>
        <w:t>2</w:t>
      </w:r>
      <w:r>
        <w:rPr>
          <w:rFonts w:hint="default" w:ascii="Times New Roman" w:hAnsi="Times New Roman" w:eastAsia="宋体" w:cs="Times New Roman"/>
          <w:color w:val="FF0000"/>
          <w:highlight w:val="none"/>
        </w:rPr>
        <w:t>5t，Q＜1，风险潜势为I，评价工作等级为简单分析，按照《建设项目环境风险评价技术导则》（HJ169-2018））中关于风险评价级别的确定依据，本次环境风险评价工作等级为简单分析。</w:t>
      </w:r>
    </w:p>
    <w:p w14:paraId="65126CFA">
      <w:pPr>
        <w:keepNext/>
        <w:keepLines/>
        <w:pageBreakBefore w:val="0"/>
        <w:kinsoku/>
        <w:wordWrap/>
        <w:bidi w:val="0"/>
        <w:snapToGrid w:val="0"/>
        <w:spacing w:line="360" w:lineRule="auto"/>
        <w:ind w:left="0" w:leftChars="0" w:right="0" w:rightChars="0" w:firstLine="0" w:firstLineChars="0"/>
        <w:jc w:val="center"/>
        <w:outlineLvl w:val="4"/>
        <w:rPr>
          <w:rFonts w:hint="default" w:ascii="Times New Roman" w:hAnsi="Times New Roman" w:eastAsia="宋体" w:cs="Times New Roman"/>
          <w:b/>
          <w:bCs/>
          <w:color w:val="auto"/>
          <w:szCs w:val="28"/>
          <w:highlight w:val="none"/>
        </w:rPr>
      </w:pPr>
      <w:r>
        <w:rPr>
          <w:rFonts w:hint="default" w:ascii="Times New Roman" w:hAnsi="Times New Roman" w:eastAsia="宋体" w:cs="Times New Roman"/>
          <w:b/>
          <w:bCs/>
          <w:color w:val="auto"/>
          <w:szCs w:val="28"/>
          <w:highlight w:val="none"/>
        </w:rPr>
        <w:t>表2.5-</w:t>
      </w:r>
      <w:r>
        <w:rPr>
          <w:rFonts w:hint="default" w:ascii="Times New Roman" w:hAnsi="Times New Roman" w:eastAsia="宋体" w:cs="Times New Roman"/>
          <w:b/>
          <w:bCs/>
          <w:color w:val="auto"/>
          <w:szCs w:val="28"/>
          <w:highlight w:val="none"/>
          <w:lang w:val="en-US" w:eastAsia="zh-CN"/>
        </w:rPr>
        <w:t>11</w:t>
      </w:r>
      <w:r>
        <w:rPr>
          <w:rFonts w:hint="default" w:ascii="Times New Roman" w:hAnsi="Times New Roman" w:eastAsia="宋体" w:cs="Times New Roman"/>
          <w:b/>
          <w:bCs/>
          <w:color w:val="auto"/>
          <w:szCs w:val="28"/>
          <w:highlight w:val="none"/>
        </w:rPr>
        <w:t>环境风险评价工作等级划分表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0"/>
        <w:gridCol w:w="1518"/>
        <w:gridCol w:w="1793"/>
        <w:gridCol w:w="2068"/>
        <w:gridCol w:w="1518"/>
      </w:tblGrid>
      <w:tr w14:paraId="59A919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4" w:type="dxa"/>
            <w:tcBorders>
              <w:top w:val="single" w:color="auto" w:sz="4" w:space="0"/>
              <w:left w:val="single" w:color="auto" w:sz="4" w:space="0"/>
            </w:tcBorders>
            <w:tcMar>
              <w:left w:w="0" w:type="dxa"/>
              <w:right w:w="0" w:type="dxa"/>
            </w:tcMar>
            <w:vAlign w:val="center"/>
          </w:tcPr>
          <w:p w14:paraId="660B9CC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环境风险潜势</w:t>
            </w:r>
          </w:p>
        </w:tc>
        <w:tc>
          <w:tcPr>
            <w:tcW w:w="1622" w:type="dxa"/>
            <w:tcBorders>
              <w:top w:val="single" w:color="auto" w:sz="4" w:space="0"/>
            </w:tcBorders>
            <w:tcMar>
              <w:left w:w="0" w:type="dxa"/>
              <w:right w:w="0" w:type="dxa"/>
            </w:tcMar>
            <w:vAlign w:val="center"/>
          </w:tcPr>
          <w:p w14:paraId="3B9BA30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4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lang w:eastAsia="zh-CN"/>
              </w:rPr>
              <w:t>Ⅳ</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4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lang w:eastAsia="zh-CN"/>
              </w:rPr>
              <w:t>Ⅳ</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w:t>
            </w:r>
          </w:p>
        </w:tc>
        <w:tc>
          <w:tcPr>
            <w:tcW w:w="1916" w:type="dxa"/>
            <w:tcBorders>
              <w:top w:val="single" w:color="auto" w:sz="4" w:space="0"/>
            </w:tcBorders>
            <w:tcMar>
              <w:left w:w="0" w:type="dxa"/>
              <w:right w:w="0" w:type="dxa"/>
            </w:tcMar>
            <w:vAlign w:val="center"/>
          </w:tcPr>
          <w:p w14:paraId="1142B41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3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lang w:eastAsia="zh-CN"/>
              </w:rPr>
              <w:t>Ⅲ</w:t>
            </w:r>
            <w:r>
              <w:rPr>
                <w:rFonts w:hint="default" w:ascii="Times New Roman" w:hAnsi="Times New Roman" w:eastAsia="宋体" w:cs="Times New Roman"/>
                <w:color w:val="auto"/>
                <w:sz w:val="21"/>
                <w:szCs w:val="21"/>
                <w:highlight w:val="none"/>
              </w:rPr>
              <w:fldChar w:fldCharType="end"/>
            </w:r>
          </w:p>
        </w:tc>
        <w:tc>
          <w:tcPr>
            <w:tcW w:w="2210" w:type="dxa"/>
            <w:tcBorders>
              <w:top w:val="single" w:color="auto" w:sz="4" w:space="0"/>
            </w:tcBorders>
            <w:tcMar>
              <w:left w:w="0" w:type="dxa"/>
              <w:right w:w="0" w:type="dxa"/>
            </w:tcMar>
            <w:vAlign w:val="center"/>
          </w:tcPr>
          <w:p w14:paraId="60D802C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2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lang w:eastAsia="zh-CN"/>
              </w:rPr>
              <w:t>Ⅱ</w:t>
            </w:r>
            <w:r>
              <w:rPr>
                <w:rFonts w:hint="default" w:ascii="Times New Roman" w:hAnsi="Times New Roman" w:eastAsia="宋体" w:cs="Times New Roman"/>
                <w:color w:val="auto"/>
                <w:sz w:val="21"/>
                <w:szCs w:val="21"/>
                <w:highlight w:val="none"/>
              </w:rPr>
              <w:fldChar w:fldCharType="end"/>
            </w:r>
          </w:p>
        </w:tc>
        <w:tc>
          <w:tcPr>
            <w:tcW w:w="1622" w:type="dxa"/>
            <w:tcBorders>
              <w:top w:val="single" w:color="auto" w:sz="4" w:space="0"/>
              <w:right w:val="single" w:color="auto" w:sz="4" w:space="0"/>
            </w:tcBorders>
            <w:tcMar>
              <w:left w:w="0" w:type="dxa"/>
              <w:right w:w="0" w:type="dxa"/>
            </w:tcMar>
            <w:vAlign w:val="center"/>
          </w:tcPr>
          <w:p w14:paraId="5B863B6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1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z w:val="21"/>
                <w:szCs w:val="21"/>
                <w:highlight w:val="none"/>
              </w:rPr>
              <w:fldChar w:fldCharType="end"/>
            </w:r>
          </w:p>
        </w:tc>
      </w:tr>
      <w:tr w14:paraId="5A486F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4" w:type="dxa"/>
            <w:tcBorders>
              <w:left w:val="single" w:color="auto" w:sz="4" w:space="0"/>
            </w:tcBorders>
            <w:tcMar>
              <w:left w:w="0" w:type="dxa"/>
              <w:right w:w="0" w:type="dxa"/>
            </w:tcMar>
            <w:vAlign w:val="center"/>
          </w:tcPr>
          <w:p w14:paraId="2C98D75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评价工作等级</w:t>
            </w:r>
          </w:p>
        </w:tc>
        <w:tc>
          <w:tcPr>
            <w:tcW w:w="1622" w:type="dxa"/>
            <w:tcMar>
              <w:left w:w="0" w:type="dxa"/>
              <w:right w:w="0" w:type="dxa"/>
            </w:tcMar>
            <w:vAlign w:val="center"/>
          </w:tcPr>
          <w:p w14:paraId="5D061A6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w:t>
            </w:r>
          </w:p>
        </w:tc>
        <w:tc>
          <w:tcPr>
            <w:tcW w:w="1916" w:type="dxa"/>
            <w:tcMar>
              <w:left w:w="0" w:type="dxa"/>
              <w:right w:w="0" w:type="dxa"/>
            </w:tcMar>
            <w:vAlign w:val="center"/>
          </w:tcPr>
          <w:p w14:paraId="7742DF4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w:t>
            </w:r>
          </w:p>
        </w:tc>
        <w:tc>
          <w:tcPr>
            <w:tcW w:w="2210" w:type="dxa"/>
            <w:tcMar>
              <w:left w:w="0" w:type="dxa"/>
              <w:right w:w="0" w:type="dxa"/>
            </w:tcMar>
            <w:vAlign w:val="center"/>
          </w:tcPr>
          <w:p w14:paraId="5F7027F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w:t>
            </w:r>
          </w:p>
        </w:tc>
        <w:tc>
          <w:tcPr>
            <w:tcW w:w="1622" w:type="dxa"/>
            <w:tcBorders>
              <w:right w:val="single" w:color="auto" w:sz="4" w:space="0"/>
            </w:tcBorders>
            <w:tcMar>
              <w:left w:w="0" w:type="dxa"/>
              <w:right w:w="0" w:type="dxa"/>
            </w:tcMar>
            <w:vAlign w:val="center"/>
          </w:tcPr>
          <w:p w14:paraId="41BB1AD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简单分析</w:t>
            </w:r>
          </w:p>
        </w:tc>
      </w:tr>
      <w:tr w14:paraId="4988A0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44" w:type="dxa"/>
            <w:gridSpan w:val="5"/>
            <w:tcBorders>
              <w:left w:val="single" w:color="auto" w:sz="4" w:space="0"/>
              <w:bottom w:val="single" w:color="auto" w:sz="4" w:space="0"/>
              <w:right w:val="single" w:color="auto" w:sz="4" w:space="0"/>
            </w:tcBorders>
            <w:tcMar>
              <w:left w:w="0" w:type="dxa"/>
              <w:right w:w="0" w:type="dxa"/>
            </w:tcMar>
            <w:vAlign w:val="center"/>
          </w:tcPr>
          <w:p w14:paraId="4420CA8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简单分析是相对于详细评价工作内容而言，在描述危险物质、环境影响途径、环境危害后果、风险防范措施等方面给出定性的说明</w:t>
            </w:r>
          </w:p>
        </w:tc>
      </w:tr>
    </w:tbl>
    <w:p w14:paraId="47161B1B">
      <w:pPr>
        <w:pageBreakBefore w:val="0"/>
        <w:widowControl w:val="0"/>
        <w:kinsoku/>
        <w:wordWrap/>
        <w:topLinePunct/>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由上表可知，本项目环境风险潜势I级，本次环境风险评价等级为简单分析，不设评价范围。</w:t>
      </w:r>
    </w:p>
    <w:p w14:paraId="18026C98">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173" w:name="_Toc7127"/>
      <w:r>
        <w:rPr>
          <w:rFonts w:hint="default" w:ascii="Times New Roman" w:hAnsi="Times New Roman" w:eastAsia="宋体" w:cs="Times New Roman"/>
          <w:color w:val="auto"/>
          <w:highlight w:val="none"/>
        </w:rPr>
        <w:t>2.5.7生态环境</w:t>
      </w:r>
      <w:bookmarkEnd w:id="169"/>
      <w:bookmarkEnd w:id="170"/>
      <w:bookmarkEnd w:id="171"/>
      <w:bookmarkEnd w:id="172"/>
      <w:bookmarkEnd w:id="173"/>
    </w:p>
    <w:p w14:paraId="0FBEA9AE">
      <w:pPr>
        <w:keepNext w:val="0"/>
        <w:keepLines w:val="0"/>
        <w:pageBreakBefore w:val="0"/>
        <w:widowControl w:val="0"/>
        <w:kinsoku/>
        <w:wordWrap/>
        <w:topLinePunct/>
        <w:autoSpaceDE w:val="0"/>
        <w:autoSpaceDN/>
        <w:bidi w:val="0"/>
        <w:adjustRightInd/>
        <w:snapToGrid w:val="0"/>
        <w:spacing w:line="360" w:lineRule="auto"/>
        <w:ind w:left="0" w:leftChars="0" w:right="0" w:rightChars="0" w:firstLine="480" w:firstLineChars="200"/>
        <w:jc w:val="both"/>
        <w:textAlignment w:val="auto"/>
        <w:outlineLvl w:val="2"/>
        <w:rPr>
          <w:rFonts w:hint="default" w:ascii="Times New Roman" w:hAnsi="Times New Roman" w:eastAsia="宋体" w:cs="Times New Roman"/>
          <w:color w:val="auto"/>
          <w:szCs w:val="24"/>
          <w:highlight w:val="none"/>
        </w:rPr>
      </w:pPr>
      <w:bookmarkStart w:id="174" w:name="_Toc3018"/>
      <w:bookmarkStart w:id="175" w:name="_Toc16297"/>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szCs w:val="24"/>
          <w:highlight w:val="none"/>
        </w:rPr>
        <w:t>1）工作等级</w:t>
      </w:r>
      <w:bookmarkEnd w:id="174"/>
      <w:bookmarkEnd w:id="175"/>
    </w:p>
    <w:p w14:paraId="01D32F79">
      <w:pPr>
        <w:keepNext w:val="0"/>
        <w:keepLines w:val="0"/>
        <w:pageBreakBefore w:val="0"/>
        <w:widowControl w:val="0"/>
        <w:kinsoku/>
        <w:wordWrap/>
        <w:topLinePunct/>
        <w:autoSpaceDE w:val="0"/>
        <w:autoSpaceDN/>
        <w:bidi w:val="0"/>
        <w:adjustRightInd/>
        <w:snapToGrid w:val="0"/>
        <w:spacing w:line="360" w:lineRule="auto"/>
        <w:ind w:left="0" w:leftChars="0" w:right="0" w:rightChars="0" w:firstLine="480" w:firstLineChars="200"/>
        <w:jc w:val="both"/>
        <w:textAlignment w:val="auto"/>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根据《</w:t>
      </w:r>
      <w:r>
        <w:rPr>
          <w:rFonts w:hint="default" w:ascii="Times New Roman" w:hAnsi="Times New Roman" w:eastAsia="宋体" w:cs="Times New Roman"/>
          <w:color w:val="auto"/>
          <w:szCs w:val="24"/>
          <w:highlight w:val="none"/>
          <w:lang w:eastAsia="zh-CN"/>
        </w:rPr>
        <w:t>环境影响评价技术导则</w:t>
      </w:r>
      <w:r>
        <w:rPr>
          <w:rFonts w:hint="default" w:ascii="Times New Roman" w:hAnsi="Times New Roman" w:eastAsia="宋体" w:cs="Times New Roman"/>
          <w:color w:val="auto"/>
          <w:szCs w:val="24"/>
          <w:highlight w:val="none"/>
        </w:rPr>
        <w:t>生态影响》（HJ19-2022）对项目的生态环境评价工作进行分级，本项目拟建位置不涉及国家公园、自然保护区、世界自然遗产、重要生境、自然公园、生态保护红线；不属于水文要素影响型且地表水评价等级不低于二级的建设项目；地下水水位和土壤影响范围内没有天然林、公益林、湿地等生态保护目标；工程永久占地和临时占地小于20km</w:t>
      </w:r>
      <w:r>
        <w:rPr>
          <w:rFonts w:hint="default" w:ascii="Times New Roman" w:hAnsi="Times New Roman" w:eastAsia="宋体" w:cs="Times New Roman"/>
          <w:color w:val="auto"/>
          <w:szCs w:val="24"/>
          <w:highlight w:val="none"/>
          <w:vertAlign w:val="superscript"/>
        </w:rPr>
        <w:t>2</w:t>
      </w:r>
      <w:r>
        <w:rPr>
          <w:rFonts w:hint="default" w:ascii="Times New Roman" w:hAnsi="Times New Roman" w:eastAsia="宋体" w:cs="Times New Roman"/>
          <w:color w:val="auto"/>
          <w:szCs w:val="24"/>
          <w:highlight w:val="none"/>
        </w:rPr>
        <w:t>范围。因此，本项目生态影响评价等级为三级。</w:t>
      </w:r>
    </w:p>
    <w:p w14:paraId="48E40352">
      <w:pPr>
        <w:keepNext w:val="0"/>
        <w:keepLines w:val="0"/>
        <w:pageBreakBefore w:val="0"/>
        <w:widowControl w:val="0"/>
        <w:kinsoku/>
        <w:wordWrap/>
        <w:topLinePunct/>
        <w:autoSpaceDE w:val="0"/>
        <w:autoSpaceDN/>
        <w:bidi w:val="0"/>
        <w:adjustRightInd/>
        <w:snapToGrid w:val="0"/>
        <w:spacing w:line="360" w:lineRule="auto"/>
        <w:ind w:left="0" w:leftChars="0" w:right="0" w:rightChars="0" w:firstLine="480" w:firstLineChars="200"/>
        <w:textAlignment w:val="auto"/>
        <w:outlineLvl w:val="2"/>
        <w:rPr>
          <w:rFonts w:hint="default" w:ascii="Times New Roman" w:hAnsi="Times New Roman" w:eastAsia="宋体" w:cs="Times New Roman"/>
          <w:color w:val="auto"/>
          <w:szCs w:val="24"/>
          <w:highlight w:val="none"/>
        </w:rPr>
      </w:pPr>
      <w:bookmarkStart w:id="176" w:name="_Toc25662"/>
      <w:bookmarkStart w:id="177" w:name="_Toc4155"/>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szCs w:val="24"/>
          <w:highlight w:val="none"/>
        </w:rPr>
        <w:t>2）评价范围</w:t>
      </w:r>
      <w:bookmarkEnd w:id="176"/>
      <w:bookmarkEnd w:id="177"/>
    </w:p>
    <w:p w14:paraId="021DE6CE">
      <w:pPr>
        <w:keepNext w:val="0"/>
        <w:keepLines w:val="0"/>
        <w:pageBreakBefore w:val="0"/>
        <w:widowControl w:val="0"/>
        <w:kinsoku/>
        <w:wordWrap/>
        <w:overflowPunct w:val="0"/>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color w:val="auto"/>
          <w:szCs w:val="24"/>
          <w:highlight w:val="none"/>
        </w:rPr>
        <w:t>项目生态影响评价工作等级为三级，且项目对生态影响较小，生态影响评价范围为项目边界外延1000m区域。具体见图2.</w:t>
      </w:r>
      <w:r>
        <w:rPr>
          <w:rFonts w:hint="default" w:ascii="Times New Roman" w:hAnsi="Times New Roman" w:eastAsia="宋体" w:cs="Times New Roman"/>
          <w:color w:val="auto"/>
          <w:szCs w:val="24"/>
          <w:highlight w:val="none"/>
          <w:lang w:val="en-US" w:eastAsia="zh-CN"/>
        </w:rPr>
        <w:t>6</w:t>
      </w:r>
      <w:r>
        <w:rPr>
          <w:rFonts w:hint="default" w:ascii="Times New Roman" w:hAnsi="Times New Roman" w:eastAsia="宋体" w:cs="Times New Roman"/>
          <w:color w:val="auto"/>
          <w:szCs w:val="24"/>
          <w:highlight w:val="none"/>
        </w:rPr>
        <w:t>-3</w:t>
      </w:r>
      <w:r>
        <w:rPr>
          <w:rFonts w:hint="default" w:ascii="Times New Roman" w:hAnsi="Times New Roman" w:eastAsia="宋体" w:cs="Times New Roman"/>
          <w:color w:val="auto"/>
          <w:highlight w:val="none"/>
        </w:rPr>
        <w:t>。</w:t>
      </w:r>
    </w:p>
    <w:p w14:paraId="6C8AC422">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178" w:name="_Toc512871538"/>
      <w:bookmarkStart w:id="179" w:name="_Toc9785"/>
      <w:r>
        <w:rPr>
          <w:rFonts w:hint="default" w:ascii="Times New Roman" w:hAnsi="Times New Roman" w:eastAsia="宋体" w:cs="Times New Roman"/>
          <w:color w:val="auto"/>
          <w:highlight w:val="none"/>
        </w:rPr>
        <w:t>2.6环境保护目标</w:t>
      </w:r>
      <w:bookmarkEnd w:id="178"/>
      <w:bookmarkEnd w:id="179"/>
    </w:p>
    <w:p w14:paraId="28822E8F">
      <w:pPr>
        <w:pageBreakBefore w:val="0"/>
        <w:kinsoku/>
        <w:wordWrap/>
        <w:overflowPunct w:val="0"/>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本次评价与环境保护目标的关系及其保护目标见表2.6-1，项目大气环境、地下水环境评价范围如图2.6-1所示</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土壤环境、声环境评价范围如图2.6-</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所示</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生态环境</w:t>
      </w:r>
      <w:r>
        <w:rPr>
          <w:rFonts w:hint="default" w:ascii="Times New Roman" w:hAnsi="Times New Roman" w:eastAsia="宋体" w:cs="Times New Roman"/>
          <w:color w:val="auto"/>
          <w:highlight w:val="none"/>
        </w:rPr>
        <w:t>评价范围如图2.6-</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所示。</w:t>
      </w:r>
    </w:p>
    <w:p w14:paraId="57AC4B86">
      <w:pPr>
        <w:pageBreakBefore w:val="0"/>
        <w:kinsoku/>
        <w:wordWrap/>
        <w:overflowPunct w:val="0"/>
        <w:bidi w:val="0"/>
        <w:snapToGrid w:val="0"/>
        <w:spacing w:line="360" w:lineRule="auto"/>
        <w:ind w:left="0" w:leftChars="0" w:right="0" w:rightChars="0" w:firstLine="480"/>
        <w:rPr>
          <w:rFonts w:hint="default" w:ascii="Times New Roman" w:hAnsi="Times New Roman" w:eastAsia="宋体" w:cs="Times New Roman"/>
          <w:color w:val="auto"/>
          <w:highlight w:val="none"/>
        </w:rPr>
        <w:sectPr>
          <w:pgSz w:w="11907" w:h="16839"/>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26" w:charSpace="0"/>
        </w:sectPr>
      </w:pPr>
    </w:p>
    <w:p w14:paraId="1045EDF0">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表2.6-1环境保护目标一览表</w:t>
      </w:r>
    </w:p>
    <w:tbl>
      <w:tblPr>
        <w:tblStyle w:val="40"/>
        <w:tblW w:w="136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1"/>
        <w:gridCol w:w="722"/>
        <w:gridCol w:w="1709"/>
        <w:gridCol w:w="1710"/>
        <w:gridCol w:w="1710"/>
        <w:gridCol w:w="864"/>
        <w:gridCol w:w="864"/>
        <w:gridCol w:w="864"/>
        <w:gridCol w:w="1428"/>
        <w:gridCol w:w="1261"/>
        <w:gridCol w:w="1753"/>
      </w:tblGrid>
      <w:tr w14:paraId="62FF1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3" w:type="dxa"/>
            <w:gridSpan w:val="2"/>
            <w:vMerge w:val="restart"/>
            <w:vAlign w:val="center"/>
          </w:tcPr>
          <w:p w14:paraId="1CCACB9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环境要素</w:t>
            </w:r>
          </w:p>
        </w:tc>
        <w:tc>
          <w:tcPr>
            <w:tcW w:w="3419" w:type="dxa"/>
            <w:gridSpan w:val="2"/>
            <w:vAlign w:val="center"/>
          </w:tcPr>
          <w:p w14:paraId="1E6A7A2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坐标</w:t>
            </w:r>
          </w:p>
        </w:tc>
        <w:tc>
          <w:tcPr>
            <w:tcW w:w="1710" w:type="dxa"/>
            <w:vMerge w:val="restart"/>
            <w:vAlign w:val="center"/>
          </w:tcPr>
          <w:p w14:paraId="4E5B1CD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保护对象</w:t>
            </w:r>
          </w:p>
        </w:tc>
        <w:tc>
          <w:tcPr>
            <w:tcW w:w="2592" w:type="dxa"/>
            <w:gridSpan w:val="3"/>
            <w:vAlign w:val="center"/>
          </w:tcPr>
          <w:p w14:paraId="6C4A845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保护内容</w:t>
            </w:r>
          </w:p>
        </w:tc>
        <w:tc>
          <w:tcPr>
            <w:tcW w:w="1428" w:type="dxa"/>
            <w:vMerge w:val="restart"/>
            <w:vAlign w:val="center"/>
          </w:tcPr>
          <w:p w14:paraId="207D7BE0">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相对厂址方位</w:t>
            </w:r>
          </w:p>
        </w:tc>
        <w:tc>
          <w:tcPr>
            <w:tcW w:w="1261" w:type="dxa"/>
            <w:vMerge w:val="restart"/>
            <w:vAlign w:val="center"/>
          </w:tcPr>
          <w:p w14:paraId="7B27F0C0">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相对厂界距离（m）</w:t>
            </w:r>
          </w:p>
        </w:tc>
        <w:tc>
          <w:tcPr>
            <w:tcW w:w="1753" w:type="dxa"/>
            <w:vMerge w:val="restart"/>
            <w:vAlign w:val="center"/>
          </w:tcPr>
          <w:p w14:paraId="3EE21D1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环境功能区</w:t>
            </w:r>
          </w:p>
        </w:tc>
      </w:tr>
      <w:tr w14:paraId="49997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3" w:type="dxa"/>
            <w:gridSpan w:val="2"/>
            <w:vMerge w:val="continue"/>
            <w:vAlign w:val="center"/>
          </w:tcPr>
          <w:p w14:paraId="24A60F5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709" w:type="dxa"/>
            <w:vAlign w:val="center"/>
          </w:tcPr>
          <w:p w14:paraId="47017E9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X</w:t>
            </w:r>
          </w:p>
        </w:tc>
        <w:tc>
          <w:tcPr>
            <w:tcW w:w="1710" w:type="dxa"/>
            <w:vAlign w:val="center"/>
          </w:tcPr>
          <w:p w14:paraId="0132FA4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Y</w:t>
            </w:r>
          </w:p>
        </w:tc>
        <w:tc>
          <w:tcPr>
            <w:tcW w:w="1710" w:type="dxa"/>
            <w:vMerge w:val="continue"/>
            <w:vAlign w:val="center"/>
          </w:tcPr>
          <w:p w14:paraId="712C340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864" w:type="dxa"/>
            <w:vAlign w:val="center"/>
          </w:tcPr>
          <w:p w14:paraId="283FCCAB">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内容</w:t>
            </w:r>
          </w:p>
        </w:tc>
        <w:tc>
          <w:tcPr>
            <w:tcW w:w="864" w:type="dxa"/>
            <w:vAlign w:val="center"/>
          </w:tcPr>
          <w:p w14:paraId="24E3E431">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户数</w:t>
            </w:r>
          </w:p>
        </w:tc>
        <w:tc>
          <w:tcPr>
            <w:tcW w:w="864" w:type="dxa"/>
            <w:vAlign w:val="center"/>
          </w:tcPr>
          <w:p w14:paraId="7906142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人数</w:t>
            </w:r>
          </w:p>
        </w:tc>
        <w:tc>
          <w:tcPr>
            <w:tcW w:w="1428" w:type="dxa"/>
            <w:vMerge w:val="continue"/>
            <w:vAlign w:val="center"/>
          </w:tcPr>
          <w:p w14:paraId="6116256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261" w:type="dxa"/>
            <w:vMerge w:val="continue"/>
            <w:vAlign w:val="center"/>
          </w:tcPr>
          <w:p w14:paraId="57BC949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753" w:type="dxa"/>
            <w:vMerge w:val="continue"/>
            <w:vAlign w:val="center"/>
          </w:tcPr>
          <w:p w14:paraId="56071556">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14:paraId="677F9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3" w:type="dxa"/>
            <w:gridSpan w:val="2"/>
            <w:vMerge w:val="restart"/>
            <w:vAlign w:val="center"/>
          </w:tcPr>
          <w:p w14:paraId="6DFFC066">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环境空气</w:t>
            </w:r>
          </w:p>
        </w:tc>
        <w:tc>
          <w:tcPr>
            <w:tcW w:w="1709" w:type="dxa"/>
            <w:vAlign w:val="center"/>
          </w:tcPr>
          <w:p w14:paraId="62C0FFD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N4</w:t>
            </w:r>
            <w:r>
              <w:rPr>
                <w:rFonts w:hint="default" w:ascii="Times New Roman" w:hAnsi="Times New Roman" w:eastAsia="宋体" w:cs="Times New Roman"/>
                <w:color w:val="FF0000"/>
                <w:sz w:val="21"/>
                <w:szCs w:val="21"/>
                <w:highlight w:val="none"/>
                <w:lang w:val="en-US" w:eastAsia="zh-CN"/>
              </w:rPr>
              <w:t>1</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val="en-US" w:eastAsia="zh-CN"/>
              </w:rPr>
              <w:t>07</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val="en-US" w:eastAsia="zh-CN"/>
              </w:rPr>
              <w:t>01</w:t>
            </w:r>
            <w:r>
              <w:rPr>
                <w:rFonts w:hint="default" w:ascii="Times New Roman" w:hAnsi="Times New Roman" w:eastAsia="宋体" w:cs="Times New Roman"/>
                <w:color w:val="FF0000"/>
                <w:sz w:val="21"/>
                <w:szCs w:val="21"/>
                <w:highlight w:val="none"/>
              </w:rPr>
              <w:t>"</w:t>
            </w:r>
          </w:p>
        </w:tc>
        <w:tc>
          <w:tcPr>
            <w:tcW w:w="1710" w:type="dxa"/>
            <w:vAlign w:val="center"/>
          </w:tcPr>
          <w:p w14:paraId="45F489F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E10</w:t>
            </w:r>
            <w:r>
              <w:rPr>
                <w:rFonts w:hint="default" w:ascii="Times New Roman" w:hAnsi="Times New Roman" w:eastAsia="宋体" w:cs="Times New Roman"/>
                <w:color w:val="FF0000"/>
                <w:sz w:val="21"/>
                <w:szCs w:val="21"/>
                <w:highlight w:val="none"/>
                <w:lang w:val="en-US" w:eastAsia="zh-CN"/>
              </w:rPr>
              <w:t>8</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val="en-US" w:eastAsia="zh-CN"/>
              </w:rPr>
              <w:t>55</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val="en-US" w:eastAsia="zh-CN"/>
              </w:rPr>
              <w:t>52</w:t>
            </w:r>
            <w:r>
              <w:rPr>
                <w:rFonts w:hint="default" w:ascii="Times New Roman" w:hAnsi="Times New Roman" w:eastAsia="宋体" w:cs="Times New Roman"/>
                <w:color w:val="FF0000"/>
                <w:sz w:val="21"/>
                <w:szCs w:val="21"/>
                <w:highlight w:val="none"/>
              </w:rPr>
              <w:t>"</w:t>
            </w:r>
          </w:p>
        </w:tc>
        <w:tc>
          <w:tcPr>
            <w:tcW w:w="1710" w:type="dxa"/>
            <w:vAlign w:val="center"/>
          </w:tcPr>
          <w:p w14:paraId="5EB407F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马卜子村</w:t>
            </w:r>
          </w:p>
        </w:tc>
        <w:tc>
          <w:tcPr>
            <w:tcW w:w="864" w:type="dxa"/>
            <w:vAlign w:val="center"/>
          </w:tcPr>
          <w:p w14:paraId="572B29A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rPr>
              <w:t>居民</w:t>
            </w:r>
          </w:p>
        </w:tc>
        <w:tc>
          <w:tcPr>
            <w:tcW w:w="864" w:type="dxa"/>
            <w:vAlign w:val="center"/>
          </w:tcPr>
          <w:p w14:paraId="7E0026A1">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6</w:t>
            </w:r>
          </w:p>
        </w:tc>
        <w:tc>
          <w:tcPr>
            <w:tcW w:w="864" w:type="dxa"/>
            <w:vAlign w:val="center"/>
          </w:tcPr>
          <w:p w14:paraId="2898DF8B">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16</w:t>
            </w:r>
          </w:p>
        </w:tc>
        <w:tc>
          <w:tcPr>
            <w:tcW w:w="1428" w:type="dxa"/>
            <w:vAlign w:val="center"/>
          </w:tcPr>
          <w:p w14:paraId="3C35F82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南侧</w:t>
            </w:r>
          </w:p>
        </w:tc>
        <w:tc>
          <w:tcPr>
            <w:tcW w:w="1261" w:type="dxa"/>
            <w:vAlign w:val="center"/>
          </w:tcPr>
          <w:p w14:paraId="4BC15B4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85</w:t>
            </w:r>
          </w:p>
        </w:tc>
        <w:tc>
          <w:tcPr>
            <w:tcW w:w="1753" w:type="dxa"/>
            <w:vMerge w:val="restart"/>
            <w:vAlign w:val="center"/>
          </w:tcPr>
          <w:p w14:paraId="428669B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《环境空气质量标准》（GB3095-2012）二类功能区标准</w:t>
            </w:r>
          </w:p>
        </w:tc>
      </w:tr>
      <w:tr w14:paraId="75D2F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3" w:type="dxa"/>
            <w:gridSpan w:val="2"/>
            <w:vMerge w:val="continue"/>
            <w:vAlign w:val="center"/>
          </w:tcPr>
          <w:p w14:paraId="072C33E4">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709" w:type="dxa"/>
            <w:vAlign w:val="center"/>
          </w:tcPr>
          <w:p w14:paraId="13C24B3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N4</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06</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55</w:t>
            </w:r>
            <w:r>
              <w:rPr>
                <w:rFonts w:hint="default" w:ascii="Times New Roman" w:hAnsi="Times New Roman" w:eastAsia="宋体" w:cs="Times New Roman"/>
                <w:color w:val="auto"/>
                <w:sz w:val="21"/>
                <w:szCs w:val="21"/>
                <w:highlight w:val="none"/>
              </w:rPr>
              <w:t>"</w:t>
            </w:r>
          </w:p>
        </w:tc>
        <w:tc>
          <w:tcPr>
            <w:tcW w:w="1710" w:type="dxa"/>
            <w:vAlign w:val="center"/>
          </w:tcPr>
          <w:p w14:paraId="6FBB47D4">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E10</w:t>
            </w: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54</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34</w:t>
            </w:r>
            <w:r>
              <w:rPr>
                <w:rFonts w:hint="default" w:ascii="Times New Roman" w:hAnsi="Times New Roman" w:eastAsia="宋体" w:cs="Times New Roman"/>
                <w:color w:val="auto"/>
                <w:sz w:val="21"/>
                <w:szCs w:val="21"/>
                <w:highlight w:val="none"/>
              </w:rPr>
              <w:t>"</w:t>
            </w:r>
          </w:p>
        </w:tc>
        <w:tc>
          <w:tcPr>
            <w:tcW w:w="1710" w:type="dxa"/>
            <w:vAlign w:val="center"/>
          </w:tcPr>
          <w:p w14:paraId="121428A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瓦窑滩五社</w:t>
            </w:r>
          </w:p>
        </w:tc>
        <w:tc>
          <w:tcPr>
            <w:tcW w:w="864" w:type="dxa"/>
            <w:vAlign w:val="center"/>
          </w:tcPr>
          <w:p w14:paraId="783EE78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居民</w:t>
            </w:r>
          </w:p>
        </w:tc>
        <w:tc>
          <w:tcPr>
            <w:tcW w:w="864" w:type="dxa"/>
            <w:vAlign w:val="center"/>
          </w:tcPr>
          <w:p w14:paraId="3FBB4E54">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45</w:t>
            </w:r>
          </w:p>
        </w:tc>
        <w:tc>
          <w:tcPr>
            <w:tcW w:w="864" w:type="dxa"/>
            <w:vAlign w:val="center"/>
          </w:tcPr>
          <w:p w14:paraId="2FD945C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120</w:t>
            </w:r>
          </w:p>
        </w:tc>
        <w:tc>
          <w:tcPr>
            <w:tcW w:w="1428" w:type="dxa"/>
            <w:vAlign w:val="center"/>
          </w:tcPr>
          <w:p w14:paraId="6DAA015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西南侧</w:t>
            </w:r>
          </w:p>
        </w:tc>
        <w:tc>
          <w:tcPr>
            <w:tcW w:w="1261" w:type="dxa"/>
            <w:vAlign w:val="center"/>
          </w:tcPr>
          <w:p w14:paraId="74916CF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1780</w:t>
            </w:r>
          </w:p>
        </w:tc>
        <w:tc>
          <w:tcPr>
            <w:tcW w:w="1753" w:type="dxa"/>
            <w:vMerge w:val="continue"/>
            <w:vAlign w:val="center"/>
          </w:tcPr>
          <w:p w14:paraId="1CFF6E00">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14:paraId="5A252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3" w:type="dxa"/>
            <w:gridSpan w:val="2"/>
            <w:vMerge w:val="continue"/>
            <w:vAlign w:val="center"/>
          </w:tcPr>
          <w:p w14:paraId="21FBD8D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709" w:type="dxa"/>
            <w:vAlign w:val="center"/>
          </w:tcPr>
          <w:p w14:paraId="068B844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B050"/>
                <w:kern w:val="2"/>
                <w:sz w:val="21"/>
                <w:szCs w:val="21"/>
                <w:highlight w:val="none"/>
                <w:lang w:val="en-US" w:eastAsia="zh-CN" w:bidi="ar-SA"/>
              </w:rPr>
            </w:pPr>
            <w:r>
              <w:rPr>
                <w:rFonts w:hint="default" w:ascii="Times New Roman" w:hAnsi="Times New Roman" w:eastAsia="宋体" w:cs="Times New Roman"/>
                <w:color w:val="00B050"/>
                <w:sz w:val="21"/>
                <w:szCs w:val="21"/>
                <w:highlight w:val="none"/>
              </w:rPr>
              <w:t>N4</w:t>
            </w:r>
            <w:r>
              <w:rPr>
                <w:rFonts w:hint="default" w:ascii="Times New Roman" w:hAnsi="Times New Roman" w:eastAsia="宋体" w:cs="Times New Roman"/>
                <w:color w:val="00B050"/>
                <w:sz w:val="21"/>
                <w:szCs w:val="21"/>
                <w:highlight w:val="none"/>
                <w:lang w:val="en-US" w:eastAsia="zh-CN"/>
              </w:rPr>
              <w:t>1</w:t>
            </w:r>
            <w:r>
              <w:rPr>
                <w:rFonts w:hint="default" w:ascii="Times New Roman" w:hAnsi="Times New Roman" w:eastAsia="宋体" w:cs="Times New Roman"/>
                <w:color w:val="00B050"/>
                <w:sz w:val="21"/>
                <w:szCs w:val="21"/>
                <w:highlight w:val="none"/>
              </w:rPr>
              <w:t>°</w:t>
            </w:r>
            <w:r>
              <w:rPr>
                <w:rFonts w:hint="default" w:ascii="Times New Roman" w:hAnsi="Times New Roman" w:eastAsia="宋体" w:cs="Times New Roman"/>
                <w:color w:val="00B050"/>
                <w:sz w:val="21"/>
                <w:szCs w:val="21"/>
                <w:highlight w:val="none"/>
                <w:lang w:val="en-US" w:eastAsia="zh-CN"/>
              </w:rPr>
              <w:t>0</w:t>
            </w:r>
            <w:r>
              <w:rPr>
                <w:rFonts w:hint="default" w:ascii="Times New Roman" w:hAnsi="Times New Roman" w:eastAsia="宋体" w:cs="Times New Roman"/>
                <w:color w:val="00B050"/>
                <w:sz w:val="21"/>
                <w:szCs w:val="21"/>
                <w:highlight w:val="none"/>
                <w:lang w:val="en-US" w:eastAsia="zh-CN"/>
              </w:rPr>
              <w:t>6</w:t>
            </w:r>
            <w:r>
              <w:rPr>
                <w:rFonts w:hint="default" w:ascii="Times New Roman" w:hAnsi="Times New Roman" w:eastAsia="宋体" w:cs="Times New Roman"/>
                <w:color w:val="00B050"/>
                <w:sz w:val="21"/>
                <w:szCs w:val="21"/>
                <w:highlight w:val="none"/>
              </w:rPr>
              <w:t>'</w:t>
            </w:r>
            <w:r>
              <w:rPr>
                <w:rFonts w:hint="default" w:ascii="Times New Roman" w:hAnsi="Times New Roman" w:eastAsia="宋体" w:cs="Times New Roman"/>
                <w:color w:val="00B050"/>
                <w:sz w:val="21"/>
                <w:szCs w:val="21"/>
                <w:highlight w:val="none"/>
                <w:lang w:val="en-US" w:eastAsia="zh-CN"/>
              </w:rPr>
              <w:t>57</w:t>
            </w:r>
            <w:r>
              <w:rPr>
                <w:rFonts w:hint="default" w:ascii="Times New Roman" w:hAnsi="Times New Roman" w:eastAsia="宋体" w:cs="Times New Roman"/>
                <w:color w:val="00B050"/>
                <w:sz w:val="21"/>
                <w:szCs w:val="21"/>
                <w:highlight w:val="none"/>
              </w:rPr>
              <w:t>"</w:t>
            </w:r>
          </w:p>
        </w:tc>
        <w:tc>
          <w:tcPr>
            <w:tcW w:w="1710" w:type="dxa"/>
            <w:vAlign w:val="center"/>
          </w:tcPr>
          <w:p w14:paraId="2FB8F7F4">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B050"/>
                <w:kern w:val="2"/>
                <w:sz w:val="21"/>
                <w:szCs w:val="21"/>
                <w:highlight w:val="none"/>
                <w:lang w:val="en-US" w:eastAsia="zh-CN" w:bidi="ar-SA"/>
              </w:rPr>
            </w:pPr>
            <w:r>
              <w:rPr>
                <w:rFonts w:hint="default" w:ascii="Times New Roman" w:hAnsi="Times New Roman" w:eastAsia="宋体" w:cs="Times New Roman"/>
                <w:color w:val="00B050"/>
                <w:sz w:val="21"/>
                <w:szCs w:val="21"/>
                <w:highlight w:val="none"/>
              </w:rPr>
              <w:t>E10</w:t>
            </w:r>
            <w:r>
              <w:rPr>
                <w:rFonts w:hint="default" w:ascii="Times New Roman" w:hAnsi="Times New Roman" w:eastAsia="宋体" w:cs="Times New Roman"/>
                <w:color w:val="00B050"/>
                <w:sz w:val="21"/>
                <w:szCs w:val="21"/>
                <w:highlight w:val="none"/>
                <w:lang w:val="en-US" w:eastAsia="zh-CN"/>
              </w:rPr>
              <w:t>8</w:t>
            </w:r>
            <w:r>
              <w:rPr>
                <w:rFonts w:hint="default" w:ascii="Times New Roman" w:hAnsi="Times New Roman" w:eastAsia="宋体" w:cs="Times New Roman"/>
                <w:color w:val="00B050"/>
                <w:sz w:val="21"/>
                <w:szCs w:val="21"/>
                <w:highlight w:val="none"/>
              </w:rPr>
              <w:t>°</w:t>
            </w:r>
            <w:r>
              <w:rPr>
                <w:rFonts w:hint="default" w:ascii="Times New Roman" w:hAnsi="Times New Roman" w:eastAsia="宋体" w:cs="Times New Roman"/>
                <w:color w:val="00B050"/>
                <w:sz w:val="21"/>
                <w:szCs w:val="21"/>
                <w:highlight w:val="none"/>
                <w:lang w:val="en-US" w:eastAsia="zh-CN"/>
              </w:rPr>
              <w:t>5</w:t>
            </w:r>
            <w:r>
              <w:rPr>
                <w:rFonts w:hint="default" w:ascii="Times New Roman" w:hAnsi="Times New Roman" w:eastAsia="宋体" w:cs="Times New Roman"/>
                <w:color w:val="00B050"/>
                <w:sz w:val="21"/>
                <w:szCs w:val="21"/>
                <w:highlight w:val="none"/>
                <w:lang w:val="en-US" w:eastAsia="zh-CN"/>
              </w:rPr>
              <w:t>6</w:t>
            </w:r>
            <w:r>
              <w:rPr>
                <w:rFonts w:hint="default" w:ascii="Times New Roman" w:hAnsi="Times New Roman" w:eastAsia="宋体" w:cs="Times New Roman"/>
                <w:color w:val="00B050"/>
                <w:sz w:val="21"/>
                <w:szCs w:val="21"/>
                <w:highlight w:val="none"/>
              </w:rPr>
              <w:t>'</w:t>
            </w:r>
            <w:r>
              <w:rPr>
                <w:rFonts w:hint="default" w:ascii="Times New Roman" w:hAnsi="Times New Roman" w:eastAsia="宋体" w:cs="Times New Roman"/>
                <w:color w:val="00B050"/>
                <w:sz w:val="21"/>
                <w:szCs w:val="21"/>
                <w:highlight w:val="none"/>
                <w:lang w:val="en-US" w:eastAsia="zh-CN"/>
              </w:rPr>
              <w:t>14</w:t>
            </w:r>
            <w:r>
              <w:rPr>
                <w:rFonts w:hint="default" w:ascii="Times New Roman" w:hAnsi="Times New Roman" w:eastAsia="宋体" w:cs="Times New Roman"/>
                <w:color w:val="00B050"/>
                <w:sz w:val="21"/>
                <w:szCs w:val="21"/>
                <w:highlight w:val="none"/>
              </w:rPr>
              <w:t>"</w:t>
            </w:r>
          </w:p>
        </w:tc>
        <w:tc>
          <w:tcPr>
            <w:tcW w:w="1710" w:type="dxa"/>
            <w:vAlign w:val="center"/>
          </w:tcPr>
          <w:p w14:paraId="2F492DB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B050"/>
                <w:kern w:val="2"/>
                <w:sz w:val="21"/>
                <w:szCs w:val="21"/>
                <w:highlight w:val="none"/>
                <w:lang w:val="en-US" w:eastAsia="zh-CN" w:bidi="ar-SA"/>
              </w:rPr>
            </w:pPr>
            <w:r>
              <w:rPr>
                <w:rFonts w:hint="default" w:ascii="Times New Roman" w:hAnsi="Times New Roman" w:eastAsia="宋体" w:cs="Times New Roman"/>
                <w:color w:val="00B050"/>
                <w:kern w:val="2"/>
                <w:sz w:val="21"/>
                <w:szCs w:val="21"/>
                <w:highlight w:val="none"/>
                <w:lang w:val="en-US" w:eastAsia="zh-CN" w:bidi="ar-SA"/>
              </w:rPr>
              <w:t>居民</w:t>
            </w:r>
          </w:p>
        </w:tc>
        <w:tc>
          <w:tcPr>
            <w:tcW w:w="864" w:type="dxa"/>
            <w:vAlign w:val="center"/>
          </w:tcPr>
          <w:p w14:paraId="4338EB5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B050"/>
                <w:kern w:val="2"/>
                <w:sz w:val="21"/>
                <w:szCs w:val="21"/>
                <w:highlight w:val="none"/>
                <w:lang w:val="en-US" w:eastAsia="zh-CN" w:bidi="ar-SA"/>
              </w:rPr>
            </w:pPr>
            <w:r>
              <w:rPr>
                <w:rFonts w:hint="default" w:ascii="Times New Roman" w:hAnsi="Times New Roman" w:eastAsia="宋体" w:cs="Times New Roman"/>
                <w:color w:val="00B050"/>
                <w:sz w:val="21"/>
                <w:szCs w:val="21"/>
                <w:highlight w:val="none"/>
              </w:rPr>
              <w:t>居民</w:t>
            </w:r>
          </w:p>
        </w:tc>
        <w:tc>
          <w:tcPr>
            <w:tcW w:w="864" w:type="dxa"/>
            <w:vAlign w:val="center"/>
          </w:tcPr>
          <w:p w14:paraId="46546624">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B050"/>
                <w:kern w:val="2"/>
                <w:sz w:val="21"/>
                <w:szCs w:val="21"/>
                <w:highlight w:val="none"/>
                <w:lang w:val="en-US" w:eastAsia="zh-CN" w:bidi="ar-SA"/>
              </w:rPr>
            </w:pPr>
            <w:r>
              <w:rPr>
                <w:rFonts w:hint="default" w:ascii="Times New Roman" w:hAnsi="Times New Roman" w:eastAsia="宋体" w:cs="Times New Roman"/>
                <w:color w:val="00B050"/>
                <w:sz w:val="21"/>
                <w:szCs w:val="21"/>
                <w:highlight w:val="none"/>
                <w:lang w:val="en-US" w:eastAsia="zh-CN"/>
              </w:rPr>
              <w:t>3</w:t>
            </w:r>
          </w:p>
        </w:tc>
        <w:tc>
          <w:tcPr>
            <w:tcW w:w="864" w:type="dxa"/>
            <w:vAlign w:val="center"/>
          </w:tcPr>
          <w:p w14:paraId="33BA7A70">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B050"/>
                <w:kern w:val="2"/>
                <w:sz w:val="21"/>
                <w:szCs w:val="21"/>
                <w:highlight w:val="none"/>
                <w:lang w:val="en-US" w:eastAsia="zh-CN" w:bidi="ar-SA"/>
              </w:rPr>
            </w:pPr>
            <w:r>
              <w:rPr>
                <w:rFonts w:hint="default" w:ascii="Times New Roman" w:hAnsi="Times New Roman" w:eastAsia="宋体" w:cs="Times New Roman"/>
                <w:color w:val="00B050"/>
                <w:sz w:val="21"/>
                <w:szCs w:val="21"/>
                <w:highlight w:val="none"/>
                <w:lang w:val="en-US" w:eastAsia="zh-CN"/>
              </w:rPr>
              <w:t>8</w:t>
            </w:r>
          </w:p>
        </w:tc>
        <w:tc>
          <w:tcPr>
            <w:tcW w:w="1428" w:type="dxa"/>
            <w:vAlign w:val="center"/>
          </w:tcPr>
          <w:p w14:paraId="27AD23C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B050"/>
                <w:kern w:val="2"/>
                <w:sz w:val="21"/>
                <w:szCs w:val="21"/>
                <w:highlight w:val="none"/>
                <w:lang w:val="en-US" w:eastAsia="zh-CN" w:bidi="ar-SA"/>
              </w:rPr>
            </w:pPr>
            <w:r>
              <w:rPr>
                <w:rFonts w:hint="default" w:ascii="Times New Roman" w:hAnsi="Times New Roman" w:eastAsia="宋体" w:cs="Times New Roman"/>
                <w:color w:val="00B050"/>
                <w:sz w:val="21"/>
                <w:szCs w:val="21"/>
                <w:highlight w:val="none"/>
                <w:lang w:val="en-US" w:eastAsia="zh-CN"/>
              </w:rPr>
              <w:t>东南侧</w:t>
            </w:r>
          </w:p>
        </w:tc>
        <w:tc>
          <w:tcPr>
            <w:tcW w:w="1261" w:type="dxa"/>
            <w:vAlign w:val="center"/>
          </w:tcPr>
          <w:p w14:paraId="7A23EEE7">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B050"/>
                <w:kern w:val="2"/>
                <w:sz w:val="21"/>
                <w:szCs w:val="21"/>
                <w:highlight w:val="none"/>
                <w:lang w:val="en-US" w:eastAsia="zh-CN" w:bidi="ar-SA"/>
              </w:rPr>
            </w:pPr>
            <w:r>
              <w:rPr>
                <w:rFonts w:hint="default" w:ascii="Times New Roman" w:hAnsi="Times New Roman" w:eastAsia="宋体" w:cs="Times New Roman"/>
                <w:color w:val="00B050"/>
                <w:sz w:val="21"/>
                <w:szCs w:val="21"/>
                <w:highlight w:val="none"/>
                <w:lang w:val="en-US" w:eastAsia="zh-CN"/>
              </w:rPr>
              <w:t>250</w:t>
            </w:r>
          </w:p>
        </w:tc>
        <w:tc>
          <w:tcPr>
            <w:tcW w:w="1753" w:type="dxa"/>
            <w:vMerge w:val="continue"/>
            <w:vAlign w:val="center"/>
          </w:tcPr>
          <w:p w14:paraId="19F365E0">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14:paraId="4FEF4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3" w:type="dxa"/>
            <w:gridSpan w:val="2"/>
            <w:vMerge w:val="continue"/>
            <w:vAlign w:val="center"/>
          </w:tcPr>
          <w:p w14:paraId="7A70343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709" w:type="dxa"/>
            <w:vAlign w:val="center"/>
          </w:tcPr>
          <w:p w14:paraId="30A155A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N4</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05</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58</w:t>
            </w:r>
            <w:r>
              <w:rPr>
                <w:rFonts w:hint="default" w:ascii="Times New Roman" w:hAnsi="Times New Roman" w:eastAsia="宋体" w:cs="Times New Roman"/>
                <w:color w:val="auto"/>
                <w:sz w:val="21"/>
                <w:szCs w:val="21"/>
                <w:highlight w:val="none"/>
              </w:rPr>
              <w:t>"</w:t>
            </w:r>
          </w:p>
        </w:tc>
        <w:tc>
          <w:tcPr>
            <w:tcW w:w="1710" w:type="dxa"/>
            <w:vAlign w:val="center"/>
          </w:tcPr>
          <w:p w14:paraId="6C0CB51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E10</w:t>
            </w: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57</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w:t>
            </w:r>
          </w:p>
        </w:tc>
        <w:tc>
          <w:tcPr>
            <w:tcW w:w="1710" w:type="dxa"/>
            <w:vAlign w:val="center"/>
          </w:tcPr>
          <w:p w14:paraId="753911B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砖圪旦</w:t>
            </w:r>
          </w:p>
        </w:tc>
        <w:tc>
          <w:tcPr>
            <w:tcW w:w="864" w:type="dxa"/>
            <w:vAlign w:val="center"/>
          </w:tcPr>
          <w:p w14:paraId="40A24EA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居民</w:t>
            </w:r>
          </w:p>
        </w:tc>
        <w:tc>
          <w:tcPr>
            <w:tcW w:w="864" w:type="dxa"/>
            <w:vAlign w:val="center"/>
          </w:tcPr>
          <w:p w14:paraId="7D4D23A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22</w:t>
            </w:r>
          </w:p>
        </w:tc>
        <w:tc>
          <w:tcPr>
            <w:tcW w:w="864" w:type="dxa"/>
            <w:vAlign w:val="center"/>
          </w:tcPr>
          <w:p w14:paraId="7BFFB63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46</w:t>
            </w:r>
          </w:p>
        </w:tc>
        <w:tc>
          <w:tcPr>
            <w:tcW w:w="1428" w:type="dxa"/>
            <w:vAlign w:val="center"/>
          </w:tcPr>
          <w:p w14:paraId="147E235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东南侧</w:t>
            </w:r>
          </w:p>
        </w:tc>
        <w:tc>
          <w:tcPr>
            <w:tcW w:w="1261" w:type="dxa"/>
            <w:vAlign w:val="center"/>
          </w:tcPr>
          <w:p w14:paraId="348FE9FF">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2650</w:t>
            </w:r>
          </w:p>
        </w:tc>
        <w:tc>
          <w:tcPr>
            <w:tcW w:w="1753" w:type="dxa"/>
            <w:vMerge w:val="continue"/>
            <w:vAlign w:val="center"/>
          </w:tcPr>
          <w:p w14:paraId="2A700A5F">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14:paraId="6AB24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3" w:type="dxa"/>
            <w:gridSpan w:val="2"/>
            <w:vMerge w:val="continue"/>
            <w:vAlign w:val="center"/>
          </w:tcPr>
          <w:p w14:paraId="0E440DE7">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709" w:type="dxa"/>
            <w:vAlign w:val="center"/>
          </w:tcPr>
          <w:p w14:paraId="77532BF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N4</w:t>
            </w:r>
            <w:r>
              <w:rPr>
                <w:rFonts w:hint="default" w:ascii="Times New Roman" w:hAnsi="Times New Roman" w:eastAsia="宋体" w:cs="Times New Roman"/>
                <w:color w:val="FF0000"/>
                <w:sz w:val="21"/>
                <w:szCs w:val="21"/>
                <w:highlight w:val="none"/>
                <w:lang w:val="en-US" w:eastAsia="zh-CN"/>
              </w:rPr>
              <w:t>1</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val="en-US" w:eastAsia="zh-CN"/>
              </w:rPr>
              <w:t>05</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val="en-US" w:eastAsia="zh-CN"/>
              </w:rPr>
              <w:t>38</w:t>
            </w:r>
            <w:r>
              <w:rPr>
                <w:rFonts w:hint="default" w:ascii="Times New Roman" w:hAnsi="Times New Roman" w:eastAsia="宋体" w:cs="Times New Roman"/>
                <w:color w:val="FF0000"/>
                <w:sz w:val="21"/>
                <w:szCs w:val="21"/>
                <w:highlight w:val="none"/>
              </w:rPr>
              <w:t>"</w:t>
            </w:r>
          </w:p>
        </w:tc>
        <w:tc>
          <w:tcPr>
            <w:tcW w:w="1710" w:type="dxa"/>
            <w:vAlign w:val="center"/>
          </w:tcPr>
          <w:p w14:paraId="3498D3A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E10</w:t>
            </w:r>
            <w:r>
              <w:rPr>
                <w:rFonts w:hint="default" w:ascii="Times New Roman" w:hAnsi="Times New Roman" w:eastAsia="宋体" w:cs="Times New Roman"/>
                <w:color w:val="FF0000"/>
                <w:sz w:val="21"/>
                <w:szCs w:val="21"/>
                <w:highlight w:val="none"/>
                <w:lang w:val="en-US" w:eastAsia="zh-CN"/>
              </w:rPr>
              <w:t>8</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val="en-US" w:eastAsia="zh-CN"/>
              </w:rPr>
              <w:t>5</w:t>
            </w:r>
            <w:r>
              <w:rPr>
                <w:rFonts w:hint="default" w:ascii="Times New Roman" w:hAnsi="Times New Roman" w:eastAsia="宋体" w:cs="Times New Roman"/>
                <w:color w:val="FF0000"/>
                <w:sz w:val="21"/>
                <w:szCs w:val="21"/>
                <w:highlight w:val="none"/>
                <w:lang w:val="en-US" w:eastAsia="zh-CN"/>
              </w:rPr>
              <w:t>5</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val="en-US" w:eastAsia="zh-CN"/>
              </w:rPr>
              <w:t>2</w:t>
            </w:r>
            <w:r>
              <w:rPr>
                <w:rFonts w:hint="default" w:ascii="Times New Roman" w:hAnsi="Times New Roman" w:eastAsia="宋体" w:cs="Times New Roman"/>
                <w:color w:val="FF0000"/>
                <w:sz w:val="21"/>
                <w:szCs w:val="21"/>
                <w:highlight w:val="none"/>
                <w:lang w:val="en-US" w:eastAsia="zh-CN"/>
              </w:rPr>
              <w:t>0</w:t>
            </w:r>
            <w:r>
              <w:rPr>
                <w:rFonts w:hint="default" w:ascii="Times New Roman" w:hAnsi="Times New Roman" w:eastAsia="宋体" w:cs="Times New Roman"/>
                <w:color w:val="FF0000"/>
                <w:sz w:val="21"/>
                <w:szCs w:val="21"/>
                <w:highlight w:val="none"/>
              </w:rPr>
              <w:t>"</w:t>
            </w:r>
          </w:p>
        </w:tc>
        <w:tc>
          <w:tcPr>
            <w:tcW w:w="1710" w:type="dxa"/>
            <w:vAlign w:val="center"/>
          </w:tcPr>
          <w:p w14:paraId="3B1400C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乌梁素海湿地水禽自然保护区实验区</w:t>
            </w:r>
          </w:p>
        </w:tc>
        <w:tc>
          <w:tcPr>
            <w:tcW w:w="2592" w:type="dxa"/>
            <w:gridSpan w:val="3"/>
            <w:vAlign w:val="center"/>
          </w:tcPr>
          <w:p w14:paraId="60B7B1D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自然保护区</w:t>
            </w:r>
            <w:r>
              <w:rPr>
                <w:rFonts w:hint="default" w:ascii="Times New Roman" w:hAnsi="Times New Roman" w:eastAsia="宋体" w:cs="Times New Roman"/>
                <w:color w:val="00B050"/>
                <w:sz w:val="21"/>
                <w:szCs w:val="21"/>
                <w:highlight w:val="none"/>
              </w:rPr>
              <w:t>内</w:t>
            </w:r>
            <w:r>
              <w:rPr>
                <w:rFonts w:hint="default" w:ascii="Times New Roman" w:hAnsi="Times New Roman" w:eastAsia="宋体" w:cs="Times New Roman"/>
                <w:color w:val="00B050"/>
                <w:sz w:val="21"/>
                <w:szCs w:val="21"/>
                <w:highlight w:val="none"/>
                <w:lang w:val="en-US" w:eastAsia="zh-CN"/>
              </w:rPr>
              <w:t>动物、植物及</w:t>
            </w:r>
            <w:r>
              <w:rPr>
                <w:rFonts w:hint="default" w:ascii="Times New Roman" w:hAnsi="Times New Roman" w:eastAsia="宋体" w:cs="Times New Roman"/>
                <w:color w:val="00B050"/>
                <w:sz w:val="21"/>
                <w:szCs w:val="21"/>
                <w:highlight w:val="none"/>
              </w:rPr>
              <w:t>生态环境</w:t>
            </w:r>
          </w:p>
        </w:tc>
        <w:tc>
          <w:tcPr>
            <w:tcW w:w="1428" w:type="dxa"/>
            <w:vAlign w:val="center"/>
          </w:tcPr>
          <w:p w14:paraId="671F1BD1">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0000FF"/>
                <w:sz w:val="21"/>
                <w:szCs w:val="21"/>
                <w:highlight w:val="none"/>
                <w:lang w:val="en-US" w:eastAsia="zh-CN"/>
              </w:rPr>
              <w:t>西南侧</w:t>
            </w:r>
          </w:p>
        </w:tc>
        <w:tc>
          <w:tcPr>
            <w:tcW w:w="1261" w:type="dxa"/>
            <w:vAlign w:val="center"/>
          </w:tcPr>
          <w:p w14:paraId="6245C436">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2400</w:t>
            </w:r>
          </w:p>
        </w:tc>
        <w:tc>
          <w:tcPr>
            <w:tcW w:w="1753" w:type="dxa"/>
            <w:vAlign w:val="center"/>
          </w:tcPr>
          <w:p w14:paraId="45F5600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FF0000"/>
                <w:sz w:val="21"/>
                <w:szCs w:val="21"/>
                <w:highlight w:val="none"/>
              </w:rPr>
              <w:t>《环境空气质量标准》（GB3095-2012）</w:t>
            </w:r>
            <w:r>
              <w:rPr>
                <w:rFonts w:hint="default" w:ascii="Times New Roman" w:hAnsi="Times New Roman" w:eastAsia="宋体" w:cs="Times New Roman"/>
                <w:color w:val="FF0000"/>
                <w:sz w:val="21"/>
                <w:szCs w:val="21"/>
                <w:highlight w:val="none"/>
                <w:lang w:val="en-US" w:eastAsia="zh-CN"/>
              </w:rPr>
              <w:t>一</w:t>
            </w:r>
            <w:r>
              <w:rPr>
                <w:rFonts w:hint="default" w:ascii="Times New Roman" w:hAnsi="Times New Roman" w:eastAsia="宋体" w:cs="Times New Roman"/>
                <w:color w:val="FF0000"/>
                <w:sz w:val="21"/>
                <w:szCs w:val="21"/>
                <w:highlight w:val="none"/>
              </w:rPr>
              <w:t>类功能区标准</w:t>
            </w:r>
          </w:p>
        </w:tc>
      </w:tr>
      <w:tr w14:paraId="05619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3" w:type="dxa"/>
            <w:gridSpan w:val="2"/>
            <w:vAlign w:val="center"/>
          </w:tcPr>
          <w:p w14:paraId="50EA09E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声环境</w:t>
            </w:r>
          </w:p>
        </w:tc>
        <w:tc>
          <w:tcPr>
            <w:tcW w:w="1709" w:type="dxa"/>
            <w:vAlign w:val="center"/>
          </w:tcPr>
          <w:p w14:paraId="636F86D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N4</w:t>
            </w:r>
            <w:r>
              <w:rPr>
                <w:rFonts w:hint="default" w:ascii="Times New Roman" w:hAnsi="Times New Roman" w:eastAsia="宋体" w:cs="Times New Roman"/>
                <w:color w:val="FF0000"/>
                <w:sz w:val="21"/>
                <w:szCs w:val="21"/>
                <w:highlight w:val="none"/>
                <w:lang w:val="en-US" w:eastAsia="zh-CN"/>
              </w:rPr>
              <w:t>1</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val="en-US" w:eastAsia="zh-CN"/>
              </w:rPr>
              <w:t>07</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val="en-US" w:eastAsia="zh-CN"/>
              </w:rPr>
              <w:t>01</w:t>
            </w:r>
            <w:r>
              <w:rPr>
                <w:rFonts w:hint="default" w:ascii="Times New Roman" w:hAnsi="Times New Roman" w:eastAsia="宋体" w:cs="Times New Roman"/>
                <w:color w:val="FF0000"/>
                <w:sz w:val="21"/>
                <w:szCs w:val="21"/>
                <w:highlight w:val="none"/>
              </w:rPr>
              <w:t>"</w:t>
            </w:r>
          </w:p>
        </w:tc>
        <w:tc>
          <w:tcPr>
            <w:tcW w:w="1710" w:type="dxa"/>
            <w:vAlign w:val="center"/>
          </w:tcPr>
          <w:p w14:paraId="4463F1D6">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E10</w:t>
            </w:r>
            <w:r>
              <w:rPr>
                <w:rFonts w:hint="default" w:ascii="Times New Roman" w:hAnsi="Times New Roman" w:eastAsia="宋体" w:cs="Times New Roman"/>
                <w:color w:val="FF0000"/>
                <w:sz w:val="21"/>
                <w:szCs w:val="21"/>
                <w:highlight w:val="none"/>
                <w:lang w:val="en-US" w:eastAsia="zh-CN"/>
              </w:rPr>
              <w:t>8</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val="en-US" w:eastAsia="zh-CN"/>
              </w:rPr>
              <w:t>55</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val="en-US" w:eastAsia="zh-CN"/>
              </w:rPr>
              <w:t>52</w:t>
            </w:r>
            <w:r>
              <w:rPr>
                <w:rFonts w:hint="default" w:ascii="Times New Roman" w:hAnsi="Times New Roman" w:eastAsia="宋体" w:cs="Times New Roman"/>
                <w:color w:val="FF0000"/>
                <w:sz w:val="21"/>
                <w:szCs w:val="21"/>
                <w:highlight w:val="none"/>
              </w:rPr>
              <w:t>"</w:t>
            </w:r>
          </w:p>
        </w:tc>
        <w:tc>
          <w:tcPr>
            <w:tcW w:w="1710" w:type="dxa"/>
            <w:vAlign w:val="center"/>
          </w:tcPr>
          <w:p w14:paraId="562B99A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马卜子村</w:t>
            </w:r>
          </w:p>
        </w:tc>
        <w:tc>
          <w:tcPr>
            <w:tcW w:w="864" w:type="dxa"/>
            <w:vAlign w:val="center"/>
          </w:tcPr>
          <w:p w14:paraId="7BD9255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居民</w:t>
            </w:r>
          </w:p>
        </w:tc>
        <w:tc>
          <w:tcPr>
            <w:tcW w:w="864" w:type="dxa"/>
            <w:vAlign w:val="center"/>
          </w:tcPr>
          <w:p w14:paraId="7E11BDA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6</w:t>
            </w:r>
          </w:p>
        </w:tc>
        <w:tc>
          <w:tcPr>
            <w:tcW w:w="864" w:type="dxa"/>
            <w:vAlign w:val="center"/>
          </w:tcPr>
          <w:p w14:paraId="3196CDC0">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16</w:t>
            </w:r>
          </w:p>
        </w:tc>
        <w:tc>
          <w:tcPr>
            <w:tcW w:w="1428" w:type="dxa"/>
            <w:vAlign w:val="center"/>
          </w:tcPr>
          <w:p w14:paraId="2D3E1E1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南侧</w:t>
            </w:r>
          </w:p>
        </w:tc>
        <w:tc>
          <w:tcPr>
            <w:tcW w:w="1261" w:type="dxa"/>
            <w:vAlign w:val="center"/>
          </w:tcPr>
          <w:p w14:paraId="2C59806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85</w:t>
            </w:r>
          </w:p>
        </w:tc>
        <w:tc>
          <w:tcPr>
            <w:tcW w:w="1753" w:type="dxa"/>
            <w:vAlign w:val="center"/>
          </w:tcPr>
          <w:p w14:paraId="2675577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C000"/>
                <w:sz w:val="21"/>
                <w:szCs w:val="21"/>
                <w:highlight w:val="none"/>
                <w:lang w:val="en-US" w:eastAsia="zh-CN"/>
              </w:rPr>
              <w:t>《声环境质量标准》（GB3096-2008）</w:t>
            </w:r>
            <w:r>
              <w:rPr>
                <w:rFonts w:hint="default" w:ascii="Times New Roman" w:hAnsi="Times New Roman" w:eastAsia="宋体" w:cs="Times New Roman"/>
                <w:color w:val="FFC000"/>
                <w:sz w:val="21"/>
                <w:szCs w:val="21"/>
                <w:highlight w:val="none"/>
                <w:lang w:val="en-US" w:eastAsia="zh-CN"/>
              </w:rPr>
              <w:t>1</w:t>
            </w:r>
            <w:r>
              <w:rPr>
                <w:rFonts w:hint="default" w:ascii="Times New Roman" w:hAnsi="Times New Roman" w:eastAsia="宋体" w:cs="Times New Roman"/>
                <w:color w:val="FFC000"/>
                <w:sz w:val="21"/>
                <w:szCs w:val="21"/>
                <w:highlight w:val="none"/>
              </w:rPr>
              <w:t>类标准</w:t>
            </w:r>
          </w:p>
        </w:tc>
      </w:tr>
      <w:tr w14:paraId="28F44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3" w:type="dxa"/>
            <w:gridSpan w:val="2"/>
            <w:vMerge w:val="restart"/>
            <w:vAlign w:val="center"/>
          </w:tcPr>
          <w:p w14:paraId="6C2AA934">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地下水环境</w:t>
            </w:r>
          </w:p>
        </w:tc>
        <w:tc>
          <w:tcPr>
            <w:tcW w:w="1709" w:type="dxa"/>
            <w:vAlign w:val="center"/>
          </w:tcPr>
          <w:p w14:paraId="5CA642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zh-CN" w:eastAsia="zh-CN" w:bidi="ar-SA"/>
              </w:rPr>
            </w:pPr>
            <w:r>
              <w:rPr>
                <w:rFonts w:hint="default" w:ascii="Times New Roman" w:hAnsi="Times New Roman" w:eastAsia="宋体" w:cs="Times New Roman"/>
                <w:color w:val="FF0000"/>
                <w:sz w:val="21"/>
                <w:szCs w:val="21"/>
                <w:highlight w:val="none"/>
                <w:lang w:val="en-US" w:eastAsia="zh-CN"/>
              </w:rPr>
              <w:t>N</w:t>
            </w:r>
            <w:r>
              <w:rPr>
                <w:rFonts w:hint="default" w:ascii="Times New Roman" w:hAnsi="Times New Roman" w:eastAsia="宋体" w:cs="Times New Roman"/>
                <w:color w:val="FF0000"/>
                <w:sz w:val="21"/>
                <w:szCs w:val="21"/>
                <w:highlight w:val="none"/>
                <w:lang w:eastAsia="zh-CN"/>
              </w:rPr>
              <w:t>41°7′34.87″</w:t>
            </w:r>
          </w:p>
        </w:tc>
        <w:tc>
          <w:tcPr>
            <w:tcW w:w="1710" w:type="dxa"/>
            <w:vAlign w:val="center"/>
          </w:tcPr>
          <w:p w14:paraId="3EBB2E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zh-CN" w:eastAsia="zh-CN" w:bidi="ar-SA"/>
              </w:rPr>
            </w:pPr>
            <w:r>
              <w:rPr>
                <w:rFonts w:hint="default" w:ascii="Times New Roman" w:hAnsi="Times New Roman" w:eastAsia="宋体" w:cs="Times New Roman"/>
                <w:color w:val="FF0000"/>
                <w:sz w:val="21"/>
                <w:szCs w:val="21"/>
                <w:highlight w:val="none"/>
                <w:lang w:val="en-US" w:eastAsia="zh-CN"/>
              </w:rPr>
              <w:t>E</w:t>
            </w:r>
            <w:r>
              <w:rPr>
                <w:rFonts w:hint="default" w:ascii="Times New Roman" w:hAnsi="Times New Roman" w:eastAsia="宋体" w:cs="Times New Roman"/>
                <w:color w:val="FF0000"/>
                <w:sz w:val="21"/>
                <w:szCs w:val="21"/>
                <w:highlight w:val="none"/>
                <w:lang w:eastAsia="zh-CN"/>
              </w:rPr>
              <w:t>108°55′57.75″</w:t>
            </w:r>
          </w:p>
        </w:tc>
        <w:tc>
          <w:tcPr>
            <w:tcW w:w="1710" w:type="dxa"/>
            <w:vAlign w:val="center"/>
          </w:tcPr>
          <w:p w14:paraId="6098B4E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地下水</w:t>
            </w:r>
            <w:r>
              <w:rPr>
                <w:rFonts w:hint="default" w:ascii="Times New Roman" w:hAnsi="Times New Roman" w:eastAsia="宋体" w:cs="Times New Roman"/>
                <w:color w:val="FF0000"/>
                <w:kern w:val="2"/>
                <w:sz w:val="21"/>
                <w:szCs w:val="21"/>
                <w:highlight w:val="none"/>
                <w:lang w:val="en-US" w:eastAsia="zh-CN" w:bidi="ar-SA"/>
              </w:rPr>
              <w:t>上游</w:t>
            </w:r>
          </w:p>
        </w:tc>
        <w:tc>
          <w:tcPr>
            <w:tcW w:w="2592" w:type="dxa"/>
            <w:gridSpan w:val="3"/>
            <w:vAlign w:val="center"/>
          </w:tcPr>
          <w:p w14:paraId="22B4872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灌溉水井</w:t>
            </w:r>
          </w:p>
        </w:tc>
        <w:tc>
          <w:tcPr>
            <w:tcW w:w="1428" w:type="dxa"/>
            <w:vAlign w:val="center"/>
          </w:tcPr>
          <w:p w14:paraId="35B85C2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北侧</w:t>
            </w:r>
          </w:p>
        </w:tc>
        <w:tc>
          <w:tcPr>
            <w:tcW w:w="1261" w:type="dxa"/>
            <w:vAlign w:val="center"/>
          </w:tcPr>
          <w:p w14:paraId="759E29D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0.5</w:t>
            </w:r>
            <w:r>
              <w:rPr>
                <w:rFonts w:hint="default" w:ascii="Times New Roman" w:hAnsi="Times New Roman" w:eastAsia="宋体" w:cs="Times New Roman"/>
                <w:color w:val="FF0000"/>
                <w:sz w:val="21"/>
                <w:szCs w:val="21"/>
                <w:highlight w:val="none"/>
              </w:rPr>
              <w:t>km</w:t>
            </w:r>
          </w:p>
        </w:tc>
        <w:tc>
          <w:tcPr>
            <w:tcW w:w="1753" w:type="dxa"/>
            <w:vMerge w:val="restart"/>
            <w:vAlign w:val="center"/>
          </w:tcPr>
          <w:p w14:paraId="0108165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eastAsia="zh-CN"/>
              </w:rPr>
              <w:t>地下水质量标准</w:t>
            </w:r>
            <w:r>
              <w:rPr>
                <w:rFonts w:hint="default" w:ascii="Times New Roman" w:hAnsi="Times New Roman" w:eastAsia="宋体" w:cs="Times New Roman"/>
                <w:color w:val="FF0000"/>
                <w:sz w:val="21"/>
                <w:szCs w:val="21"/>
                <w:highlight w:val="none"/>
              </w:rPr>
              <w:t>》（GB/T14848</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rPr>
              <w:t>2017）的</w:t>
            </w:r>
            <w:r>
              <w:rPr>
                <w:rFonts w:hint="default" w:ascii="Times New Roman" w:hAnsi="Times New Roman" w:eastAsia="宋体" w:cs="Times New Roman"/>
                <w:color w:val="FF0000"/>
                <w:sz w:val="21"/>
                <w:szCs w:val="21"/>
                <w:highlight w:val="none"/>
                <w:lang w:eastAsia="zh-CN"/>
              </w:rPr>
              <w:t>Ⅲ</w:t>
            </w:r>
            <w:r>
              <w:rPr>
                <w:rFonts w:hint="default" w:ascii="Times New Roman" w:hAnsi="Times New Roman" w:eastAsia="宋体" w:cs="Times New Roman"/>
                <w:color w:val="FF0000"/>
                <w:sz w:val="21"/>
                <w:szCs w:val="21"/>
                <w:highlight w:val="none"/>
              </w:rPr>
              <w:t>类标准</w:t>
            </w:r>
          </w:p>
        </w:tc>
      </w:tr>
      <w:tr w14:paraId="19DC3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3" w:type="dxa"/>
            <w:gridSpan w:val="2"/>
            <w:vMerge w:val="continue"/>
            <w:vAlign w:val="center"/>
          </w:tcPr>
          <w:p w14:paraId="3AAF42D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c>
          <w:tcPr>
            <w:tcW w:w="1709" w:type="dxa"/>
            <w:vAlign w:val="center"/>
          </w:tcPr>
          <w:p w14:paraId="1E845D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zh-CN" w:eastAsia="zh-CN" w:bidi="ar-SA"/>
              </w:rPr>
            </w:pPr>
            <w:r>
              <w:rPr>
                <w:rFonts w:hint="default" w:ascii="Times New Roman" w:hAnsi="Times New Roman" w:eastAsia="宋体" w:cs="Times New Roman"/>
                <w:color w:val="FF0000"/>
                <w:sz w:val="21"/>
                <w:szCs w:val="21"/>
                <w:highlight w:val="none"/>
                <w:lang w:val="en-US" w:eastAsia="zh-CN"/>
              </w:rPr>
              <w:t>N</w:t>
            </w:r>
            <w:r>
              <w:rPr>
                <w:rFonts w:hint="default" w:ascii="Times New Roman" w:hAnsi="Times New Roman" w:eastAsia="宋体" w:cs="Times New Roman"/>
                <w:color w:val="FF0000"/>
                <w:sz w:val="21"/>
                <w:szCs w:val="21"/>
                <w:highlight w:val="none"/>
                <w:lang w:eastAsia="zh-CN"/>
              </w:rPr>
              <w:t>41°7′9.31″</w:t>
            </w:r>
          </w:p>
        </w:tc>
        <w:tc>
          <w:tcPr>
            <w:tcW w:w="1710" w:type="dxa"/>
            <w:vAlign w:val="center"/>
          </w:tcPr>
          <w:p w14:paraId="6DA1C2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zh-CN" w:eastAsia="zh-CN" w:bidi="ar-SA"/>
              </w:rPr>
            </w:pPr>
            <w:r>
              <w:rPr>
                <w:rFonts w:hint="default" w:ascii="Times New Roman" w:hAnsi="Times New Roman" w:eastAsia="宋体" w:cs="Times New Roman"/>
                <w:color w:val="FF0000"/>
                <w:sz w:val="21"/>
                <w:szCs w:val="21"/>
                <w:highlight w:val="none"/>
                <w:lang w:val="en-US" w:eastAsia="zh-CN"/>
              </w:rPr>
              <w:t>E</w:t>
            </w:r>
            <w:r>
              <w:rPr>
                <w:rFonts w:hint="default" w:ascii="Times New Roman" w:hAnsi="Times New Roman" w:eastAsia="宋体" w:cs="Times New Roman"/>
                <w:color w:val="FF0000"/>
                <w:sz w:val="21"/>
                <w:szCs w:val="21"/>
                <w:highlight w:val="none"/>
                <w:lang w:eastAsia="zh-CN"/>
              </w:rPr>
              <w:t>108°56′5.36″</w:t>
            </w:r>
          </w:p>
        </w:tc>
        <w:tc>
          <w:tcPr>
            <w:tcW w:w="1710" w:type="dxa"/>
            <w:vAlign w:val="center"/>
          </w:tcPr>
          <w:p w14:paraId="2D155EE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w:t>
            </w:r>
          </w:p>
        </w:tc>
        <w:tc>
          <w:tcPr>
            <w:tcW w:w="2592" w:type="dxa"/>
            <w:gridSpan w:val="3"/>
            <w:vAlign w:val="center"/>
          </w:tcPr>
          <w:p w14:paraId="22B2FEF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0000FF"/>
                <w:kern w:val="2"/>
                <w:sz w:val="21"/>
                <w:szCs w:val="21"/>
                <w:highlight w:val="none"/>
                <w:lang w:val="en-US" w:eastAsia="zh-CN" w:bidi="ar-SA"/>
              </w:rPr>
              <w:t>生活、</w:t>
            </w:r>
            <w:r>
              <w:rPr>
                <w:rFonts w:hint="default" w:ascii="Times New Roman" w:hAnsi="Times New Roman" w:eastAsia="宋体" w:cs="Times New Roman"/>
                <w:color w:val="FF0000"/>
                <w:kern w:val="2"/>
                <w:sz w:val="21"/>
                <w:szCs w:val="21"/>
                <w:highlight w:val="none"/>
                <w:lang w:val="en-US" w:eastAsia="zh-CN" w:bidi="ar-SA"/>
              </w:rPr>
              <w:t>养殖用水井</w:t>
            </w:r>
          </w:p>
        </w:tc>
        <w:tc>
          <w:tcPr>
            <w:tcW w:w="1428" w:type="dxa"/>
            <w:vAlign w:val="center"/>
          </w:tcPr>
          <w:p w14:paraId="420E093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场区内</w:t>
            </w:r>
          </w:p>
        </w:tc>
        <w:tc>
          <w:tcPr>
            <w:tcW w:w="1261" w:type="dxa"/>
            <w:vAlign w:val="center"/>
          </w:tcPr>
          <w:p w14:paraId="64F3DE9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w:t>
            </w:r>
          </w:p>
        </w:tc>
        <w:tc>
          <w:tcPr>
            <w:tcW w:w="1753" w:type="dxa"/>
            <w:vMerge w:val="continue"/>
            <w:vAlign w:val="center"/>
          </w:tcPr>
          <w:p w14:paraId="69E190C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14:paraId="41B53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3" w:type="dxa"/>
            <w:gridSpan w:val="2"/>
            <w:vMerge w:val="continue"/>
            <w:vAlign w:val="center"/>
          </w:tcPr>
          <w:p w14:paraId="282BFC0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c>
          <w:tcPr>
            <w:tcW w:w="1709" w:type="dxa"/>
            <w:vAlign w:val="center"/>
          </w:tcPr>
          <w:p w14:paraId="174EDB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N41°6′56.72″</w:t>
            </w:r>
          </w:p>
        </w:tc>
        <w:tc>
          <w:tcPr>
            <w:tcW w:w="1710" w:type="dxa"/>
            <w:vAlign w:val="center"/>
          </w:tcPr>
          <w:p w14:paraId="2396DF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E108°56′14.18″</w:t>
            </w:r>
          </w:p>
        </w:tc>
        <w:tc>
          <w:tcPr>
            <w:tcW w:w="1710" w:type="dxa"/>
            <w:vAlign w:val="center"/>
          </w:tcPr>
          <w:p w14:paraId="5CB07A61">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地下水</w:t>
            </w:r>
            <w:r>
              <w:rPr>
                <w:rFonts w:hint="default" w:ascii="Times New Roman" w:hAnsi="Times New Roman" w:eastAsia="宋体" w:cs="Times New Roman"/>
                <w:color w:val="FF0000"/>
                <w:kern w:val="2"/>
                <w:sz w:val="21"/>
                <w:szCs w:val="21"/>
                <w:highlight w:val="none"/>
                <w:lang w:val="en-US" w:eastAsia="zh-CN" w:bidi="ar-SA"/>
              </w:rPr>
              <w:t>两侧</w:t>
            </w:r>
          </w:p>
        </w:tc>
        <w:tc>
          <w:tcPr>
            <w:tcW w:w="2592" w:type="dxa"/>
            <w:gridSpan w:val="3"/>
            <w:vAlign w:val="center"/>
          </w:tcPr>
          <w:p w14:paraId="1746B2E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生活水井</w:t>
            </w:r>
          </w:p>
        </w:tc>
        <w:tc>
          <w:tcPr>
            <w:tcW w:w="1428" w:type="dxa"/>
            <w:vAlign w:val="center"/>
          </w:tcPr>
          <w:p w14:paraId="0308F52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东</w:t>
            </w:r>
            <w:r>
              <w:rPr>
                <w:rFonts w:hint="default" w:ascii="Times New Roman" w:hAnsi="Times New Roman" w:eastAsia="宋体" w:cs="Times New Roman"/>
                <w:color w:val="FF0000"/>
                <w:kern w:val="2"/>
                <w:sz w:val="21"/>
                <w:szCs w:val="21"/>
                <w:highlight w:val="none"/>
                <w:lang w:val="en-US" w:eastAsia="zh-CN" w:bidi="ar-SA"/>
              </w:rPr>
              <w:t>南</w:t>
            </w:r>
            <w:r>
              <w:rPr>
                <w:rFonts w:hint="default" w:ascii="Times New Roman" w:hAnsi="Times New Roman" w:eastAsia="宋体" w:cs="Times New Roman"/>
                <w:color w:val="FF0000"/>
                <w:sz w:val="21"/>
                <w:szCs w:val="21"/>
                <w:highlight w:val="none"/>
                <w:lang w:val="en-US" w:eastAsia="zh-CN"/>
              </w:rPr>
              <w:t>侧</w:t>
            </w:r>
          </w:p>
        </w:tc>
        <w:tc>
          <w:tcPr>
            <w:tcW w:w="1261" w:type="dxa"/>
            <w:vAlign w:val="center"/>
          </w:tcPr>
          <w:p w14:paraId="43E95D5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0.25km</w:t>
            </w:r>
          </w:p>
        </w:tc>
        <w:tc>
          <w:tcPr>
            <w:tcW w:w="1753" w:type="dxa"/>
            <w:vMerge w:val="continue"/>
            <w:vAlign w:val="center"/>
          </w:tcPr>
          <w:p w14:paraId="39B79CF4">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14:paraId="62E41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3" w:type="dxa"/>
            <w:gridSpan w:val="2"/>
            <w:vMerge w:val="continue"/>
            <w:vAlign w:val="center"/>
          </w:tcPr>
          <w:p w14:paraId="2832ACF0">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c>
          <w:tcPr>
            <w:tcW w:w="1709" w:type="dxa"/>
            <w:vAlign w:val="center"/>
          </w:tcPr>
          <w:p w14:paraId="5936DC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N41°7′2.77″</w:t>
            </w:r>
          </w:p>
        </w:tc>
        <w:tc>
          <w:tcPr>
            <w:tcW w:w="1710" w:type="dxa"/>
            <w:vAlign w:val="center"/>
          </w:tcPr>
          <w:p w14:paraId="67E18A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E</w:t>
            </w:r>
            <w:r>
              <w:rPr>
                <w:rFonts w:hint="default" w:ascii="Times New Roman" w:hAnsi="Times New Roman" w:eastAsia="宋体" w:cs="Times New Roman"/>
                <w:color w:val="FF0000"/>
                <w:sz w:val="21"/>
                <w:szCs w:val="21"/>
                <w:highlight w:val="none"/>
                <w:lang w:val="en-US" w:eastAsia="zh-CN"/>
              </w:rPr>
              <w:t>108°56′26.41″</w:t>
            </w:r>
          </w:p>
        </w:tc>
        <w:tc>
          <w:tcPr>
            <w:tcW w:w="1710" w:type="dxa"/>
            <w:vAlign w:val="center"/>
          </w:tcPr>
          <w:p w14:paraId="5CB40E9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地下水</w:t>
            </w:r>
            <w:r>
              <w:rPr>
                <w:rFonts w:hint="default" w:ascii="Times New Roman" w:hAnsi="Times New Roman" w:eastAsia="宋体" w:cs="Times New Roman"/>
                <w:color w:val="FF0000"/>
                <w:kern w:val="2"/>
                <w:sz w:val="21"/>
                <w:szCs w:val="21"/>
                <w:highlight w:val="none"/>
                <w:lang w:val="en-US" w:eastAsia="zh-CN" w:bidi="ar-SA"/>
              </w:rPr>
              <w:t>两侧</w:t>
            </w:r>
          </w:p>
        </w:tc>
        <w:tc>
          <w:tcPr>
            <w:tcW w:w="2592" w:type="dxa"/>
            <w:gridSpan w:val="3"/>
            <w:vAlign w:val="center"/>
          </w:tcPr>
          <w:p w14:paraId="34612D4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灌溉水井</w:t>
            </w:r>
          </w:p>
        </w:tc>
        <w:tc>
          <w:tcPr>
            <w:tcW w:w="1428" w:type="dxa"/>
            <w:vAlign w:val="center"/>
          </w:tcPr>
          <w:p w14:paraId="5EBB4D1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东侧</w:t>
            </w:r>
          </w:p>
        </w:tc>
        <w:tc>
          <w:tcPr>
            <w:tcW w:w="1261" w:type="dxa"/>
            <w:vAlign w:val="center"/>
          </w:tcPr>
          <w:p w14:paraId="1E60E83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0.43km</w:t>
            </w:r>
          </w:p>
        </w:tc>
        <w:tc>
          <w:tcPr>
            <w:tcW w:w="1753" w:type="dxa"/>
            <w:vMerge w:val="continue"/>
            <w:vAlign w:val="center"/>
          </w:tcPr>
          <w:p w14:paraId="717C8236">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14:paraId="20FB4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3" w:type="dxa"/>
            <w:gridSpan w:val="2"/>
            <w:vMerge w:val="continue"/>
            <w:vAlign w:val="center"/>
          </w:tcPr>
          <w:p w14:paraId="3059F571">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c>
          <w:tcPr>
            <w:tcW w:w="1709" w:type="dxa"/>
            <w:vAlign w:val="center"/>
          </w:tcPr>
          <w:p w14:paraId="4991F7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zh-CN" w:eastAsia="zh-CN" w:bidi="ar-SA"/>
              </w:rPr>
            </w:pPr>
            <w:r>
              <w:rPr>
                <w:rFonts w:hint="default" w:ascii="Times New Roman" w:hAnsi="Times New Roman" w:eastAsia="宋体" w:cs="Times New Roman"/>
                <w:color w:val="FF0000"/>
                <w:sz w:val="21"/>
                <w:szCs w:val="21"/>
                <w:highlight w:val="none"/>
                <w:lang w:val="en-US" w:eastAsia="zh-CN"/>
              </w:rPr>
              <w:t>N41°6′46.35″</w:t>
            </w:r>
          </w:p>
        </w:tc>
        <w:tc>
          <w:tcPr>
            <w:tcW w:w="1710" w:type="dxa"/>
            <w:vAlign w:val="center"/>
          </w:tcPr>
          <w:p w14:paraId="6113A9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zh-CN" w:eastAsia="zh-CN" w:bidi="ar-SA"/>
              </w:rPr>
            </w:pPr>
            <w:r>
              <w:rPr>
                <w:rFonts w:hint="default" w:ascii="Times New Roman" w:hAnsi="Times New Roman" w:eastAsia="宋体" w:cs="Times New Roman"/>
                <w:color w:val="FF0000"/>
                <w:sz w:val="21"/>
                <w:szCs w:val="21"/>
                <w:highlight w:val="none"/>
                <w:lang w:val="en-US" w:eastAsia="zh-CN"/>
              </w:rPr>
              <w:t>E108°56′10.46″</w:t>
            </w:r>
          </w:p>
        </w:tc>
        <w:tc>
          <w:tcPr>
            <w:tcW w:w="1710" w:type="dxa"/>
            <w:vAlign w:val="center"/>
          </w:tcPr>
          <w:p w14:paraId="37499F2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地下水</w:t>
            </w:r>
            <w:r>
              <w:rPr>
                <w:rFonts w:hint="default" w:ascii="Times New Roman" w:hAnsi="Times New Roman" w:eastAsia="宋体" w:cs="Times New Roman"/>
                <w:color w:val="FF0000"/>
                <w:kern w:val="2"/>
                <w:sz w:val="21"/>
                <w:szCs w:val="21"/>
                <w:highlight w:val="none"/>
                <w:lang w:val="en-US" w:eastAsia="zh-CN" w:bidi="ar-SA"/>
              </w:rPr>
              <w:t>下游</w:t>
            </w:r>
          </w:p>
        </w:tc>
        <w:tc>
          <w:tcPr>
            <w:tcW w:w="2592" w:type="dxa"/>
            <w:gridSpan w:val="3"/>
            <w:vAlign w:val="center"/>
          </w:tcPr>
          <w:p w14:paraId="2F76D3A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灌溉水井</w:t>
            </w:r>
          </w:p>
        </w:tc>
        <w:tc>
          <w:tcPr>
            <w:tcW w:w="1428" w:type="dxa"/>
            <w:vAlign w:val="center"/>
          </w:tcPr>
          <w:p w14:paraId="40D48B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南</w:t>
            </w:r>
            <w:r>
              <w:rPr>
                <w:rFonts w:hint="default" w:ascii="Times New Roman" w:hAnsi="Times New Roman" w:eastAsia="宋体" w:cs="Times New Roman"/>
                <w:color w:val="FF0000"/>
                <w:sz w:val="21"/>
                <w:szCs w:val="21"/>
                <w:highlight w:val="none"/>
                <w:lang w:val="en-US" w:eastAsia="zh-CN"/>
              </w:rPr>
              <w:t>侧</w:t>
            </w:r>
          </w:p>
        </w:tc>
        <w:tc>
          <w:tcPr>
            <w:tcW w:w="1261" w:type="dxa"/>
            <w:vAlign w:val="center"/>
          </w:tcPr>
          <w:p w14:paraId="42430C9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0.47</w:t>
            </w:r>
            <w:r>
              <w:rPr>
                <w:rFonts w:hint="default" w:ascii="Times New Roman" w:hAnsi="Times New Roman" w:eastAsia="宋体" w:cs="Times New Roman"/>
                <w:color w:val="FF0000"/>
                <w:sz w:val="21"/>
                <w:szCs w:val="21"/>
                <w:highlight w:val="none"/>
              </w:rPr>
              <w:t>km</w:t>
            </w:r>
          </w:p>
        </w:tc>
        <w:tc>
          <w:tcPr>
            <w:tcW w:w="1753" w:type="dxa"/>
            <w:vMerge w:val="continue"/>
            <w:vAlign w:val="center"/>
          </w:tcPr>
          <w:p w14:paraId="3FB95D8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14:paraId="45DCA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3" w:type="dxa"/>
            <w:gridSpan w:val="2"/>
            <w:vMerge w:val="continue"/>
            <w:vAlign w:val="center"/>
          </w:tcPr>
          <w:p w14:paraId="06D8B2A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c>
          <w:tcPr>
            <w:tcW w:w="1709" w:type="dxa"/>
            <w:vAlign w:val="center"/>
          </w:tcPr>
          <w:p w14:paraId="60F58D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zh-CN" w:eastAsia="zh-CN" w:bidi="ar-SA"/>
              </w:rPr>
            </w:pPr>
            <w:r>
              <w:rPr>
                <w:rFonts w:hint="default" w:ascii="Times New Roman" w:hAnsi="Times New Roman" w:eastAsia="宋体" w:cs="Times New Roman"/>
                <w:color w:val="FF0000"/>
                <w:sz w:val="21"/>
                <w:szCs w:val="21"/>
                <w:highlight w:val="none"/>
                <w:lang w:val="en-US" w:eastAsia="zh-CN"/>
              </w:rPr>
              <w:t>N41°6′33.21″</w:t>
            </w:r>
          </w:p>
        </w:tc>
        <w:tc>
          <w:tcPr>
            <w:tcW w:w="1710" w:type="dxa"/>
            <w:vAlign w:val="center"/>
          </w:tcPr>
          <w:p w14:paraId="1EEE0D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zh-CN" w:eastAsia="zh-CN" w:bidi="ar-SA"/>
              </w:rPr>
            </w:pPr>
            <w:r>
              <w:rPr>
                <w:rFonts w:hint="default" w:ascii="Times New Roman" w:hAnsi="Times New Roman" w:eastAsia="宋体" w:cs="Times New Roman"/>
                <w:color w:val="FF0000"/>
                <w:sz w:val="21"/>
                <w:szCs w:val="21"/>
                <w:highlight w:val="none"/>
                <w:lang w:val="en-US" w:eastAsia="zh-CN"/>
              </w:rPr>
              <w:t>E108°56′11.70″</w:t>
            </w:r>
          </w:p>
        </w:tc>
        <w:tc>
          <w:tcPr>
            <w:tcW w:w="1710" w:type="dxa"/>
            <w:vAlign w:val="center"/>
          </w:tcPr>
          <w:p w14:paraId="482136F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地下水</w:t>
            </w:r>
            <w:r>
              <w:rPr>
                <w:rFonts w:hint="default" w:ascii="Times New Roman" w:hAnsi="Times New Roman" w:eastAsia="宋体" w:cs="Times New Roman"/>
                <w:color w:val="FF0000"/>
                <w:kern w:val="2"/>
                <w:sz w:val="21"/>
                <w:szCs w:val="21"/>
                <w:highlight w:val="none"/>
                <w:lang w:val="en-US" w:eastAsia="zh-CN" w:bidi="ar-SA"/>
              </w:rPr>
              <w:t>下游</w:t>
            </w:r>
          </w:p>
        </w:tc>
        <w:tc>
          <w:tcPr>
            <w:tcW w:w="2592" w:type="dxa"/>
            <w:gridSpan w:val="3"/>
            <w:vAlign w:val="center"/>
          </w:tcPr>
          <w:p w14:paraId="4F0683C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灌溉水井</w:t>
            </w:r>
          </w:p>
        </w:tc>
        <w:tc>
          <w:tcPr>
            <w:tcW w:w="1428" w:type="dxa"/>
            <w:vAlign w:val="center"/>
          </w:tcPr>
          <w:p w14:paraId="39B0F5B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南</w:t>
            </w:r>
            <w:r>
              <w:rPr>
                <w:rFonts w:hint="default" w:ascii="Times New Roman" w:hAnsi="Times New Roman" w:eastAsia="宋体" w:cs="Times New Roman"/>
                <w:color w:val="FF0000"/>
                <w:sz w:val="21"/>
                <w:szCs w:val="21"/>
                <w:highlight w:val="none"/>
                <w:lang w:val="en-US" w:eastAsia="zh-CN"/>
              </w:rPr>
              <w:t>侧</w:t>
            </w:r>
          </w:p>
        </w:tc>
        <w:tc>
          <w:tcPr>
            <w:tcW w:w="1261" w:type="dxa"/>
            <w:vAlign w:val="center"/>
          </w:tcPr>
          <w:p w14:paraId="6D366A2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0.89</w:t>
            </w:r>
            <w:r>
              <w:rPr>
                <w:rFonts w:hint="default" w:ascii="Times New Roman" w:hAnsi="Times New Roman" w:eastAsia="宋体" w:cs="Times New Roman"/>
                <w:color w:val="FF0000"/>
                <w:sz w:val="21"/>
                <w:szCs w:val="21"/>
                <w:highlight w:val="none"/>
              </w:rPr>
              <w:t>km</w:t>
            </w:r>
          </w:p>
        </w:tc>
        <w:tc>
          <w:tcPr>
            <w:tcW w:w="1753" w:type="dxa"/>
            <w:vMerge w:val="continue"/>
            <w:vAlign w:val="center"/>
          </w:tcPr>
          <w:p w14:paraId="2AB18FC4">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14:paraId="1E098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3" w:type="dxa"/>
            <w:gridSpan w:val="2"/>
            <w:vAlign w:val="center"/>
          </w:tcPr>
          <w:p w14:paraId="1B6B349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土壤环境</w:t>
            </w:r>
          </w:p>
        </w:tc>
        <w:tc>
          <w:tcPr>
            <w:tcW w:w="10410" w:type="dxa"/>
            <w:gridSpan w:val="8"/>
            <w:vAlign w:val="center"/>
          </w:tcPr>
          <w:p w14:paraId="15E9DAA0">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周边</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0m范围内的</w:t>
            </w:r>
            <w:r>
              <w:rPr>
                <w:rFonts w:hint="default" w:ascii="Times New Roman" w:hAnsi="Times New Roman" w:eastAsia="宋体" w:cs="Times New Roman"/>
                <w:color w:val="auto"/>
                <w:sz w:val="21"/>
                <w:szCs w:val="21"/>
                <w:highlight w:val="none"/>
                <w:lang w:eastAsia="zh-CN"/>
              </w:rPr>
              <w:t>草地、耕地</w:t>
            </w:r>
          </w:p>
        </w:tc>
        <w:tc>
          <w:tcPr>
            <w:tcW w:w="1753" w:type="dxa"/>
            <w:vAlign w:val="center"/>
          </w:tcPr>
          <w:p w14:paraId="08C5655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土壤环境质量农用地土壤污染风险管控标准</w:t>
            </w:r>
            <w:r>
              <w:rPr>
                <w:rFonts w:hint="default" w:ascii="Times New Roman" w:hAnsi="Times New Roman" w:eastAsia="宋体" w:cs="Times New Roman"/>
                <w:color w:val="auto"/>
                <w:sz w:val="21"/>
                <w:szCs w:val="21"/>
                <w:highlight w:val="none"/>
              </w:rPr>
              <w:t>（试行）》（</w:t>
            </w:r>
            <w:r>
              <w:rPr>
                <w:rFonts w:hint="default" w:ascii="Times New Roman" w:hAnsi="Times New Roman" w:eastAsia="宋体" w:cs="Times New Roman"/>
                <w:color w:val="auto"/>
                <w:sz w:val="21"/>
                <w:szCs w:val="21"/>
                <w:highlight w:val="none"/>
                <w:lang w:eastAsia="zh-CN"/>
              </w:rPr>
              <w:t>GB15618</w:t>
            </w:r>
            <w:r>
              <w:rPr>
                <w:rFonts w:hint="default" w:ascii="Times New Roman" w:hAnsi="Times New Roman" w:eastAsia="宋体" w:cs="Times New Roman"/>
                <w:color w:val="auto"/>
                <w:sz w:val="21"/>
                <w:szCs w:val="21"/>
                <w:highlight w:val="none"/>
              </w:rPr>
              <w:t>-2018）表1农用地土壤污染风险筛选值（基本项目）--“其他”标准</w:t>
            </w:r>
          </w:p>
        </w:tc>
      </w:tr>
      <w:tr w14:paraId="3865C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3" w:type="dxa"/>
            <w:gridSpan w:val="2"/>
            <w:vAlign w:val="center"/>
          </w:tcPr>
          <w:p w14:paraId="6A9CD96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w:t>
            </w:r>
          </w:p>
        </w:tc>
        <w:tc>
          <w:tcPr>
            <w:tcW w:w="10410" w:type="dxa"/>
            <w:gridSpan w:val="8"/>
            <w:vAlign w:val="center"/>
          </w:tcPr>
          <w:p w14:paraId="20AD32F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周边</w:t>
            </w: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rPr>
              <w:t>0m范围内的植物、动物及其生态系统</w:t>
            </w:r>
          </w:p>
        </w:tc>
        <w:tc>
          <w:tcPr>
            <w:tcW w:w="1753" w:type="dxa"/>
            <w:vAlign w:val="center"/>
          </w:tcPr>
          <w:p w14:paraId="5CFA9A3B">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1D6DF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1" w:type="dxa"/>
            <w:vMerge w:val="restart"/>
            <w:vAlign w:val="center"/>
          </w:tcPr>
          <w:p w14:paraId="5B8E90C1">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环境风险</w:t>
            </w:r>
          </w:p>
        </w:tc>
        <w:tc>
          <w:tcPr>
            <w:tcW w:w="722" w:type="dxa"/>
            <w:vMerge w:val="restart"/>
            <w:vAlign w:val="center"/>
          </w:tcPr>
          <w:p w14:paraId="0BFC1977">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环境空气</w:t>
            </w:r>
          </w:p>
        </w:tc>
        <w:tc>
          <w:tcPr>
            <w:tcW w:w="1709" w:type="dxa"/>
            <w:vAlign w:val="center"/>
          </w:tcPr>
          <w:p w14:paraId="4B5E9B2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N4</w:t>
            </w:r>
            <w:r>
              <w:rPr>
                <w:rFonts w:hint="default" w:ascii="Times New Roman" w:hAnsi="Times New Roman" w:eastAsia="宋体" w:cs="Times New Roman"/>
                <w:color w:val="FF0000"/>
                <w:sz w:val="21"/>
                <w:szCs w:val="21"/>
                <w:highlight w:val="none"/>
                <w:lang w:val="en-US" w:eastAsia="zh-CN"/>
              </w:rPr>
              <w:t>1</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val="en-US" w:eastAsia="zh-CN"/>
              </w:rPr>
              <w:t>07</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val="en-US" w:eastAsia="zh-CN"/>
              </w:rPr>
              <w:t>01</w:t>
            </w:r>
            <w:r>
              <w:rPr>
                <w:rFonts w:hint="default" w:ascii="Times New Roman" w:hAnsi="Times New Roman" w:eastAsia="宋体" w:cs="Times New Roman"/>
                <w:color w:val="FF0000"/>
                <w:sz w:val="21"/>
                <w:szCs w:val="21"/>
                <w:highlight w:val="none"/>
              </w:rPr>
              <w:t>"</w:t>
            </w:r>
          </w:p>
        </w:tc>
        <w:tc>
          <w:tcPr>
            <w:tcW w:w="1710" w:type="dxa"/>
            <w:vAlign w:val="center"/>
          </w:tcPr>
          <w:p w14:paraId="08A9F3B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E10</w:t>
            </w:r>
            <w:r>
              <w:rPr>
                <w:rFonts w:hint="default" w:ascii="Times New Roman" w:hAnsi="Times New Roman" w:eastAsia="宋体" w:cs="Times New Roman"/>
                <w:color w:val="FF0000"/>
                <w:sz w:val="21"/>
                <w:szCs w:val="21"/>
                <w:highlight w:val="none"/>
                <w:lang w:val="en-US" w:eastAsia="zh-CN"/>
              </w:rPr>
              <w:t>8</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val="en-US" w:eastAsia="zh-CN"/>
              </w:rPr>
              <w:t>55</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val="en-US" w:eastAsia="zh-CN"/>
              </w:rPr>
              <w:t>52</w:t>
            </w:r>
            <w:r>
              <w:rPr>
                <w:rFonts w:hint="default" w:ascii="Times New Roman" w:hAnsi="Times New Roman" w:eastAsia="宋体" w:cs="Times New Roman"/>
                <w:color w:val="FF0000"/>
                <w:sz w:val="21"/>
                <w:szCs w:val="21"/>
                <w:highlight w:val="none"/>
              </w:rPr>
              <w:t>"</w:t>
            </w:r>
          </w:p>
        </w:tc>
        <w:tc>
          <w:tcPr>
            <w:tcW w:w="1710" w:type="dxa"/>
            <w:vAlign w:val="center"/>
          </w:tcPr>
          <w:p w14:paraId="7B7FFE4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马卜子村</w:t>
            </w:r>
          </w:p>
        </w:tc>
        <w:tc>
          <w:tcPr>
            <w:tcW w:w="864" w:type="dxa"/>
            <w:vAlign w:val="center"/>
          </w:tcPr>
          <w:p w14:paraId="2CEB6F5B">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居民</w:t>
            </w:r>
          </w:p>
        </w:tc>
        <w:tc>
          <w:tcPr>
            <w:tcW w:w="864" w:type="dxa"/>
            <w:vAlign w:val="center"/>
          </w:tcPr>
          <w:p w14:paraId="6033B11F">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6</w:t>
            </w:r>
          </w:p>
        </w:tc>
        <w:tc>
          <w:tcPr>
            <w:tcW w:w="864" w:type="dxa"/>
            <w:vAlign w:val="center"/>
          </w:tcPr>
          <w:p w14:paraId="5E1B61E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16</w:t>
            </w:r>
          </w:p>
        </w:tc>
        <w:tc>
          <w:tcPr>
            <w:tcW w:w="1428" w:type="dxa"/>
            <w:vAlign w:val="center"/>
          </w:tcPr>
          <w:p w14:paraId="6F9C4DB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南侧</w:t>
            </w:r>
          </w:p>
        </w:tc>
        <w:tc>
          <w:tcPr>
            <w:tcW w:w="1261" w:type="dxa"/>
            <w:vAlign w:val="center"/>
          </w:tcPr>
          <w:p w14:paraId="6E35DD80">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85</w:t>
            </w:r>
          </w:p>
        </w:tc>
        <w:tc>
          <w:tcPr>
            <w:tcW w:w="1753" w:type="dxa"/>
            <w:vMerge w:val="restart"/>
            <w:vAlign w:val="center"/>
          </w:tcPr>
          <w:p w14:paraId="70E9DD7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《环境空气质量标准》（GB3095-2012）二类功能区标准</w:t>
            </w:r>
          </w:p>
        </w:tc>
      </w:tr>
      <w:tr w14:paraId="74B65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1" w:type="dxa"/>
            <w:vMerge w:val="continue"/>
            <w:vAlign w:val="center"/>
          </w:tcPr>
          <w:p w14:paraId="6CDEA5BB">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722" w:type="dxa"/>
            <w:vMerge w:val="continue"/>
            <w:vAlign w:val="center"/>
          </w:tcPr>
          <w:p w14:paraId="72DCBDE6">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709" w:type="dxa"/>
            <w:vAlign w:val="center"/>
          </w:tcPr>
          <w:p w14:paraId="4B80821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N4</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06</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55</w:t>
            </w:r>
            <w:r>
              <w:rPr>
                <w:rFonts w:hint="default" w:ascii="Times New Roman" w:hAnsi="Times New Roman" w:eastAsia="宋体" w:cs="Times New Roman"/>
                <w:color w:val="auto"/>
                <w:sz w:val="21"/>
                <w:szCs w:val="21"/>
                <w:highlight w:val="none"/>
              </w:rPr>
              <w:t>"</w:t>
            </w:r>
          </w:p>
        </w:tc>
        <w:tc>
          <w:tcPr>
            <w:tcW w:w="1710" w:type="dxa"/>
            <w:vAlign w:val="center"/>
          </w:tcPr>
          <w:p w14:paraId="4DE067F7">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E10</w:t>
            </w: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54</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34</w:t>
            </w:r>
            <w:r>
              <w:rPr>
                <w:rFonts w:hint="default" w:ascii="Times New Roman" w:hAnsi="Times New Roman" w:eastAsia="宋体" w:cs="Times New Roman"/>
                <w:color w:val="auto"/>
                <w:sz w:val="21"/>
                <w:szCs w:val="21"/>
                <w:highlight w:val="none"/>
              </w:rPr>
              <w:t>"</w:t>
            </w:r>
          </w:p>
        </w:tc>
        <w:tc>
          <w:tcPr>
            <w:tcW w:w="1710" w:type="dxa"/>
            <w:vAlign w:val="center"/>
          </w:tcPr>
          <w:p w14:paraId="3575C26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瓦窑滩五社</w:t>
            </w:r>
          </w:p>
        </w:tc>
        <w:tc>
          <w:tcPr>
            <w:tcW w:w="864" w:type="dxa"/>
            <w:vAlign w:val="center"/>
          </w:tcPr>
          <w:p w14:paraId="7A3D568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居民</w:t>
            </w:r>
          </w:p>
        </w:tc>
        <w:tc>
          <w:tcPr>
            <w:tcW w:w="864" w:type="dxa"/>
            <w:vAlign w:val="center"/>
          </w:tcPr>
          <w:p w14:paraId="34EA3A9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45</w:t>
            </w:r>
          </w:p>
        </w:tc>
        <w:tc>
          <w:tcPr>
            <w:tcW w:w="864" w:type="dxa"/>
            <w:vAlign w:val="center"/>
          </w:tcPr>
          <w:p w14:paraId="435A3326">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120</w:t>
            </w:r>
          </w:p>
        </w:tc>
        <w:tc>
          <w:tcPr>
            <w:tcW w:w="1428" w:type="dxa"/>
            <w:vAlign w:val="center"/>
          </w:tcPr>
          <w:p w14:paraId="36116EE0">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西南侧</w:t>
            </w:r>
          </w:p>
        </w:tc>
        <w:tc>
          <w:tcPr>
            <w:tcW w:w="1261" w:type="dxa"/>
            <w:vAlign w:val="center"/>
          </w:tcPr>
          <w:p w14:paraId="68754CA7">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1780</w:t>
            </w:r>
          </w:p>
        </w:tc>
        <w:tc>
          <w:tcPr>
            <w:tcW w:w="1753" w:type="dxa"/>
            <w:vMerge w:val="continue"/>
            <w:vAlign w:val="center"/>
          </w:tcPr>
          <w:p w14:paraId="4359A26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14:paraId="4C056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1" w:type="dxa"/>
            <w:vMerge w:val="continue"/>
            <w:vAlign w:val="center"/>
          </w:tcPr>
          <w:p w14:paraId="08BF0E60">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722" w:type="dxa"/>
            <w:vMerge w:val="continue"/>
            <w:vAlign w:val="center"/>
          </w:tcPr>
          <w:p w14:paraId="21F64FD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709" w:type="dxa"/>
            <w:vAlign w:val="center"/>
          </w:tcPr>
          <w:p w14:paraId="62ED159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B050"/>
                <w:kern w:val="2"/>
                <w:sz w:val="21"/>
                <w:szCs w:val="21"/>
                <w:highlight w:val="none"/>
                <w:lang w:val="en-US" w:eastAsia="zh-CN" w:bidi="ar-SA"/>
              </w:rPr>
            </w:pPr>
            <w:r>
              <w:rPr>
                <w:rFonts w:hint="default" w:ascii="Times New Roman" w:hAnsi="Times New Roman" w:eastAsia="宋体" w:cs="Times New Roman"/>
                <w:color w:val="00B050"/>
                <w:sz w:val="21"/>
                <w:szCs w:val="21"/>
                <w:highlight w:val="none"/>
              </w:rPr>
              <w:t>N4</w:t>
            </w:r>
            <w:r>
              <w:rPr>
                <w:rFonts w:hint="default" w:ascii="Times New Roman" w:hAnsi="Times New Roman" w:eastAsia="宋体" w:cs="Times New Roman"/>
                <w:color w:val="00B050"/>
                <w:sz w:val="21"/>
                <w:szCs w:val="21"/>
                <w:highlight w:val="none"/>
                <w:lang w:val="en-US" w:eastAsia="zh-CN"/>
              </w:rPr>
              <w:t>1</w:t>
            </w:r>
            <w:r>
              <w:rPr>
                <w:rFonts w:hint="default" w:ascii="Times New Roman" w:hAnsi="Times New Roman" w:eastAsia="宋体" w:cs="Times New Roman"/>
                <w:color w:val="00B050"/>
                <w:sz w:val="21"/>
                <w:szCs w:val="21"/>
                <w:highlight w:val="none"/>
              </w:rPr>
              <w:t>°</w:t>
            </w:r>
            <w:r>
              <w:rPr>
                <w:rFonts w:hint="default" w:ascii="Times New Roman" w:hAnsi="Times New Roman" w:eastAsia="宋体" w:cs="Times New Roman"/>
                <w:color w:val="00B050"/>
                <w:sz w:val="21"/>
                <w:szCs w:val="21"/>
                <w:highlight w:val="none"/>
                <w:lang w:val="en-US" w:eastAsia="zh-CN"/>
              </w:rPr>
              <w:t>0</w:t>
            </w:r>
            <w:r>
              <w:rPr>
                <w:rFonts w:hint="default" w:ascii="Times New Roman" w:hAnsi="Times New Roman" w:eastAsia="宋体" w:cs="Times New Roman"/>
                <w:color w:val="00B050"/>
                <w:sz w:val="21"/>
                <w:szCs w:val="21"/>
                <w:highlight w:val="none"/>
                <w:lang w:val="en-US" w:eastAsia="zh-CN"/>
              </w:rPr>
              <w:t>6</w:t>
            </w:r>
            <w:r>
              <w:rPr>
                <w:rFonts w:hint="default" w:ascii="Times New Roman" w:hAnsi="Times New Roman" w:eastAsia="宋体" w:cs="Times New Roman"/>
                <w:color w:val="00B050"/>
                <w:sz w:val="21"/>
                <w:szCs w:val="21"/>
                <w:highlight w:val="none"/>
              </w:rPr>
              <w:t>'</w:t>
            </w:r>
            <w:r>
              <w:rPr>
                <w:rFonts w:hint="default" w:ascii="Times New Roman" w:hAnsi="Times New Roman" w:eastAsia="宋体" w:cs="Times New Roman"/>
                <w:color w:val="00B050"/>
                <w:sz w:val="21"/>
                <w:szCs w:val="21"/>
                <w:highlight w:val="none"/>
                <w:lang w:val="en-US" w:eastAsia="zh-CN"/>
              </w:rPr>
              <w:t>57</w:t>
            </w:r>
            <w:r>
              <w:rPr>
                <w:rFonts w:hint="default" w:ascii="Times New Roman" w:hAnsi="Times New Roman" w:eastAsia="宋体" w:cs="Times New Roman"/>
                <w:color w:val="00B050"/>
                <w:sz w:val="21"/>
                <w:szCs w:val="21"/>
                <w:highlight w:val="none"/>
              </w:rPr>
              <w:t>"</w:t>
            </w:r>
          </w:p>
        </w:tc>
        <w:tc>
          <w:tcPr>
            <w:tcW w:w="1710" w:type="dxa"/>
            <w:vAlign w:val="center"/>
          </w:tcPr>
          <w:p w14:paraId="6D9B929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B050"/>
                <w:kern w:val="2"/>
                <w:sz w:val="21"/>
                <w:szCs w:val="21"/>
                <w:highlight w:val="none"/>
                <w:lang w:val="en-US" w:eastAsia="zh-CN" w:bidi="ar-SA"/>
              </w:rPr>
            </w:pPr>
            <w:r>
              <w:rPr>
                <w:rFonts w:hint="default" w:ascii="Times New Roman" w:hAnsi="Times New Roman" w:eastAsia="宋体" w:cs="Times New Roman"/>
                <w:color w:val="00B050"/>
                <w:sz w:val="21"/>
                <w:szCs w:val="21"/>
                <w:highlight w:val="none"/>
              </w:rPr>
              <w:t>E10</w:t>
            </w:r>
            <w:r>
              <w:rPr>
                <w:rFonts w:hint="default" w:ascii="Times New Roman" w:hAnsi="Times New Roman" w:eastAsia="宋体" w:cs="Times New Roman"/>
                <w:color w:val="00B050"/>
                <w:sz w:val="21"/>
                <w:szCs w:val="21"/>
                <w:highlight w:val="none"/>
                <w:lang w:val="en-US" w:eastAsia="zh-CN"/>
              </w:rPr>
              <w:t>8</w:t>
            </w:r>
            <w:r>
              <w:rPr>
                <w:rFonts w:hint="default" w:ascii="Times New Roman" w:hAnsi="Times New Roman" w:eastAsia="宋体" w:cs="Times New Roman"/>
                <w:color w:val="00B050"/>
                <w:sz w:val="21"/>
                <w:szCs w:val="21"/>
                <w:highlight w:val="none"/>
              </w:rPr>
              <w:t>°</w:t>
            </w:r>
            <w:r>
              <w:rPr>
                <w:rFonts w:hint="default" w:ascii="Times New Roman" w:hAnsi="Times New Roman" w:eastAsia="宋体" w:cs="Times New Roman"/>
                <w:color w:val="00B050"/>
                <w:sz w:val="21"/>
                <w:szCs w:val="21"/>
                <w:highlight w:val="none"/>
                <w:lang w:val="en-US" w:eastAsia="zh-CN"/>
              </w:rPr>
              <w:t>5</w:t>
            </w:r>
            <w:r>
              <w:rPr>
                <w:rFonts w:hint="default" w:ascii="Times New Roman" w:hAnsi="Times New Roman" w:eastAsia="宋体" w:cs="Times New Roman"/>
                <w:color w:val="00B050"/>
                <w:sz w:val="21"/>
                <w:szCs w:val="21"/>
                <w:highlight w:val="none"/>
                <w:lang w:val="en-US" w:eastAsia="zh-CN"/>
              </w:rPr>
              <w:t>6</w:t>
            </w:r>
            <w:r>
              <w:rPr>
                <w:rFonts w:hint="default" w:ascii="Times New Roman" w:hAnsi="Times New Roman" w:eastAsia="宋体" w:cs="Times New Roman"/>
                <w:color w:val="00B050"/>
                <w:sz w:val="21"/>
                <w:szCs w:val="21"/>
                <w:highlight w:val="none"/>
              </w:rPr>
              <w:t>'</w:t>
            </w:r>
            <w:r>
              <w:rPr>
                <w:rFonts w:hint="default" w:ascii="Times New Roman" w:hAnsi="Times New Roman" w:eastAsia="宋体" w:cs="Times New Roman"/>
                <w:color w:val="00B050"/>
                <w:sz w:val="21"/>
                <w:szCs w:val="21"/>
                <w:highlight w:val="none"/>
                <w:lang w:val="en-US" w:eastAsia="zh-CN"/>
              </w:rPr>
              <w:t>14</w:t>
            </w:r>
            <w:r>
              <w:rPr>
                <w:rFonts w:hint="default" w:ascii="Times New Roman" w:hAnsi="Times New Roman" w:eastAsia="宋体" w:cs="Times New Roman"/>
                <w:color w:val="00B050"/>
                <w:sz w:val="21"/>
                <w:szCs w:val="21"/>
                <w:highlight w:val="none"/>
              </w:rPr>
              <w:t>"</w:t>
            </w:r>
          </w:p>
        </w:tc>
        <w:tc>
          <w:tcPr>
            <w:tcW w:w="1710" w:type="dxa"/>
            <w:vAlign w:val="center"/>
          </w:tcPr>
          <w:p w14:paraId="6A02BEB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B050"/>
                <w:kern w:val="2"/>
                <w:sz w:val="21"/>
                <w:szCs w:val="21"/>
                <w:highlight w:val="none"/>
                <w:lang w:val="en-US" w:eastAsia="zh-CN" w:bidi="ar-SA"/>
              </w:rPr>
            </w:pPr>
            <w:r>
              <w:rPr>
                <w:rFonts w:hint="default" w:ascii="Times New Roman" w:hAnsi="Times New Roman" w:eastAsia="宋体" w:cs="Times New Roman"/>
                <w:color w:val="00B050"/>
                <w:kern w:val="2"/>
                <w:sz w:val="21"/>
                <w:szCs w:val="21"/>
                <w:highlight w:val="none"/>
                <w:lang w:val="en-US" w:eastAsia="zh-CN" w:bidi="ar-SA"/>
              </w:rPr>
              <w:t>居民</w:t>
            </w:r>
          </w:p>
        </w:tc>
        <w:tc>
          <w:tcPr>
            <w:tcW w:w="864" w:type="dxa"/>
            <w:vAlign w:val="center"/>
          </w:tcPr>
          <w:p w14:paraId="60DB777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B050"/>
                <w:kern w:val="2"/>
                <w:sz w:val="21"/>
                <w:szCs w:val="21"/>
                <w:highlight w:val="none"/>
                <w:lang w:val="en-US" w:eastAsia="zh-CN" w:bidi="ar-SA"/>
              </w:rPr>
            </w:pPr>
            <w:r>
              <w:rPr>
                <w:rFonts w:hint="default" w:ascii="Times New Roman" w:hAnsi="Times New Roman" w:eastAsia="宋体" w:cs="Times New Roman"/>
                <w:color w:val="00B050"/>
                <w:sz w:val="21"/>
                <w:szCs w:val="21"/>
                <w:highlight w:val="none"/>
              </w:rPr>
              <w:t>居民</w:t>
            </w:r>
          </w:p>
        </w:tc>
        <w:tc>
          <w:tcPr>
            <w:tcW w:w="864" w:type="dxa"/>
            <w:vAlign w:val="center"/>
          </w:tcPr>
          <w:p w14:paraId="3D1966C4">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B050"/>
                <w:kern w:val="2"/>
                <w:sz w:val="21"/>
                <w:szCs w:val="21"/>
                <w:highlight w:val="none"/>
                <w:lang w:val="en-US" w:eastAsia="zh-CN" w:bidi="ar-SA"/>
              </w:rPr>
            </w:pPr>
            <w:r>
              <w:rPr>
                <w:rFonts w:hint="default" w:ascii="Times New Roman" w:hAnsi="Times New Roman" w:eastAsia="宋体" w:cs="Times New Roman"/>
                <w:color w:val="00B050"/>
                <w:sz w:val="21"/>
                <w:szCs w:val="21"/>
                <w:highlight w:val="none"/>
                <w:lang w:val="en-US" w:eastAsia="zh-CN"/>
              </w:rPr>
              <w:t>3</w:t>
            </w:r>
          </w:p>
        </w:tc>
        <w:tc>
          <w:tcPr>
            <w:tcW w:w="864" w:type="dxa"/>
            <w:vAlign w:val="center"/>
          </w:tcPr>
          <w:p w14:paraId="156DC13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B050"/>
                <w:kern w:val="2"/>
                <w:sz w:val="21"/>
                <w:szCs w:val="21"/>
                <w:highlight w:val="none"/>
                <w:lang w:val="en-US" w:eastAsia="zh-CN" w:bidi="ar-SA"/>
              </w:rPr>
            </w:pPr>
            <w:r>
              <w:rPr>
                <w:rFonts w:hint="default" w:ascii="Times New Roman" w:hAnsi="Times New Roman" w:eastAsia="宋体" w:cs="Times New Roman"/>
                <w:color w:val="00B050"/>
                <w:sz w:val="21"/>
                <w:szCs w:val="21"/>
                <w:highlight w:val="none"/>
                <w:lang w:val="en-US" w:eastAsia="zh-CN"/>
              </w:rPr>
              <w:t>8</w:t>
            </w:r>
          </w:p>
        </w:tc>
        <w:tc>
          <w:tcPr>
            <w:tcW w:w="1428" w:type="dxa"/>
            <w:vAlign w:val="center"/>
          </w:tcPr>
          <w:p w14:paraId="1CC0371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B050"/>
                <w:kern w:val="2"/>
                <w:sz w:val="21"/>
                <w:szCs w:val="21"/>
                <w:highlight w:val="none"/>
                <w:lang w:val="en-US" w:eastAsia="zh-CN" w:bidi="ar-SA"/>
              </w:rPr>
            </w:pPr>
            <w:r>
              <w:rPr>
                <w:rFonts w:hint="default" w:ascii="Times New Roman" w:hAnsi="Times New Roman" w:eastAsia="宋体" w:cs="Times New Roman"/>
                <w:color w:val="00B050"/>
                <w:sz w:val="21"/>
                <w:szCs w:val="21"/>
                <w:highlight w:val="none"/>
                <w:lang w:val="en-US" w:eastAsia="zh-CN"/>
              </w:rPr>
              <w:t>东南侧</w:t>
            </w:r>
          </w:p>
        </w:tc>
        <w:tc>
          <w:tcPr>
            <w:tcW w:w="1261" w:type="dxa"/>
            <w:vAlign w:val="center"/>
          </w:tcPr>
          <w:p w14:paraId="718AFDA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B050"/>
                <w:kern w:val="2"/>
                <w:sz w:val="21"/>
                <w:szCs w:val="21"/>
                <w:highlight w:val="none"/>
                <w:lang w:val="en-US" w:eastAsia="zh-CN" w:bidi="ar-SA"/>
              </w:rPr>
            </w:pPr>
            <w:r>
              <w:rPr>
                <w:rFonts w:hint="default" w:ascii="Times New Roman" w:hAnsi="Times New Roman" w:eastAsia="宋体" w:cs="Times New Roman"/>
                <w:color w:val="00B050"/>
                <w:sz w:val="21"/>
                <w:szCs w:val="21"/>
                <w:highlight w:val="none"/>
                <w:lang w:val="en-US" w:eastAsia="zh-CN"/>
              </w:rPr>
              <w:t>250</w:t>
            </w:r>
          </w:p>
        </w:tc>
        <w:tc>
          <w:tcPr>
            <w:tcW w:w="1753" w:type="dxa"/>
            <w:vMerge w:val="continue"/>
            <w:vAlign w:val="center"/>
          </w:tcPr>
          <w:p w14:paraId="0C8208C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14:paraId="174B3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1" w:type="dxa"/>
            <w:vMerge w:val="continue"/>
            <w:vAlign w:val="center"/>
          </w:tcPr>
          <w:p w14:paraId="1D0A013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722" w:type="dxa"/>
            <w:vMerge w:val="continue"/>
            <w:vAlign w:val="center"/>
          </w:tcPr>
          <w:p w14:paraId="374F528B">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709" w:type="dxa"/>
            <w:vAlign w:val="center"/>
          </w:tcPr>
          <w:p w14:paraId="516993F1">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N4</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05</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58</w:t>
            </w:r>
            <w:r>
              <w:rPr>
                <w:rFonts w:hint="default" w:ascii="Times New Roman" w:hAnsi="Times New Roman" w:eastAsia="宋体" w:cs="Times New Roman"/>
                <w:color w:val="auto"/>
                <w:sz w:val="21"/>
                <w:szCs w:val="21"/>
                <w:highlight w:val="none"/>
              </w:rPr>
              <w:t>"</w:t>
            </w:r>
          </w:p>
        </w:tc>
        <w:tc>
          <w:tcPr>
            <w:tcW w:w="1710" w:type="dxa"/>
            <w:vAlign w:val="center"/>
          </w:tcPr>
          <w:p w14:paraId="344395B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E10</w:t>
            </w: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57</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w:t>
            </w:r>
          </w:p>
        </w:tc>
        <w:tc>
          <w:tcPr>
            <w:tcW w:w="1710" w:type="dxa"/>
            <w:vAlign w:val="center"/>
          </w:tcPr>
          <w:p w14:paraId="019BAF9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砖圪旦</w:t>
            </w:r>
          </w:p>
        </w:tc>
        <w:tc>
          <w:tcPr>
            <w:tcW w:w="864" w:type="dxa"/>
            <w:vAlign w:val="center"/>
          </w:tcPr>
          <w:p w14:paraId="0B20B17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居民</w:t>
            </w:r>
          </w:p>
        </w:tc>
        <w:tc>
          <w:tcPr>
            <w:tcW w:w="864" w:type="dxa"/>
            <w:vAlign w:val="center"/>
          </w:tcPr>
          <w:p w14:paraId="444E975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22</w:t>
            </w:r>
          </w:p>
        </w:tc>
        <w:tc>
          <w:tcPr>
            <w:tcW w:w="864" w:type="dxa"/>
            <w:vAlign w:val="center"/>
          </w:tcPr>
          <w:p w14:paraId="6579749F">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46</w:t>
            </w:r>
          </w:p>
        </w:tc>
        <w:tc>
          <w:tcPr>
            <w:tcW w:w="1428" w:type="dxa"/>
            <w:vAlign w:val="center"/>
          </w:tcPr>
          <w:p w14:paraId="35F120EB">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东南侧</w:t>
            </w:r>
          </w:p>
        </w:tc>
        <w:tc>
          <w:tcPr>
            <w:tcW w:w="1261" w:type="dxa"/>
            <w:vAlign w:val="center"/>
          </w:tcPr>
          <w:p w14:paraId="5571F77F">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2650</w:t>
            </w:r>
          </w:p>
        </w:tc>
        <w:tc>
          <w:tcPr>
            <w:tcW w:w="1753" w:type="dxa"/>
            <w:vMerge w:val="continue"/>
            <w:vAlign w:val="center"/>
          </w:tcPr>
          <w:p w14:paraId="58F3F29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14:paraId="309F0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21" w:type="dxa"/>
            <w:vMerge w:val="continue"/>
            <w:vAlign w:val="center"/>
          </w:tcPr>
          <w:p w14:paraId="2389636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722" w:type="dxa"/>
            <w:vMerge w:val="continue"/>
            <w:vAlign w:val="center"/>
          </w:tcPr>
          <w:p w14:paraId="31A496D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709" w:type="dxa"/>
            <w:vAlign w:val="center"/>
          </w:tcPr>
          <w:p w14:paraId="503AAED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N4</w:t>
            </w:r>
            <w:r>
              <w:rPr>
                <w:rFonts w:hint="default" w:ascii="Times New Roman" w:hAnsi="Times New Roman" w:eastAsia="宋体" w:cs="Times New Roman"/>
                <w:color w:val="FF0000"/>
                <w:sz w:val="21"/>
                <w:szCs w:val="21"/>
                <w:highlight w:val="none"/>
                <w:lang w:val="en-US" w:eastAsia="zh-CN"/>
              </w:rPr>
              <w:t>1</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val="en-US" w:eastAsia="zh-CN"/>
              </w:rPr>
              <w:t>05</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val="en-US" w:eastAsia="zh-CN"/>
              </w:rPr>
              <w:t>38</w:t>
            </w:r>
            <w:r>
              <w:rPr>
                <w:rFonts w:hint="default" w:ascii="Times New Roman" w:hAnsi="Times New Roman" w:eastAsia="宋体" w:cs="Times New Roman"/>
                <w:color w:val="FF0000"/>
                <w:sz w:val="21"/>
                <w:szCs w:val="21"/>
                <w:highlight w:val="none"/>
              </w:rPr>
              <w:t>"</w:t>
            </w:r>
          </w:p>
        </w:tc>
        <w:tc>
          <w:tcPr>
            <w:tcW w:w="1710" w:type="dxa"/>
            <w:vAlign w:val="center"/>
          </w:tcPr>
          <w:p w14:paraId="1E8B183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E10</w:t>
            </w:r>
            <w:r>
              <w:rPr>
                <w:rFonts w:hint="default" w:ascii="Times New Roman" w:hAnsi="Times New Roman" w:eastAsia="宋体" w:cs="Times New Roman"/>
                <w:color w:val="FF0000"/>
                <w:sz w:val="21"/>
                <w:szCs w:val="21"/>
                <w:highlight w:val="none"/>
                <w:lang w:val="en-US" w:eastAsia="zh-CN"/>
              </w:rPr>
              <w:t>8</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val="en-US" w:eastAsia="zh-CN"/>
              </w:rPr>
              <w:t>5</w:t>
            </w:r>
            <w:r>
              <w:rPr>
                <w:rFonts w:hint="default" w:ascii="Times New Roman" w:hAnsi="Times New Roman" w:eastAsia="宋体" w:cs="Times New Roman"/>
                <w:color w:val="FF0000"/>
                <w:sz w:val="21"/>
                <w:szCs w:val="21"/>
                <w:highlight w:val="none"/>
                <w:lang w:val="en-US" w:eastAsia="zh-CN"/>
              </w:rPr>
              <w:t>5</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val="en-US" w:eastAsia="zh-CN"/>
              </w:rPr>
              <w:t>2</w:t>
            </w:r>
            <w:r>
              <w:rPr>
                <w:rFonts w:hint="default" w:ascii="Times New Roman" w:hAnsi="Times New Roman" w:eastAsia="宋体" w:cs="Times New Roman"/>
                <w:color w:val="FF0000"/>
                <w:sz w:val="21"/>
                <w:szCs w:val="21"/>
                <w:highlight w:val="none"/>
                <w:lang w:val="en-US" w:eastAsia="zh-CN"/>
              </w:rPr>
              <w:t>0</w:t>
            </w:r>
            <w:r>
              <w:rPr>
                <w:rFonts w:hint="default" w:ascii="Times New Roman" w:hAnsi="Times New Roman" w:eastAsia="宋体" w:cs="Times New Roman"/>
                <w:color w:val="FF0000"/>
                <w:sz w:val="21"/>
                <w:szCs w:val="21"/>
                <w:highlight w:val="none"/>
              </w:rPr>
              <w:t>"</w:t>
            </w:r>
          </w:p>
        </w:tc>
        <w:tc>
          <w:tcPr>
            <w:tcW w:w="1710" w:type="dxa"/>
            <w:vAlign w:val="center"/>
          </w:tcPr>
          <w:p w14:paraId="742A9D4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乌梁素海湿地水禽自然保护区实验区</w:t>
            </w:r>
          </w:p>
        </w:tc>
        <w:tc>
          <w:tcPr>
            <w:tcW w:w="2592" w:type="dxa"/>
            <w:gridSpan w:val="3"/>
            <w:vAlign w:val="center"/>
          </w:tcPr>
          <w:p w14:paraId="661A4AC4">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自然保护区</w:t>
            </w:r>
            <w:r>
              <w:rPr>
                <w:rFonts w:hint="default" w:ascii="Times New Roman" w:hAnsi="Times New Roman" w:eastAsia="宋体" w:cs="Times New Roman"/>
                <w:color w:val="00B050"/>
                <w:sz w:val="21"/>
                <w:szCs w:val="21"/>
                <w:highlight w:val="none"/>
              </w:rPr>
              <w:t>内</w:t>
            </w:r>
            <w:r>
              <w:rPr>
                <w:rFonts w:hint="default" w:ascii="Times New Roman" w:hAnsi="Times New Roman" w:eastAsia="宋体" w:cs="Times New Roman"/>
                <w:color w:val="00B050"/>
                <w:sz w:val="21"/>
                <w:szCs w:val="21"/>
                <w:highlight w:val="none"/>
                <w:lang w:val="en-US" w:eastAsia="zh-CN"/>
              </w:rPr>
              <w:t>动物、植物及</w:t>
            </w:r>
            <w:r>
              <w:rPr>
                <w:rFonts w:hint="default" w:ascii="Times New Roman" w:hAnsi="Times New Roman" w:eastAsia="宋体" w:cs="Times New Roman"/>
                <w:color w:val="00B050"/>
                <w:sz w:val="21"/>
                <w:szCs w:val="21"/>
                <w:highlight w:val="none"/>
              </w:rPr>
              <w:t>生态环境</w:t>
            </w:r>
          </w:p>
        </w:tc>
        <w:tc>
          <w:tcPr>
            <w:tcW w:w="1428" w:type="dxa"/>
            <w:vAlign w:val="center"/>
          </w:tcPr>
          <w:p w14:paraId="0D7E028F">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南侧</w:t>
            </w:r>
          </w:p>
        </w:tc>
        <w:tc>
          <w:tcPr>
            <w:tcW w:w="1261" w:type="dxa"/>
            <w:vAlign w:val="center"/>
          </w:tcPr>
          <w:p w14:paraId="6F32AD4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2400</w:t>
            </w:r>
          </w:p>
        </w:tc>
        <w:tc>
          <w:tcPr>
            <w:tcW w:w="1753" w:type="dxa"/>
            <w:vAlign w:val="center"/>
          </w:tcPr>
          <w:p w14:paraId="39283C7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FF0000"/>
                <w:sz w:val="21"/>
                <w:szCs w:val="21"/>
                <w:highlight w:val="none"/>
              </w:rPr>
              <w:t>《环境空气质量标准》（GB3095-2012）</w:t>
            </w:r>
            <w:r>
              <w:rPr>
                <w:rFonts w:hint="default" w:ascii="Times New Roman" w:hAnsi="Times New Roman" w:eastAsia="宋体" w:cs="Times New Roman"/>
                <w:color w:val="FF0000"/>
                <w:sz w:val="21"/>
                <w:szCs w:val="21"/>
                <w:highlight w:val="none"/>
                <w:lang w:val="en-US" w:eastAsia="zh-CN"/>
              </w:rPr>
              <w:t>一</w:t>
            </w:r>
            <w:r>
              <w:rPr>
                <w:rFonts w:hint="default" w:ascii="Times New Roman" w:hAnsi="Times New Roman" w:eastAsia="宋体" w:cs="Times New Roman"/>
                <w:color w:val="FF0000"/>
                <w:sz w:val="21"/>
                <w:szCs w:val="21"/>
                <w:highlight w:val="none"/>
              </w:rPr>
              <w:t>类功能区标准</w:t>
            </w:r>
          </w:p>
        </w:tc>
      </w:tr>
      <w:tr w14:paraId="72E9A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1" w:type="dxa"/>
            <w:vMerge w:val="continue"/>
            <w:vAlign w:val="center"/>
          </w:tcPr>
          <w:p w14:paraId="5ADA58E6">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722" w:type="dxa"/>
            <w:vMerge w:val="restart"/>
            <w:vAlign w:val="center"/>
          </w:tcPr>
          <w:p w14:paraId="2715761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地下水环境</w:t>
            </w:r>
          </w:p>
        </w:tc>
        <w:tc>
          <w:tcPr>
            <w:tcW w:w="1709" w:type="dxa"/>
            <w:vAlign w:val="center"/>
          </w:tcPr>
          <w:p w14:paraId="476FF1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zh-CN" w:eastAsia="zh-CN" w:bidi="ar-SA"/>
              </w:rPr>
            </w:pPr>
            <w:r>
              <w:rPr>
                <w:rFonts w:hint="default" w:ascii="Times New Roman" w:hAnsi="Times New Roman" w:eastAsia="宋体" w:cs="Times New Roman"/>
                <w:color w:val="FF0000"/>
                <w:sz w:val="21"/>
                <w:szCs w:val="21"/>
                <w:highlight w:val="none"/>
                <w:lang w:val="en-US" w:eastAsia="zh-CN"/>
              </w:rPr>
              <w:t>N</w:t>
            </w:r>
            <w:r>
              <w:rPr>
                <w:rFonts w:hint="default" w:ascii="Times New Roman" w:hAnsi="Times New Roman" w:eastAsia="宋体" w:cs="Times New Roman"/>
                <w:color w:val="FF0000"/>
                <w:sz w:val="21"/>
                <w:szCs w:val="21"/>
                <w:highlight w:val="none"/>
                <w:lang w:eastAsia="zh-CN"/>
              </w:rPr>
              <w:t>41°7′34.87″</w:t>
            </w:r>
          </w:p>
        </w:tc>
        <w:tc>
          <w:tcPr>
            <w:tcW w:w="1710" w:type="dxa"/>
            <w:vAlign w:val="center"/>
          </w:tcPr>
          <w:p w14:paraId="6253DF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zh-CN" w:eastAsia="zh-CN" w:bidi="ar-SA"/>
              </w:rPr>
            </w:pPr>
            <w:r>
              <w:rPr>
                <w:rFonts w:hint="default" w:ascii="Times New Roman" w:hAnsi="Times New Roman" w:eastAsia="宋体" w:cs="Times New Roman"/>
                <w:color w:val="FF0000"/>
                <w:sz w:val="21"/>
                <w:szCs w:val="21"/>
                <w:highlight w:val="none"/>
                <w:lang w:val="en-US" w:eastAsia="zh-CN"/>
              </w:rPr>
              <w:t>E</w:t>
            </w:r>
            <w:r>
              <w:rPr>
                <w:rFonts w:hint="default" w:ascii="Times New Roman" w:hAnsi="Times New Roman" w:eastAsia="宋体" w:cs="Times New Roman"/>
                <w:color w:val="FF0000"/>
                <w:sz w:val="21"/>
                <w:szCs w:val="21"/>
                <w:highlight w:val="none"/>
                <w:lang w:eastAsia="zh-CN"/>
              </w:rPr>
              <w:t>108°55′57.75″</w:t>
            </w:r>
          </w:p>
        </w:tc>
        <w:tc>
          <w:tcPr>
            <w:tcW w:w="1710" w:type="dxa"/>
            <w:vAlign w:val="center"/>
          </w:tcPr>
          <w:p w14:paraId="3D8384F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地下水</w:t>
            </w:r>
            <w:r>
              <w:rPr>
                <w:rFonts w:hint="default" w:ascii="Times New Roman" w:hAnsi="Times New Roman" w:eastAsia="宋体" w:cs="Times New Roman"/>
                <w:color w:val="FF0000"/>
                <w:kern w:val="2"/>
                <w:sz w:val="21"/>
                <w:szCs w:val="21"/>
                <w:highlight w:val="none"/>
                <w:lang w:val="en-US" w:eastAsia="zh-CN" w:bidi="ar-SA"/>
              </w:rPr>
              <w:t>上游</w:t>
            </w:r>
          </w:p>
        </w:tc>
        <w:tc>
          <w:tcPr>
            <w:tcW w:w="2592" w:type="dxa"/>
            <w:gridSpan w:val="3"/>
            <w:vAlign w:val="center"/>
          </w:tcPr>
          <w:p w14:paraId="2796D9F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灌溉水井</w:t>
            </w:r>
          </w:p>
        </w:tc>
        <w:tc>
          <w:tcPr>
            <w:tcW w:w="1428" w:type="dxa"/>
            <w:vAlign w:val="center"/>
          </w:tcPr>
          <w:p w14:paraId="2F12186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北侧</w:t>
            </w:r>
          </w:p>
        </w:tc>
        <w:tc>
          <w:tcPr>
            <w:tcW w:w="1261" w:type="dxa"/>
            <w:vAlign w:val="center"/>
          </w:tcPr>
          <w:p w14:paraId="73313CF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0.5</w:t>
            </w:r>
            <w:r>
              <w:rPr>
                <w:rFonts w:hint="default" w:ascii="Times New Roman" w:hAnsi="Times New Roman" w:eastAsia="宋体" w:cs="Times New Roman"/>
                <w:color w:val="FF0000"/>
                <w:sz w:val="21"/>
                <w:szCs w:val="21"/>
                <w:highlight w:val="none"/>
              </w:rPr>
              <w:t>km</w:t>
            </w:r>
          </w:p>
        </w:tc>
        <w:tc>
          <w:tcPr>
            <w:tcW w:w="1753" w:type="dxa"/>
            <w:vMerge w:val="restart"/>
            <w:vAlign w:val="center"/>
          </w:tcPr>
          <w:p w14:paraId="16E197EB">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eastAsia="zh-CN"/>
              </w:rPr>
              <w:t>地下水质量标准</w:t>
            </w:r>
            <w:r>
              <w:rPr>
                <w:rFonts w:hint="default" w:ascii="Times New Roman" w:hAnsi="Times New Roman" w:eastAsia="宋体" w:cs="Times New Roman"/>
                <w:color w:val="FF0000"/>
                <w:sz w:val="21"/>
                <w:szCs w:val="21"/>
                <w:highlight w:val="none"/>
              </w:rPr>
              <w:t>》（GB/T14848</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rPr>
              <w:t>2017）的</w:t>
            </w:r>
            <w:r>
              <w:rPr>
                <w:rFonts w:hint="default" w:ascii="Times New Roman" w:hAnsi="Times New Roman" w:eastAsia="宋体" w:cs="Times New Roman"/>
                <w:color w:val="FF0000"/>
                <w:sz w:val="21"/>
                <w:szCs w:val="21"/>
                <w:highlight w:val="none"/>
                <w:lang w:eastAsia="zh-CN"/>
              </w:rPr>
              <w:t>Ⅲ</w:t>
            </w:r>
            <w:r>
              <w:rPr>
                <w:rFonts w:hint="default" w:ascii="Times New Roman" w:hAnsi="Times New Roman" w:eastAsia="宋体" w:cs="Times New Roman"/>
                <w:color w:val="FF0000"/>
                <w:sz w:val="21"/>
                <w:szCs w:val="21"/>
                <w:highlight w:val="none"/>
              </w:rPr>
              <w:t>类标准</w:t>
            </w:r>
          </w:p>
        </w:tc>
      </w:tr>
      <w:tr w14:paraId="44F35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1" w:type="dxa"/>
            <w:vMerge w:val="continue"/>
            <w:vAlign w:val="center"/>
          </w:tcPr>
          <w:p w14:paraId="54FA70F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722" w:type="dxa"/>
            <w:vMerge w:val="continue"/>
            <w:vAlign w:val="center"/>
          </w:tcPr>
          <w:p w14:paraId="1DBBF9A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709" w:type="dxa"/>
            <w:vAlign w:val="center"/>
          </w:tcPr>
          <w:p w14:paraId="7F2CAE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zh-CN" w:eastAsia="zh-CN" w:bidi="ar-SA"/>
              </w:rPr>
            </w:pPr>
            <w:r>
              <w:rPr>
                <w:rFonts w:hint="default" w:ascii="Times New Roman" w:hAnsi="Times New Roman" w:eastAsia="宋体" w:cs="Times New Roman"/>
                <w:color w:val="FF0000"/>
                <w:sz w:val="21"/>
                <w:szCs w:val="21"/>
                <w:highlight w:val="none"/>
                <w:lang w:val="en-US" w:eastAsia="zh-CN"/>
              </w:rPr>
              <w:t>N</w:t>
            </w:r>
            <w:r>
              <w:rPr>
                <w:rFonts w:hint="default" w:ascii="Times New Roman" w:hAnsi="Times New Roman" w:eastAsia="宋体" w:cs="Times New Roman"/>
                <w:color w:val="FF0000"/>
                <w:sz w:val="21"/>
                <w:szCs w:val="21"/>
                <w:highlight w:val="none"/>
                <w:lang w:eastAsia="zh-CN"/>
              </w:rPr>
              <w:t>41°7′9.31″</w:t>
            </w:r>
          </w:p>
        </w:tc>
        <w:tc>
          <w:tcPr>
            <w:tcW w:w="1710" w:type="dxa"/>
            <w:vAlign w:val="center"/>
          </w:tcPr>
          <w:p w14:paraId="3BB421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zh-CN" w:eastAsia="zh-CN" w:bidi="ar-SA"/>
              </w:rPr>
            </w:pPr>
            <w:r>
              <w:rPr>
                <w:rFonts w:hint="default" w:ascii="Times New Roman" w:hAnsi="Times New Roman" w:eastAsia="宋体" w:cs="Times New Roman"/>
                <w:color w:val="FF0000"/>
                <w:sz w:val="21"/>
                <w:szCs w:val="21"/>
                <w:highlight w:val="none"/>
                <w:lang w:val="en-US" w:eastAsia="zh-CN"/>
              </w:rPr>
              <w:t>E</w:t>
            </w:r>
            <w:r>
              <w:rPr>
                <w:rFonts w:hint="default" w:ascii="Times New Roman" w:hAnsi="Times New Roman" w:eastAsia="宋体" w:cs="Times New Roman"/>
                <w:color w:val="FF0000"/>
                <w:sz w:val="21"/>
                <w:szCs w:val="21"/>
                <w:highlight w:val="none"/>
                <w:lang w:eastAsia="zh-CN"/>
              </w:rPr>
              <w:t>108°56′5.36″</w:t>
            </w:r>
          </w:p>
        </w:tc>
        <w:tc>
          <w:tcPr>
            <w:tcW w:w="1710" w:type="dxa"/>
            <w:vAlign w:val="center"/>
          </w:tcPr>
          <w:p w14:paraId="55227E4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w:t>
            </w:r>
          </w:p>
        </w:tc>
        <w:tc>
          <w:tcPr>
            <w:tcW w:w="2592" w:type="dxa"/>
            <w:gridSpan w:val="3"/>
            <w:vAlign w:val="center"/>
          </w:tcPr>
          <w:p w14:paraId="569E1B6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0000FF"/>
                <w:kern w:val="2"/>
                <w:sz w:val="21"/>
                <w:szCs w:val="21"/>
                <w:highlight w:val="none"/>
                <w:lang w:val="en-US" w:eastAsia="zh-CN" w:bidi="ar-SA"/>
              </w:rPr>
              <w:t>生活、</w:t>
            </w:r>
            <w:r>
              <w:rPr>
                <w:rFonts w:hint="default" w:ascii="Times New Roman" w:hAnsi="Times New Roman" w:eastAsia="宋体" w:cs="Times New Roman"/>
                <w:color w:val="FF0000"/>
                <w:kern w:val="2"/>
                <w:sz w:val="21"/>
                <w:szCs w:val="21"/>
                <w:highlight w:val="none"/>
                <w:lang w:val="en-US" w:eastAsia="zh-CN" w:bidi="ar-SA"/>
              </w:rPr>
              <w:t>养殖用水井</w:t>
            </w:r>
          </w:p>
        </w:tc>
        <w:tc>
          <w:tcPr>
            <w:tcW w:w="1428" w:type="dxa"/>
            <w:vAlign w:val="center"/>
          </w:tcPr>
          <w:p w14:paraId="08A5FFC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场区内</w:t>
            </w:r>
          </w:p>
        </w:tc>
        <w:tc>
          <w:tcPr>
            <w:tcW w:w="1261" w:type="dxa"/>
            <w:vAlign w:val="center"/>
          </w:tcPr>
          <w:p w14:paraId="338C208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w:t>
            </w:r>
          </w:p>
        </w:tc>
        <w:tc>
          <w:tcPr>
            <w:tcW w:w="1753" w:type="dxa"/>
            <w:vMerge w:val="continue"/>
            <w:vAlign w:val="center"/>
          </w:tcPr>
          <w:p w14:paraId="6798CBA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14:paraId="3DBE8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1" w:type="dxa"/>
            <w:vMerge w:val="continue"/>
            <w:vAlign w:val="center"/>
          </w:tcPr>
          <w:p w14:paraId="12CF6221">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722" w:type="dxa"/>
            <w:vMerge w:val="continue"/>
            <w:vAlign w:val="center"/>
          </w:tcPr>
          <w:p w14:paraId="3DC3D4C7">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709" w:type="dxa"/>
            <w:vAlign w:val="center"/>
          </w:tcPr>
          <w:p w14:paraId="33D0B4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zh-CN" w:eastAsia="zh-CN" w:bidi="ar-SA"/>
              </w:rPr>
            </w:pPr>
            <w:r>
              <w:rPr>
                <w:rFonts w:hint="default" w:ascii="Times New Roman" w:hAnsi="Times New Roman" w:eastAsia="宋体" w:cs="Times New Roman"/>
                <w:color w:val="FF0000"/>
                <w:sz w:val="21"/>
                <w:szCs w:val="21"/>
                <w:highlight w:val="none"/>
                <w:lang w:val="en-US" w:eastAsia="zh-CN"/>
              </w:rPr>
              <w:t>N41°6′56.72″</w:t>
            </w:r>
          </w:p>
        </w:tc>
        <w:tc>
          <w:tcPr>
            <w:tcW w:w="1710" w:type="dxa"/>
            <w:vAlign w:val="center"/>
          </w:tcPr>
          <w:p w14:paraId="5F6ED5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zh-CN" w:eastAsia="zh-CN" w:bidi="ar-SA"/>
              </w:rPr>
            </w:pPr>
            <w:r>
              <w:rPr>
                <w:rFonts w:hint="default" w:ascii="Times New Roman" w:hAnsi="Times New Roman" w:eastAsia="宋体" w:cs="Times New Roman"/>
                <w:color w:val="FF0000"/>
                <w:sz w:val="21"/>
                <w:szCs w:val="21"/>
                <w:highlight w:val="none"/>
                <w:lang w:val="en-US" w:eastAsia="zh-CN"/>
              </w:rPr>
              <w:t>E108°56′14.18″</w:t>
            </w:r>
          </w:p>
        </w:tc>
        <w:tc>
          <w:tcPr>
            <w:tcW w:w="1710" w:type="dxa"/>
            <w:vAlign w:val="center"/>
          </w:tcPr>
          <w:p w14:paraId="3EBD01D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地下水</w:t>
            </w:r>
            <w:r>
              <w:rPr>
                <w:rFonts w:hint="default" w:ascii="Times New Roman" w:hAnsi="Times New Roman" w:eastAsia="宋体" w:cs="Times New Roman"/>
                <w:color w:val="FF0000"/>
                <w:kern w:val="2"/>
                <w:sz w:val="21"/>
                <w:szCs w:val="21"/>
                <w:highlight w:val="none"/>
                <w:lang w:val="en-US" w:eastAsia="zh-CN" w:bidi="ar-SA"/>
              </w:rPr>
              <w:t>两侧</w:t>
            </w:r>
          </w:p>
        </w:tc>
        <w:tc>
          <w:tcPr>
            <w:tcW w:w="2592" w:type="dxa"/>
            <w:gridSpan w:val="3"/>
            <w:vAlign w:val="center"/>
          </w:tcPr>
          <w:p w14:paraId="72F2FBE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生活水井</w:t>
            </w:r>
          </w:p>
        </w:tc>
        <w:tc>
          <w:tcPr>
            <w:tcW w:w="1428" w:type="dxa"/>
            <w:vAlign w:val="center"/>
          </w:tcPr>
          <w:p w14:paraId="301FD10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东</w:t>
            </w:r>
            <w:r>
              <w:rPr>
                <w:rFonts w:hint="default" w:ascii="Times New Roman" w:hAnsi="Times New Roman" w:eastAsia="宋体" w:cs="Times New Roman"/>
                <w:color w:val="FF0000"/>
                <w:kern w:val="2"/>
                <w:sz w:val="21"/>
                <w:szCs w:val="21"/>
                <w:highlight w:val="none"/>
                <w:lang w:val="en-US" w:eastAsia="zh-CN" w:bidi="ar-SA"/>
              </w:rPr>
              <w:t>南</w:t>
            </w:r>
            <w:r>
              <w:rPr>
                <w:rFonts w:hint="default" w:ascii="Times New Roman" w:hAnsi="Times New Roman" w:eastAsia="宋体" w:cs="Times New Roman"/>
                <w:color w:val="FF0000"/>
                <w:sz w:val="21"/>
                <w:szCs w:val="21"/>
                <w:highlight w:val="none"/>
                <w:lang w:val="en-US" w:eastAsia="zh-CN"/>
              </w:rPr>
              <w:t>侧</w:t>
            </w:r>
          </w:p>
        </w:tc>
        <w:tc>
          <w:tcPr>
            <w:tcW w:w="1261" w:type="dxa"/>
            <w:vAlign w:val="center"/>
          </w:tcPr>
          <w:p w14:paraId="62E8B0B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0.25km</w:t>
            </w:r>
          </w:p>
        </w:tc>
        <w:tc>
          <w:tcPr>
            <w:tcW w:w="1753" w:type="dxa"/>
            <w:vMerge w:val="continue"/>
            <w:vAlign w:val="center"/>
          </w:tcPr>
          <w:p w14:paraId="7ECABBA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14:paraId="53D6E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1" w:type="dxa"/>
            <w:vMerge w:val="continue"/>
            <w:vAlign w:val="center"/>
          </w:tcPr>
          <w:p w14:paraId="34F489E7">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722" w:type="dxa"/>
            <w:vMerge w:val="continue"/>
            <w:vAlign w:val="center"/>
          </w:tcPr>
          <w:p w14:paraId="4A828AF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709" w:type="dxa"/>
            <w:vAlign w:val="center"/>
          </w:tcPr>
          <w:p w14:paraId="109684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N41°7′2.77″</w:t>
            </w:r>
          </w:p>
        </w:tc>
        <w:tc>
          <w:tcPr>
            <w:tcW w:w="1710" w:type="dxa"/>
            <w:vAlign w:val="center"/>
          </w:tcPr>
          <w:p w14:paraId="6873BE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E</w:t>
            </w:r>
            <w:r>
              <w:rPr>
                <w:rFonts w:hint="default" w:ascii="Times New Roman" w:hAnsi="Times New Roman" w:eastAsia="宋体" w:cs="Times New Roman"/>
                <w:color w:val="FF0000"/>
                <w:sz w:val="21"/>
                <w:szCs w:val="21"/>
                <w:highlight w:val="none"/>
                <w:lang w:val="en-US" w:eastAsia="zh-CN"/>
              </w:rPr>
              <w:t>108°56′26.41″</w:t>
            </w:r>
          </w:p>
        </w:tc>
        <w:tc>
          <w:tcPr>
            <w:tcW w:w="1710" w:type="dxa"/>
            <w:vAlign w:val="center"/>
          </w:tcPr>
          <w:p w14:paraId="2E405D9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地下水</w:t>
            </w:r>
            <w:r>
              <w:rPr>
                <w:rFonts w:hint="default" w:ascii="Times New Roman" w:hAnsi="Times New Roman" w:eastAsia="宋体" w:cs="Times New Roman"/>
                <w:color w:val="FF0000"/>
                <w:kern w:val="2"/>
                <w:sz w:val="21"/>
                <w:szCs w:val="21"/>
                <w:highlight w:val="none"/>
                <w:lang w:val="en-US" w:eastAsia="zh-CN" w:bidi="ar-SA"/>
              </w:rPr>
              <w:t>两侧</w:t>
            </w:r>
          </w:p>
        </w:tc>
        <w:tc>
          <w:tcPr>
            <w:tcW w:w="2592" w:type="dxa"/>
            <w:gridSpan w:val="3"/>
            <w:vAlign w:val="center"/>
          </w:tcPr>
          <w:p w14:paraId="36C6862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灌溉水井</w:t>
            </w:r>
          </w:p>
        </w:tc>
        <w:tc>
          <w:tcPr>
            <w:tcW w:w="1428" w:type="dxa"/>
            <w:vAlign w:val="center"/>
          </w:tcPr>
          <w:p w14:paraId="6473279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东侧</w:t>
            </w:r>
          </w:p>
        </w:tc>
        <w:tc>
          <w:tcPr>
            <w:tcW w:w="1261" w:type="dxa"/>
            <w:vAlign w:val="center"/>
          </w:tcPr>
          <w:p w14:paraId="05F4A54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0.43km</w:t>
            </w:r>
          </w:p>
        </w:tc>
        <w:tc>
          <w:tcPr>
            <w:tcW w:w="1753" w:type="dxa"/>
            <w:vMerge w:val="continue"/>
            <w:vAlign w:val="center"/>
          </w:tcPr>
          <w:p w14:paraId="5A58B6D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14:paraId="7B4F5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1" w:type="dxa"/>
            <w:vMerge w:val="continue"/>
            <w:vAlign w:val="center"/>
          </w:tcPr>
          <w:p w14:paraId="3CDD90E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722" w:type="dxa"/>
            <w:vMerge w:val="continue"/>
            <w:vAlign w:val="center"/>
          </w:tcPr>
          <w:p w14:paraId="42612E3B">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709" w:type="dxa"/>
            <w:vAlign w:val="center"/>
          </w:tcPr>
          <w:p w14:paraId="1A7E35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N41°6′46.35″</w:t>
            </w:r>
          </w:p>
        </w:tc>
        <w:tc>
          <w:tcPr>
            <w:tcW w:w="1710" w:type="dxa"/>
            <w:vAlign w:val="center"/>
          </w:tcPr>
          <w:p w14:paraId="68C93C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E108°56′10.46″</w:t>
            </w:r>
          </w:p>
        </w:tc>
        <w:tc>
          <w:tcPr>
            <w:tcW w:w="1710" w:type="dxa"/>
            <w:vAlign w:val="center"/>
          </w:tcPr>
          <w:p w14:paraId="253AB35B">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地下水</w:t>
            </w:r>
            <w:r>
              <w:rPr>
                <w:rFonts w:hint="default" w:ascii="Times New Roman" w:hAnsi="Times New Roman" w:eastAsia="宋体" w:cs="Times New Roman"/>
                <w:color w:val="FF0000"/>
                <w:kern w:val="2"/>
                <w:sz w:val="21"/>
                <w:szCs w:val="21"/>
                <w:highlight w:val="none"/>
                <w:lang w:val="en-US" w:eastAsia="zh-CN" w:bidi="ar-SA"/>
              </w:rPr>
              <w:t>下游</w:t>
            </w:r>
          </w:p>
        </w:tc>
        <w:tc>
          <w:tcPr>
            <w:tcW w:w="2592" w:type="dxa"/>
            <w:gridSpan w:val="3"/>
            <w:vAlign w:val="center"/>
          </w:tcPr>
          <w:p w14:paraId="0D433FA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灌溉水井</w:t>
            </w:r>
          </w:p>
        </w:tc>
        <w:tc>
          <w:tcPr>
            <w:tcW w:w="1428" w:type="dxa"/>
            <w:vAlign w:val="center"/>
          </w:tcPr>
          <w:p w14:paraId="1D4ECCB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南</w:t>
            </w:r>
            <w:r>
              <w:rPr>
                <w:rFonts w:hint="default" w:ascii="Times New Roman" w:hAnsi="Times New Roman" w:eastAsia="宋体" w:cs="Times New Roman"/>
                <w:color w:val="FF0000"/>
                <w:sz w:val="21"/>
                <w:szCs w:val="21"/>
                <w:highlight w:val="none"/>
                <w:lang w:val="en-US" w:eastAsia="zh-CN"/>
              </w:rPr>
              <w:t>侧</w:t>
            </w:r>
          </w:p>
        </w:tc>
        <w:tc>
          <w:tcPr>
            <w:tcW w:w="1261" w:type="dxa"/>
            <w:vAlign w:val="center"/>
          </w:tcPr>
          <w:p w14:paraId="49638CF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0.47</w:t>
            </w:r>
            <w:r>
              <w:rPr>
                <w:rFonts w:hint="default" w:ascii="Times New Roman" w:hAnsi="Times New Roman" w:eastAsia="宋体" w:cs="Times New Roman"/>
                <w:color w:val="FF0000"/>
                <w:sz w:val="21"/>
                <w:szCs w:val="21"/>
                <w:highlight w:val="none"/>
              </w:rPr>
              <w:t>km</w:t>
            </w:r>
          </w:p>
        </w:tc>
        <w:tc>
          <w:tcPr>
            <w:tcW w:w="1753" w:type="dxa"/>
            <w:vMerge w:val="continue"/>
            <w:vAlign w:val="center"/>
          </w:tcPr>
          <w:p w14:paraId="0334C76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14:paraId="53B19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1" w:type="dxa"/>
            <w:vMerge w:val="continue"/>
            <w:vAlign w:val="center"/>
          </w:tcPr>
          <w:p w14:paraId="73409B00">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722" w:type="dxa"/>
            <w:vMerge w:val="continue"/>
            <w:vAlign w:val="center"/>
          </w:tcPr>
          <w:p w14:paraId="72B01C4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709" w:type="dxa"/>
            <w:vAlign w:val="center"/>
          </w:tcPr>
          <w:p w14:paraId="0480A5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zh-CN" w:eastAsia="zh-CN" w:bidi="ar-SA"/>
              </w:rPr>
            </w:pPr>
            <w:r>
              <w:rPr>
                <w:rFonts w:hint="default" w:ascii="Times New Roman" w:hAnsi="Times New Roman" w:eastAsia="宋体" w:cs="Times New Roman"/>
                <w:color w:val="FF0000"/>
                <w:sz w:val="21"/>
                <w:szCs w:val="21"/>
                <w:highlight w:val="none"/>
                <w:lang w:val="en-US" w:eastAsia="zh-CN"/>
              </w:rPr>
              <w:t>N41°6′33.21″</w:t>
            </w:r>
          </w:p>
        </w:tc>
        <w:tc>
          <w:tcPr>
            <w:tcW w:w="1710" w:type="dxa"/>
            <w:vAlign w:val="center"/>
          </w:tcPr>
          <w:p w14:paraId="50C2C2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zh-CN" w:eastAsia="zh-CN" w:bidi="ar-SA"/>
              </w:rPr>
            </w:pPr>
            <w:r>
              <w:rPr>
                <w:rFonts w:hint="default" w:ascii="Times New Roman" w:hAnsi="Times New Roman" w:eastAsia="宋体" w:cs="Times New Roman"/>
                <w:color w:val="FF0000"/>
                <w:sz w:val="21"/>
                <w:szCs w:val="21"/>
                <w:highlight w:val="none"/>
                <w:lang w:val="en-US" w:eastAsia="zh-CN"/>
              </w:rPr>
              <w:t>E108°56′11.70″</w:t>
            </w:r>
          </w:p>
        </w:tc>
        <w:tc>
          <w:tcPr>
            <w:tcW w:w="1710" w:type="dxa"/>
            <w:vAlign w:val="center"/>
          </w:tcPr>
          <w:p w14:paraId="782779FF">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地下水</w:t>
            </w:r>
            <w:r>
              <w:rPr>
                <w:rFonts w:hint="default" w:ascii="Times New Roman" w:hAnsi="Times New Roman" w:eastAsia="宋体" w:cs="Times New Roman"/>
                <w:color w:val="FF0000"/>
                <w:kern w:val="2"/>
                <w:sz w:val="21"/>
                <w:szCs w:val="21"/>
                <w:highlight w:val="none"/>
                <w:lang w:val="en-US" w:eastAsia="zh-CN" w:bidi="ar-SA"/>
              </w:rPr>
              <w:t>下游</w:t>
            </w:r>
          </w:p>
        </w:tc>
        <w:tc>
          <w:tcPr>
            <w:tcW w:w="2592" w:type="dxa"/>
            <w:gridSpan w:val="3"/>
            <w:vAlign w:val="center"/>
          </w:tcPr>
          <w:p w14:paraId="15BE6C0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灌溉水井</w:t>
            </w:r>
          </w:p>
        </w:tc>
        <w:tc>
          <w:tcPr>
            <w:tcW w:w="1428" w:type="dxa"/>
            <w:vAlign w:val="center"/>
          </w:tcPr>
          <w:p w14:paraId="2FA3B65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南</w:t>
            </w:r>
            <w:r>
              <w:rPr>
                <w:rFonts w:hint="default" w:ascii="Times New Roman" w:hAnsi="Times New Roman" w:eastAsia="宋体" w:cs="Times New Roman"/>
                <w:color w:val="FF0000"/>
                <w:sz w:val="21"/>
                <w:szCs w:val="21"/>
                <w:highlight w:val="none"/>
                <w:lang w:val="en-US" w:eastAsia="zh-CN"/>
              </w:rPr>
              <w:t>侧</w:t>
            </w:r>
          </w:p>
        </w:tc>
        <w:tc>
          <w:tcPr>
            <w:tcW w:w="1261" w:type="dxa"/>
            <w:vAlign w:val="center"/>
          </w:tcPr>
          <w:p w14:paraId="1E6BAC7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0.89</w:t>
            </w:r>
            <w:r>
              <w:rPr>
                <w:rFonts w:hint="default" w:ascii="Times New Roman" w:hAnsi="Times New Roman" w:eastAsia="宋体" w:cs="Times New Roman"/>
                <w:color w:val="FF0000"/>
                <w:sz w:val="21"/>
                <w:szCs w:val="21"/>
                <w:highlight w:val="none"/>
              </w:rPr>
              <w:t>km</w:t>
            </w:r>
          </w:p>
        </w:tc>
        <w:tc>
          <w:tcPr>
            <w:tcW w:w="1753" w:type="dxa"/>
            <w:vMerge w:val="continue"/>
            <w:vAlign w:val="center"/>
          </w:tcPr>
          <w:p w14:paraId="4321E510">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bl>
    <w:p w14:paraId="13ECC0FD">
      <w:pPr>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p>
    <w:p w14:paraId="395AF14D">
      <w:pPr>
        <w:pStyle w:val="39"/>
        <w:pageBreakBefore w:val="0"/>
        <w:kinsoku/>
        <w:wordWrap/>
        <w:bidi w:val="0"/>
        <w:snapToGrid w:val="0"/>
        <w:spacing w:after="0" w:line="360" w:lineRule="auto"/>
        <w:ind w:left="0" w:leftChars="0" w:right="0" w:rightChars="0"/>
        <w:rPr>
          <w:rFonts w:hint="default" w:ascii="Times New Roman" w:hAnsi="Times New Roman" w:eastAsia="宋体" w:cs="Times New Roman"/>
          <w:color w:val="auto"/>
          <w:highlight w:val="none"/>
        </w:rPr>
      </w:pPr>
    </w:p>
    <w:p w14:paraId="4EF5D21A">
      <w:pPr>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sectPr>
          <w:pgSz w:w="16839" w:h="11907" w:orient="landscape"/>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26" w:charSpace="0"/>
        </w:sectPr>
      </w:pPr>
    </w:p>
    <w:p w14:paraId="6E4CCE8B">
      <w:pPr>
        <w:pStyle w:val="20"/>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b/>
          <w:bCs/>
          <w:color w:val="auto"/>
          <w:sz w:val="28"/>
          <w:szCs w:val="24"/>
          <w:highlight w:val="none"/>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3600" behindDoc="0" locked="0" layoutInCell="1" allowOverlap="1">
                <wp:simplePos x="0" y="0"/>
                <wp:positionH relativeFrom="column">
                  <wp:posOffset>3862705</wp:posOffset>
                </wp:positionH>
                <wp:positionV relativeFrom="paragraph">
                  <wp:posOffset>1722755</wp:posOffset>
                </wp:positionV>
                <wp:extent cx="2529840" cy="1791970"/>
                <wp:effectExtent l="12700" t="12700" r="24130" b="29210"/>
                <wp:wrapNone/>
                <wp:docPr id="12" name="矩形 12"/>
                <wp:cNvGraphicFramePr/>
                <a:graphic xmlns:a="http://schemas.openxmlformats.org/drawingml/2006/main">
                  <a:graphicData uri="http://schemas.microsoft.com/office/word/2010/wordprocessingShape">
                    <wps:wsp>
                      <wps:cNvSpPr/>
                      <wps:spPr>
                        <a:xfrm rot="5400000">
                          <a:off x="0" y="0"/>
                          <a:ext cx="2529840" cy="179197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4.15pt;margin-top:135.65pt;height:141.1pt;width:199.2pt;rotation:5898240f;z-index:251673600;v-text-anchor:middle;mso-width-relative:page;mso-height-relative:page;" filled="f" stroked="t" coordsize="21600,21600" o:gfxdata="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6KlH32wAAAAwBAAAPAAAAAAAAAAEAIAAAACIAAABkcnMvZG93bnJldi54bWxQ&#10;SwECFAAUAAAACACHTuJAIGVqs2YCAADFBAAADgAAAAAAAAABACAAAAAqAQAAZHJzL2Uyb0RvYy54&#10;bWxQSwUGAAAAAAYABgBZAQAAAgYAAAAA&#10;">
                <v:fill on="f" focussize="0,0"/>
                <v:stroke weight="2pt" color="#00B0F0 [3204]" joinstyle="round"/>
                <v:imagedata o:title=""/>
                <o:lock v:ext="edit" aspectratio="f"/>
              </v:rect>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71904" behindDoc="0" locked="0" layoutInCell="1" allowOverlap="1">
                <wp:simplePos x="0" y="0"/>
                <wp:positionH relativeFrom="column">
                  <wp:posOffset>5459095</wp:posOffset>
                </wp:positionH>
                <wp:positionV relativeFrom="paragraph">
                  <wp:posOffset>2538730</wp:posOffset>
                </wp:positionV>
                <wp:extent cx="541020" cy="319405"/>
                <wp:effectExtent l="0" t="0" r="0" b="0"/>
                <wp:wrapNone/>
                <wp:docPr id="68" name="矩形 68"/>
                <wp:cNvGraphicFramePr/>
                <a:graphic xmlns:a="http://schemas.openxmlformats.org/drawingml/2006/main">
                  <a:graphicData uri="http://schemas.microsoft.com/office/word/2010/wordprocessingShape">
                    <wps:wsp>
                      <wps:cNvSpPr/>
                      <wps:spPr>
                        <a:xfrm>
                          <a:off x="0" y="0"/>
                          <a:ext cx="541020" cy="3194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E6A217">
                            <w:pPr>
                              <w:spacing w:line="240" w:lineRule="auto"/>
                              <w:ind w:left="0" w:leftChars="0" w:firstLine="0" w:firstLineChars="0"/>
                              <w:rPr>
                                <w:rFonts w:hint="eastAsia" w:cs="Times New Roman"/>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居民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9.85pt;margin-top:199.9pt;height:25.15pt;width:42.6pt;z-index:251771904;v-text-anchor:middle;mso-width-relative:page;mso-height-relative:page;" filled="f" stroked="f" coordsize="21600,21600" o:gfxdata="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PMGRj/aAAAACwEA&#10;AA8AAAAAAAAAAQAgAAAAIgAAAGRycy9kb3ducmV2LnhtbFBLAQIUABQAAAAIAIdO4kBkXNm3UQIA&#10;AJcEAAAOAAAAAAAAAAEAIAAAACkBAABkcnMvZTJvRG9jLnhtbFBLBQYAAAAABgAGAFkBAADsBQAA&#10;AAA=&#10;">
                <v:fill on="f" focussize="0,0"/>
                <v:stroke on="f" weight="2pt"/>
                <v:imagedata o:title=""/>
                <o:lock v:ext="edit" aspectratio="f"/>
                <v:textbox>
                  <w:txbxContent>
                    <w:p w14:paraId="43E6A217">
                      <w:pPr>
                        <w:spacing w:line="240" w:lineRule="auto"/>
                        <w:ind w:left="0" w:leftChars="0" w:firstLine="0" w:firstLineChars="0"/>
                        <w:rPr>
                          <w:rFonts w:hint="eastAsia" w:cs="Times New Roman"/>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居民</w:t>
                      </w:r>
                    </w:p>
                  </w:txbxContent>
                </v:textbox>
              </v:rect>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70880" behindDoc="0" locked="0" layoutInCell="1" allowOverlap="1">
                <wp:simplePos x="0" y="0"/>
                <wp:positionH relativeFrom="column">
                  <wp:posOffset>5440680</wp:posOffset>
                </wp:positionH>
                <wp:positionV relativeFrom="paragraph">
                  <wp:posOffset>2629535</wp:posOffset>
                </wp:positionV>
                <wp:extent cx="107950" cy="107950"/>
                <wp:effectExtent l="12700" t="12700" r="12700" b="12700"/>
                <wp:wrapNone/>
                <wp:docPr id="42" name="椭圆 42"/>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28.4pt;margin-top:207.05pt;height:8.5pt;width:8.5pt;z-index:251770880;v-text-anchor:middle;mso-width-relative:page;mso-height-relative:page;" fillcolor="#000000 [3213]" filled="t" stroked="t" coordsize="21600,21600" o:gfxdata="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Xs6RH9oAAAALAQAADwAAAAAAAAABACAAAAAiAAAAZHJzL2Rvd25yZXYueG1sUEsBAhQA&#10;FAAAAAgAh07iQN8v0IViAgAA4QQAAA4AAAAAAAAAAQAgAAAAKQEAAGRycy9lMm9Eb2MueG1sUEsF&#10;BgAAAAAGAAYAWQEAAP0FAAAAAA==&#10;">
                <v:fill on="t" focussize="0,0"/>
                <v:stroke weight="2pt" color="#FF0000 [3204]" joinstyle="round"/>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57568" behindDoc="0" locked="0" layoutInCell="1" allowOverlap="1">
                <wp:simplePos x="0" y="0"/>
                <wp:positionH relativeFrom="column">
                  <wp:posOffset>212725</wp:posOffset>
                </wp:positionH>
                <wp:positionV relativeFrom="paragraph">
                  <wp:posOffset>3393440</wp:posOffset>
                </wp:positionV>
                <wp:extent cx="2716530" cy="1123950"/>
                <wp:effectExtent l="0" t="0" r="0" b="0"/>
                <wp:wrapNone/>
                <wp:docPr id="48" name="矩形 48"/>
                <wp:cNvGraphicFramePr/>
                <a:graphic xmlns:a="http://schemas.openxmlformats.org/drawingml/2006/main">
                  <a:graphicData uri="http://schemas.microsoft.com/office/word/2010/wordprocessingShape">
                    <wps:wsp>
                      <wps:cNvSpPr/>
                      <wps:spPr>
                        <a:xfrm>
                          <a:off x="0" y="0"/>
                          <a:ext cx="2716530" cy="1123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DB8A94">
                            <w:pPr>
                              <w:keepNext w:val="0"/>
                              <w:keepLines w:val="0"/>
                              <w:pageBreakBefore w:val="0"/>
                              <w:widowControl w:val="0"/>
                              <w:kinsoku/>
                              <w:wordWrap/>
                              <w:overflowPunct/>
                              <w:topLinePunct/>
                              <w:bidi w:val="0"/>
                              <w:adjustRightInd/>
                              <w:snapToGrid/>
                              <w:spacing w:line="240" w:lineRule="auto"/>
                              <w:ind w:firstLine="0" w:firstLineChars="0"/>
                              <w:textAlignment w:val="auto"/>
                              <w:rPr>
                                <w:b/>
                                <w:bCs/>
                                <w:sz w:val="24"/>
                                <w:szCs w:val="24"/>
                              </w:rPr>
                            </w:pPr>
                            <w:r>
                              <w:rPr>
                                <w:rFonts w:hint="default" w:ascii="Times New Roman" w:hAnsi="Times New Roman" w:eastAsia="宋体" w:cs="Times New Roman"/>
                                <w:b/>
                                <w:bCs/>
                                <w:color w:val="FF0000"/>
                                <w:sz w:val="24"/>
                                <w:szCs w:val="24"/>
                                <w:highlight w:val="none"/>
                                <w:lang w:val="en-US" w:eastAsia="zh-CN"/>
                              </w:rPr>
                              <w:t>乌梁素海湿地水禽自然保护区实验区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75pt;margin-top:267.2pt;height:88.5pt;width:213.9pt;z-index:251757568;v-text-anchor:middle;mso-width-relative:page;mso-height-relative:page;" filled="f" stroked="f" coordsize="21600,21600" o:gfxdata="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PB7NPtkAAAAK&#10;AQAADwAAAAAAAAABACAAAAAiAAAAZHJzL2Rvd25yZXYueG1sUEsBAhQAFAAAAAgAh07iQFr9ECdU&#10;AgAAmQQAAA4AAAAAAAAAAQAgAAAAKAEAAGRycy9lMm9Eb2MueG1sUEsFBgAAAAAGAAYAWQEAAO4F&#10;AAAAAA==&#10;">
                <v:fill on="f" focussize="0,0"/>
                <v:stroke on="f" weight="2pt"/>
                <v:imagedata o:title=""/>
                <o:lock v:ext="edit" aspectratio="f"/>
                <v:textbox>
                  <w:txbxContent>
                    <w:p w14:paraId="0DDB8A94">
                      <w:pPr>
                        <w:keepNext w:val="0"/>
                        <w:keepLines w:val="0"/>
                        <w:pageBreakBefore w:val="0"/>
                        <w:widowControl w:val="0"/>
                        <w:kinsoku/>
                        <w:wordWrap/>
                        <w:overflowPunct/>
                        <w:topLinePunct/>
                        <w:bidi w:val="0"/>
                        <w:adjustRightInd/>
                        <w:snapToGrid/>
                        <w:spacing w:line="240" w:lineRule="auto"/>
                        <w:ind w:firstLine="0" w:firstLineChars="0"/>
                        <w:textAlignment w:val="auto"/>
                        <w:rPr>
                          <w:b/>
                          <w:bCs/>
                          <w:sz w:val="24"/>
                          <w:szCs w:val="24"/>
                        </w:rPr>
                      </w:pPr>
                      <w:r>
                        <w:rPr>
                          <w:rFonts w:hint="default" w:ascii="Times New Roman" w:hAnsi="Times New Roman" w:eastAsia="宋体" w:cs="Times New Roman"/>
                          <w:b/>
                          <w:bCs/>
                          <w:color w:val="FF0000"/>
                          <w:sz w:val="24"/>
                          <w:szCs w:val="24"/>
                          <w:highlight w:val="none"/>
                          <w:lang w:val="en-US" w:eastAsia="zh-CN"/>
                        </w:rPr>
                        <w:t>乌梁素海湿地水禽自然保护区实验区</w:t>
                      </w:r>
                    </w:p>
                  </w:txbxContent>
                </v:textbox>
              </v:rect>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659264" behindDoc="0" locked="0" layoutInCell="1" allowOverlap="1">
                <wp:simplePos x="0" y="0"/>
                <wp:positionH relativeFrom="column">
                  <wp:posOffset>60960</wp:posOffset>
                </wp:positionH>
                <wp:positionV relativeFrom="paragraph">
                  <wp:posOffset>1876425</wp:posOffset>
                </wp:positionV>
                <wp:extent cx="4711065" cy="2871470"/>
                <wp:effectExtent l="12700" t="12700" r="19685" b="30480"/>
                <wp:wrapNone/>
                <wp:docPr id="44" name="任意多边形 44"/>
                <wp:cNvGraphicFramePr/>
                <a:graphic xmlns:a="http://schemas.openxmlformats.org/drawingml/2006/main">
                  <a:graphicData uri="http://schemas.microsoft.com/office/word/2010/wordprocessingShape">
                    <wps:wsp>
                      <wps:cNvSpPr/>
                      <wps:spPr>
                        <a:xfrm>
                          <a:off x="1188720" y="2805430"/>
                          <a:ext cx="4711065" cy="2871470"/>
                        </a:xfrm>
                        <a:custGeom>
                          <a:avLst/>
                          <a:gdLst>
                            <a:gd name="connisteX0" fmla="*/ 0 w 4711065"/>
                            <a:gd name="connsiteY0" fmla="*/ 0 h 2871470"/>
                            <a:gd name="connisteX1" fmla="*/ 1054735 w 4711065"/>
                            <a:gd name="connsiteY1" fmla="*/ 241935 h 2871470"/>
                            <a:gd name="connisteX2" fmla="*/ 1941195 w 4711065"/>
                            <a:gd name="connsiteY2" fmla="*/ 879475 h 2871470"/>
                            <a:gd name="connisteX3" fmla="*/ 3208655 w 4711065"/>
                            <a:gd name="connsiteY3" fmla="*/ 1750695 h 2871470"/>
                            <a:gd name="connisteX4" fmla="*/ 4711065 w 4711065"/>
                            <a:gd name="connsiteY4" fmla="*/ 2871470 h 2871470"/>
                            <a:gd name="connisteX5" fmla="*/ 6985 w 4711065"/>
                            <a:gd name="connsiteY5" fmla="*/ 2857500 h 2871470"/>
                            <a:gd name="connisteX6" fmla="*/ 0 w 4711065"/>
                            <a:gd name="connsiteY6" fmla="*/ 0 h 287147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4711065" h="2871470">
                              <a:moveTo>
                                <a:pt x="0" y="0"/>
                              </a:moveTo>
                              <a:lnTo>
                                <a:pt x="1054735" y="241935"/>
                              </a:lnTo>
                              <a:lnTo>
                                <a:pt x="1941195" y="879475"/>
                              </a:lnTo>
                              <a:lnTo>
                                <a:pt x="3208655" y="1750695"/>
                              </a:lnTo>
                              <a:lnTo>
                                <a:pt x="4711065" y="2871470"/>
                              </a:lnTo>
                              <a:lnTo>
                                <a:pt x="6985" y="2857500"/>
                              </a:lnTo>
                              <a:lnTo>
                                <a:pt x="0" y="0"/>
                              </a:lnTo>
                              <a:close/>
                            </a:path>
                          </a:pathLst>
                        </a:custGeom>
                        <a:solidFill>
                          <a:srgbClr val="00B05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8pt;margin-top:147.75pt;height:226.1pt;width:370.95pt;z-index:251659264;mso-width-relative:page;mso-height-relative:page;" fillcolor="#00B050" filled="t" stroked="t" coordsize="4711065,2871470" o:gfxdata="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" path="m0,0l1054735,241935,1941195,879475,3208655,1750695,4711065,2871470,6985,2857500,0,0xe">
                <v:path o:connectlocs="0,0;1054735,241935;1941195,879475;3208655,1750695;4711065,2871470;6985,2857500;0,0" o:connectangles="0,0,0,0,0,0,0"/>
                <v:fill on="t" focussize="0,0"/>
                <v:stroke weight="2pt" color="#000000 [3213]" joinstyle="round"/>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85888" behindDoc="0" locked="0" layoutInCell="1" allowOverlap="1">
                <wp:simplePos x="0" y="0"/>
                <wp:positionH relativeFrom="column">
                  <wp:posOffset>1496060</wp:posOffset>
                </wp:positionH>
                <wp:positionV relativeFrom="paragraph">
                  <wp:posOffset>1097280</wp:posOffset>
                </wp:positionV>
                <wp:extent cx="107950" cy="179705"/>
                <wp:effectExtent l="12700" t="12700" r="12700" b="17145"/>
                <wp:wrapNone/>
                <wp:docPr id="47" name="菱形 47"/>
                <wp:cNvGraphicFramePr/>
                <a:graphic xmlns:a="http://schemas.openxmlformats.org/drawingml/2006/main">
                  <a:graphicData uri="http://schemas.microsoft.com/office/word/2010/wordprocessingShape">
                    <wps:wsp>
                      <wps:cNvSpPr/>
                      <wps:spPr>
                        <a:xfrm>
                          <a:off x="3806825" y="3043555"/>
                          <a:ext cx="107950" cy="179705"/>
                        </a:xfrm>
                        <a:prstGeom prst="diamond">
                          <a:avLst/>
                        </a:prstGeom>
                        <a:solidFill>
                          <a:schemeClr val="tx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margin-left:117.8pt;margin-top:86.4pt;height:14.15pt;width:8.5pt;z-index:251685888;v-text-anchor:middle;mso-width-relative:page;mso-height-relative:page;" fillcolor="#000000 [3213]" filled="t" stroked="t" coordsize="21600,21600" o:gfxdata="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&#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E+Nz9HXAAAACwEAAA8AAAAAAAAAAQAgAAAAIgAAAGRy&#10;cy9kb3ducmV2LnhtbFBLAQIUABQAAAAIAIdO4kADR8TDeAIAAO0EAAAOAAAAAAAAAAEAIAAAACYB&#10;AABkcnMvZTJvRG9jLnhtbFBLBQYAAAAABgAGAFkBAAAQBgAAAAA=&#10;">
                <v:fill on="t" focussize="0,0"/>
                <v:stroke weight="2pt" color="#00B0F0 [3204]" joinstyle="round"/>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7696" behindDoc="0" locked="0" layoutInCell="1" allowOverlap="1">
                <wp:simplePos x="0" y="0"/>
                <wp:positionH relativeFrom="column">
                  <wp:posOffset>1485265</wp:posOffset>
                </wp:positionH>
                <wp:positionV relativeFrom="paragraph">
                  <wp:posOffset>931545</wp:posOffset>
                </wp:positionV>
                <wp:extent cx="288290" cy="107950"/>
                <wp:effectExtent l="12700" t="12700" r="22860" b="12700"/>
                <wp:wrapNone/>
                <wp:docPr id="18" name="矩形 18"/>
                <wp:cNvGraphicFramePr/>
                <a:graphic xmlns:a="http://schemas.openxmlformats.org/drawingml/2006/main">
                  <a:graphicData uri="http://schemas.microsoft.com/office/word/2010/wordprocessingShape">
                    <wps:wsp>
                      <wps:cNvSpPr/>
                      <wps:spPr>
                        <a:xfrm>
                          <a:off x="0" y="0"/>
                          <a:ext cx="288290" cy="10795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6.95pt;margin-top:73.35pt;height:8.5pt;width:22.7pt;z-index:251677696;v-text-anchor:middle;mso-width-relative:page;mso-height-relative:page;" filled="f" stroked="t" coordsize="21600,21600" o:gfxdata="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G&#10;IXAk2AAAAAsBAAAPAAAAAAAAAAEAIAAAACIAAABkcnMvZG93bnJldi54bWxQSwECFAAUAAAACACH&#10;TuJALi3Hol0CAAC1BAAADgAAAAAAAAABACAAAAAnAQAAZHJzL2Uyb0RvYy54bWxQSwUGAAAAAAYA&#10;BgBZAQAA9gUAAAAA&#10;">
                <v:fill on="f" focussize="0,0"/>
                <v:stroke weight="2pt" color="#00B0F0 [3204]" joinstyle="round"/>
                <v:imagedata o:title=""/>
                <o:lock v:ext="edit" aspectratio="f"/>
              </v:rect>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84864" behindDoc="0" locked="0" layoutInCell="1" allowOverlap="1">
                <wp:simplePos x="0" y="0"/>
                <wp:positionH relativeFrom="column">
                  <wp:posOffset>1320165</wp:posOffset>
                </wp:positionH>
                <wp:positionV relativeFrom="paragraph">
                  <wp:posOffset>730885</wp:posOffset>
                </wp:positionV>
                <wp:extent cx="107950" cy="107950"/>
                <wp:effectExtent l="12700" t="12700" r="12700" b="12700"/>
                <wp:wrapNone/>
                <wp:docPr id="46" name="椭圆 46"/>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03.95pt;margin-top:57.55pt;height:8.5pt;width:8.5pt;z-index:251684864;v-text-anchor:middle;mso-width-relative:page;mso-height-relative:page;" fillcolor="#000000 [3213]" filled="t" stroked="t" coordsize="21600,21600" o:gfxdata="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vrtzk2AAAAAsBAAAPAAAAAAAAAAEAIAAAACIAAABkcnMvZG93bnJldi54bWxQSwECFAAU&#10;AAAACACHTuJAnmlgeGMCAADhBAAADgAAAAAAAAABACAAAAAnAQAAZHJzL2Uyb0RvYy54bWxQSwUG&#10;AAAAAAYABgBZAQAA/AUAAAAA&#10;">
                <v:fill on="t" focussize="0,0"/>
                <v:stroke weight="2pt" color="#FF0000 [3204]" joinstyle="round"/>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6672" behindDoc="0" locked="0" layoutInCell="1" allowOverlap="1">
                <wp:simplePos x="0" y="0"/>
                <wp:positionH relativeFrom="column">
                  <wp:posOffset>1353820</wp:posOffset>
                </wp:positionH>
                <wp:positionV relativeFrom="paragraph">
                  <wp:posOffset>510540</wp:posOffset>
                </wp:positionV>
                <wp:extent cx="288290" cy="107950"/>
                <wp:effectExtent l="12700" t="12700" r="22860" b="12700"/>
                <wp:wrapNone/>
                <wp:docPr id="16" name="矩形 16"/>
                <wp:cNvGraphicFramePr/>
                <a:graphic xmlns:a="http://schemas.openxmlformats.org/drawingml/2006/main">
                  <a:graphicData uri="http://schemas.microsoft.com/office/word/2010/wordprocessingShape">
                    <wps:wsp>
                      <wps:cNvSpPr/>
                      <wps:spPr>
                        <a:xfrm>
                          <a:off x="0" y="0"/>
                          <a:ext cx="288290" cy="1079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6.6pt;margin-top:40.2pt;height:8.5pt;width:22.7pt;z-index:251676672;v-text-anchor:middle;mso-width-relative:page;mso-height-relative:page;" filled="f" stroked="t" coordsize="21600,21600" o:gfxdata="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10;052t2AAAAAkBAAAPAAAAAAAAAAEAIAAAACIAAABkcnMvZG93bnJldi54bWxQSwECFAAUAAAACACH&#10;TuJA0/lNoV0CAAC1BAAADgAAAAAAAAABACAAAAAnAQAAZHJzL2Uyb0RvYy54bWxQSwUGAAAAAAYA&#10;BgBZAQAA9gUAAAAA&#10;">
                <v:fill on="f" focussize="0,0"/>
                <v:stroke weight="2pt" color="#FF0000 [3204]" joinstyle="round"/>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5648" behindDoc="0" locked="0" layoutInCell="1" allowOverlap="1">
                <wp:simplePos x="0" y="0"/>
                <wp:positionH relativeFrom="column">
                  <wp:posOffset>493395</wp:posOffset>
                </wp:positionH>
                <wp:positionV relativeFrom="paragraph">
                  <wp:posOffset>316230</wp:posOffset>
                </wp:positionV>
                <wp:extent cx="288290" cy="107950"/>
                <wp:effectExtent l="12700" t="12700" r="22860" b="12700"/>
                <wp:wrapNone/>
                <wp:docPr id="15" name="矩形 15"/>
                <wp:cNvGraphicFramePr/>
                <a:graphic xmlns:a="http://schemas.openxmlformats.org/drawingml/2006/main">
                  <a:graphicData uri="http://schemas.microsoft.com/office/word/2010/wordprocessingShape">
                    <wps:wsp>
                      <wps:cNvSpPr/>
                      <wps:spPr>
                        <a:xfrm>
                          <a:off x="0" y="0"/>
                          <a:ext cx="288290" cy="1079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85pt;margin-top:24.9pt;height:8.5pt;width:22.7pt;z-index:251675648;v-text-anchor:middle;mso-width-relative:page;mso-height-relative:page;" filled="f" stroked="t" coordsize="21600,21600" o:gfxdata="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LDs&#10;+UDZAAAACAEAAA8AAAAAAAAAAQAgAAAAIgAAAGRycy9kb3ducmV2LnhtbFBLAQIUABQAAAAIAIdO&#10;4kDNaoDhWwIAALUEAAAOAAAAAAAAAAEAIAAAACgBAABkcnMvZTJvRG9jLnhtbFBLBQYAAAAABgAG&#10;AFkBAAD1BQAAAAA=&#10;">
                <v:fill on="f" focussize="0,0"/>
                <v:stroke weight="2pt" color="#000000 [3213]" joinstyle="round"/>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4624" behindDoc="0" locked="0" layoutInCell="1" allowOverlap="1">
                <wp:simplePos x="0" y="0"/>
                <wp:positionH relativeFrom="column">
                  <wp:posOffset>52070</wp:posOffset>
                </wp:positionH>
                <wp:positionV relativeFrom="paragraph">
                  <wp:posOffset>0</wp:posOffset>
                </wp:positionV>
                <wp:extent cx="1951990" cy="1359535"/>
                <wp:effectExtent l="12700" t="12700" r="16510" b="18415"/>
                <wp:wrapNone/>
                <wp:docPr id="13" name="矩形 13"/>
                <wp:cNvGraphicFramePr/>
                <a:graphic xmlns:a="http://schemas.openxmlformats.org/drawingml/2006/main">
                  <a:graphicData uri="http://schemas.microsoft.com/office/word/2010/wordprocessingShape">
                    <wps:wsp>
                      <wps:cNvSpPr/>
                      <wps:spPr>
                        <a:xfrm>
                          <a:off x="0" y="0"/>
                          <a:ext cx="1951990" cy="1359535"/>
                        </a:xfrm>
                        <a:prstGeom prst="rect">
                          <a:avLst/>
                        </a:prstGeom>
                        <a:solidFill>
                          <a:schemeClr val="accent3">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B1D5BF">
                            <w:pPr>
                              <w:keepNext w:val="0"/>
                              <w:keepLines w:val="0"/>
                              <w:pageBreakBefore w:val="0"/>
                              <w:widowControl w:val="0"/>
                              <w:kinsoku/>
                              <w:wordWrap/>
                              <w:overflowPunct/>
                              <w:topLinePunct/>
                              <w:autoSpaceDE w:val="0"/>
                              <w:autoSpaceDN/>
                              <w:bidi w:val="0"/>
                              <w:adjustRightInd/>
                              <w:snapToGrid/>
                              <w:spacing w:line="240" w:lineRule="auto"/>
                              <w:ind w:left="0" w:leftChars="0" w:firstLine="0" w:firstLineChars="0"/>
                              <w:jc w:val="center"/>
                              <w:textAlignment w:val="auto"/>
                              <w:rPr>
                                <w:rFonts w:hint="eastAsia"/>
                                <w:color w:val="000000" w:themeColor="text1"/>
                                <w:sz w:val="22"/>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2"/>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图例</w:t>
                            </w:r>
                          </w:p>
                          <w:p w14:paraId="1D7154A8">
                            <w:pPr>
                              <w:pStyle w:val="17"/>
                              <w:keepNext w:val="0"/>
                              <w:keepLines w:val="0"/>
                              <w:pageBreakBefore w:val="0"/>
                              <w:widowControl w:val="0"/>
                              <w:kinsoku/>
                              <w:wordWrap/>
                              <w:overflowPunct/>
                              <w:topLinePunct/>
                              <w:autoSpaceDE w:val="0"/>
                              <w:autoSpaceDN/>
                              <w:bidi w:val="0"/>
                              <w:adjustRightInd/>
                              <w:snapToGrid/>
                              <w:spacing w:after="0" w:line="240" w:lineRule="auto"/>
                              <w:ind w:left="0" w:leftChars="0" w:firstLine="0" w:firstLineChars="0"/>
                              <w:jc w:val="left"/>
                              <w:textAlignment w:val="auto"/>
                              <w:rPr>
                                <w:rFonts w:hint="eastAsia"/>
                                <w:color w:val="000000" w:themeColor="text1"/>
                                <w:sz w:val="22"/>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2"/>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场区</w:t>
                            </w:r>
                          </w:p>
                          <w:p w14:paraId="107B3F86">
                            <w:pPr>
                              <w:keepNext w:val="0"/>
                              <w:keepLines w:val="0"/>
                              <w:pageBreakBefore w:val="0"/>
                              <w:widowControl w:val="0"/>
                              <w:kinsoku/>
                              <w:wordWrap/>
                              <w:overflowPunct/>
                              <w:topLinePunct/>
                              <w:autoSpaceDE w:val="0"/>
                              <w:autoSpaceDN/>
                              <w:bidi w:val="0"/>
                              <w:adjustRightInd/>
                              <w:snapToGrid/>
                              <w:spacing w:line="240" w:lineRule="auto"/>
                              <w:ind w:left="0" w:leftChars="0" w:firstLine="0" w:firstLineChars="0"/>
                              <w:jc w:val="left"/>
                              <w:textAlignment w:val="auto"/>
                              <w:rPr>
                                <w:rFonts w:hint="eastAsia"/>
                                <w:color w:val="000000" w:themeColor="text1"/>
                                <w:sz w:val="22"/>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2"/>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环境空气评价范围</w:t>
                            </w:r>
                          </w:p>
                          <w:p w14:paraId="2E62A8BF">
                            <w:pPr>
                              <w:pStyle w:val="17"/>
                              <w:keepNext w:val="0"/>
                              <w:keepLines w:val="0"/>
                              <w:pageBreakBefore w:val="0"/>
                              <w:widowControl w:val="0"/>
                              <w:kinsoku/>
                              <w:wordWrap/>
                              <w:overflowPunct/>
                              <w:topLinePunct/>
                              <w:autoSpaceDE w:val="0"/>
                              <w:autoSpaceDN/>
                              <w:bidi w:val="0"/>
                              <w:adjustRightInd/>
                              <w:snapToGrid/>
                              <w:spacing w:after="0" w:line="240" w:lineRule="auto"/>
                              <w:ind w:left="0" w:leftChars="0" w:firstLine="0" w:firstLineChars="0"/>
                              <w:jc w:val="left"/>
                              <w:textAlignment w:val="auto"/>
                              <w:rPr>
                                <w:rFonts w:hint="eastAsia"/>
                                <w:color w:val="000000" w:themeColor="text1"/>
                                <w:sz w:val="22"/>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2"/>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大气环境保护目标</w:t>
                            </w:r>
                          </w:p>
                          <w:p w14:paraId="3378A488">
                            <w:pPr>
                              <w:pStyle w:val="17"/>
                              <w:keepNext w:val="0"/>
                              <w:keepLines w:val="0"/>
                              <w:pageBreakBefore w:val="0"/>
                              <w:widowControl w:val="0"/>
                              <w:kinsoku/>
                              <w:wordWrap/>
                              <w:overflowPunct/>
                              <w:topLinePunct/>
                              <w:autoSpaceDE w:val="0"/>
                              <w:autoSpaceDN/>
                              <w:bidi w:val="0"/>
                              <w:adjustRightInd/>
                              <w:snapToGrid/>
                              <w:spacing w:after="0" w:line="240" w:lineRule="auto"/>
                              <w:ind w:left="0" w:leftChars="0" w:firstLine="0" w:firstLineChars="0"/>
                              <w:jc w:val="left"/>
                              <w:textAlignment w:val="auto"/>
                              <w:rPr>
                                <w:rFonts w:hint="eastAsia"/>
                                <w:color w:val="000000" w:themeColor="text1"/>
                                <w:sz w:val="22"/>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2"/>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地下水环境评价范围</w:t>
                            </w:r>
                          </w:p>
                          <w:p w14:paraId="6E11E34F">
                            <w:pPr>
                              <w:pStyle w:val="17"/>
                              <w:keepNext w:val="0"/>
                              <w:keepLines w:val="0"/>
                              <w:pageBreakBefore w:val="0"/>
                              <w:widowControl w:val="0"/>
                              <w:kinsoku/>
                              <w:wordWrap/>
                              <w:overflowPunct/>
                              <w:topLinePunct/>
                              <w:autoSpaceDE w:val="0"/>
                              <w:autoSpaceDN/>
                              <w:bidi w:val="0"/>
                              <w:adjustRightInd/>
                              <w:snapToGrid/>
                              <w:spacing w:after="0" w:line="240" w:lineRule="auto"/>
                              <w:ind w:left="0" w:leftChars="0" w:firstLine="0" w:firstLineChars="0"/>
                              <w:jc w:val="left"/>
                              <w:textAlignment w:val="auto"/>
                              <w:rPr>
                                <w:rFonts w:hint="eastAsia"/>
                                <w:color w:val="000000" w:themeColor="text1"/>
                                <w:sz w:val="22"/>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2"/>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地下水环境保护目标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pt;margin-top:0pt;height:107.05pt;width:153.7pt;z-index:251674624;v-text-anchor:middle;mso-width-relative:page;mso-height-relative:page;" fillcolor="#D7E4BD [1302]" filled="t" stroked="t" coordsize="21600,21600" o:gfxdata="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Gi0rV7VAAAABgEAAA8A&#10;AAAAAAAAAQAgAAAAIgAAAGRycy9kb3ducmV2LnhtbFBLAQIUABQAAAAIAIdO4kBzoVdbjAIAACQF&#10;AAAOAAAAAAAAAAEAIAAAACQBAABkcnMvZTJvRG9jLnhtbFBLBQYAAAAABgAGAFkBAAAiBgAAAAA=&#10;">
                <v:fill on="t" focussize="0,0"/>
                <v:stroke weight="2pt" color="#000000 [3213]" joinstyle="round"/>
                <v:imagedata o:title=""/>
                <o:lock v:ext="edit" aspectratio="f"/>
                <v:textbox>
                  <w:txbxContent>
                    <w:p w14:paraId="5FB1D5BF">
                      <w:pPr>
                        <w:keepNext w:val="0"/>
                        <w:keepLines w:val="0"/>
                        <w:pageBreakBefore w:val="0"/>
                        <w:widowControl w:val="0"/>
                        <w:kinsoku/>
                        <w:wordWrap/>
                        <w:overflowPunct/>
                        <w:topLinePunct/>
                        <w:autoSpaceDE w:val="0"/>
                        <w:autoSpaceDN/>
                        <w:bidi w:val="0"/>
                        <w:adjustRightInd/>
                        <w:snapToGrid/>
                        <w:spacing w:line="240" w:lineRule="auto"/>
                        <w:ind w:left="0" w:leftChars="0" w:firstLine="0" w:firstLineChars="0"/>
                        <w:jc w:val="center"/>
                        <w:textAlignment w:val="auto"/>
                        <w:rPr>
                          <w:rFonts w:hint="eastAsia"/>
                          <w:color w:val="000000" w:themeColor="text1"/>
                          <w:sz w:val="22"/>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2"/>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图例</w:t>
                      </w:r>
                    </w:p>
                    <w:p w14:paraId="1D7154A8">
                      <w:pPr>
                        <w:pStyle w:val="17"/>
                        <w:keepNext w:val="0"/>
                        <w:keepLines w:val="0"/>
                        <w:pageBreakBefore w:val="0"/>
                        <w:widowControl w:val="0"/>
                        <w:kinsoku/>
                        <w:wordWrap/>
                        <w:overflowPunct/>
                        <w:topLinePunct/>
                        <w:autoSpaceDE w:val="0"/>
                        <w:autoSpaceDN/>
                        <w:bidi w:val="0"/>
                        <w:adjustRightInd/>
                        <w:snapToGrid/>
                        <w:spacing w:after="0" w:line="240" w:lineRule="auto"/>
                        <w:ind w:left="0" w:leftChars="0" w:firstLine="0" w:firstLineChars="0"/>
                        <w:jc w:val="left"/>
                        <w:textAlignment w:val="auto"/>
                        <w:rPr>
                          <w:rFonts w:hint="eastAsia"/>
                          <w:color w:val="000000" w:themeColor="text1"/>
                          <w:sz w:val="22"/>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2"/>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场区</w:t>
                      </w:r>
                    </w:p>
                    <w:p w14:paraId="107B3F86">
                      <w:pPr>
                        <w:keepNext w:val="0"/>
                        <w:keepLines w:val="0"/>
                        <w:pageBreakBefore w:val="0"/>
                        <w:widowControl w:val="0"/>
                        <w:kinsoku/>
                        <w:wordWrap/>
                        <w:overflowPunct/>
                        <w:topLinePunct/>
                        <w:autoSpaceDE w:val="0"/>
                        <w:autoSpaceDN/>
                        <w:bidi w:val="0"/>
                        <w:adjustRightInd/>
                        <w:snapToGrid/>
                        <w:spacing w:line="240" w:lineRule="auto"/>
                        <w:ind w:left="0" w:leftChars="0" w:firstLine="0" w:firstLineChars="0"/>
                        <w:jc w:val="left"/>
                        <w:textAlignment w:val="auto"/>
                        <w:rPr>
                          <w:rFonts w:hint="eastAsia"/>
                          <w:color w:val="000000" w:themeColor="text1"/>
                          <w:sz w:val="22"/>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2"/>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环境空气评价范围</w:t>
                      </w:r>
                    </w:p>
                    <w:p w14:paraId="2E62A8BF">
                      <w:pPr>
                        <w:pStyle w:val="17"/>
                        <w:keepNext w:val="0"/>
                        <w:keepLines w:val="0"/>
                        <w:pageBreakBefore w:val="0"/>
                        <w:widowControl w:val="0"/>
                        <w:kinsoku/>
                        <w:wordWrap/>
                        <w:overflowPunct/>
                        <w:topLinePunct/>
                        <w:autoSpaceDE w:val="0"/>
                        <w:autoSpaceDN/>
                        <w:bidi w:val="0"/>
                        <w:adjustRightInd/>
                        <w:snapToGrid/>
                        <w:spacing w:after="0" w:line="240" w:lineRule="auto"/>
                        <w:ind w:left="0" w:leftChars="0" w:firstLine="0" w:firstLineChars="0"/>
                        <w:jc w:val="left"/>
                        <w:textAlignment w:val="auto"/>
                        <w:rPr>
                          <w:rFonts w:hint="eastAsia"/>
                          <w:color w:val="000000" w:themeColor="text1"/>
                          <w:sz w:val="22"/>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2"/>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大气环境保护目标</w:t>
                      </w:r>
                    </w:p>
                    <w:p w14:paraId="3378A488">
                      <w:pPr>
                        <w:pStyle w:val="17"/>
                        <w:keepNext w:val="0"/>
                        <w:keepLines w:val="0"/>
                        <w:pageBreakBefore w:val="0"/>
                        <w:widowControl w:val="0"/>
                        <w:kinsoku/>
                        <w:wordWrap/>
                        <w:overflowPunct/>
                        <w:topLinePunct/>
                        <w:autoSpaceDE w:val="0"/>
                        <w:autoSpaceDN/>
                        <w:bidi w:val="0"/>
                        <w:adjustRightInd/>
                        <w:snapToGrid/>
                        <w:spacing w:after="0" w:line="240" w:lineRule="auto"/>
                        <w:ind w:left="0" w:leftChars="0" w:firstLine="0" w:firstLineChars="0"/>
                        <w:jc w:val="left"/>
                        <w:textAlignment w:val="auto"/>
                        <w:rPr>
                          <w:rFonts w:hint="eastAsia"/>
                          <w:color w:val="000000" w:themeColor="text1"/>
                          <w:sz w:val="22"/>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2"/>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地下水环境评价范围</w:t>
                      </w:r>
                    </w:p>
                    <w:p w14:paraId="6E11E34F">
                      <w:pPr>
                        <w:pStyle w:val="17"/>
                        <w:keepNext w:val="0"/>
                        <w:keepLines w:val="0"/>
                        <w:pageBreakBefore w:val="0"/>
                        <w:widowControl w:val="0"/>
                        <w:kinsoku/>
                        <w:wordWrap/>
                        <w:overflowPunct/>
                        <w:topLinePunct/>
                        <w:autoSpaceDE w:val="0"/>
                        <w:autoSpaceDN/>
                        <w:bidi w:val="0"/>
                        <w:adjustRightInd/>
                        <w:snapToGrid/>
                        <w:spacing w:after="0" w:line="240" w:lineRule="auto"/>
                        <w:ind w:left="0" w:leftChars="0" w:firstLine="0" w:firstLineChars="0"/>
                        <w:jc w:val="left"/>
                        <w:textAlignment w:val="auto"/>
                        <w:rPr>
                          <w:rFonts w:hint="eastAsia"/>
                          <w:color w:val="000000" w:themeColor="text1"/>
                          <w:sz w:val="22"/>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2"/>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地下水环境保护目标</w:t>
                      </w:r>
                    </w:p>
                  </w:txbxContent>
                </v:textbox>
              </v:rect>
            </w:pict>
          </mc:Fallback>
        </mc:AlternateContent>
      </w:r>
      <w:r>
        <w:rPr>
          <w:rFonts w:hint="default" w:ascii="Times New Roman" w:hAnsi="Times New Roman" w:eastAsia="宋体" w:cs="Times New Roman"/>
          <w:color w:val="auto"/>
          <w:highlight w:val="none"/>
        </w:rPr>
        <w:drawing>
          <wp:anchor distT="0" distB="0" distL="114300" distR="114300" simplePos="0" relativeHeight="251696128" behindDoc="0" locked="0" layoutInCell="1" allowOverlap="1">
            <wp:simplePos x="0" y="0"/>
            <wp:positionH relativeFrom="column">
              <wp:posOffset>7359015</wp:posOffset>
            </wp:positionH>
            <wp:positionV relativeFrom="page">
              <wp:posOffset>898525</wp:posOffset>
            </wp:positionV>
            <wp:extent cx="984250" cy="1080135"/>
            <wp:effectExtent l="0" t="0" r="6350" b="5715"/>
            <wp:wrapNone/>
            <wp:docPr id="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
                    <pic:cNvPicPr>
                      <a:picLocks noChangeAspect="1"/>
                    </pic:cNvPicPr>
                  </pic:nvPicPr>
                  <pic:blipFill>
                    <a:blip r:embed="rId16"/>
                    <a:srcRect l="3538" r="4555"/>
                    <a:stretch>
                      <a:fillRect/>
                    </a:stretch>
                  </pic:blipFill>
                  <pic:spPr>
                    <a:xfrm>
                      <a:off x="0" y="0"/>
                      <a:ext cx="984250" cy="1080135"/>
                    </a:xfrm>
                    <a:prstGeom prst="rect">
                      <a:avLst/>
                    </a:prstGeom>
                    <a:noFill/>
                    <a:ln>
                      <a:noFill/>
                    </a:ln>
                  </pic:spPr>
                </pic:pic>
              </a:graphicData>
            </a:graphic>
          </wp:anchor>
        </w:drawing>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34016" behindDoc="0" locked="0" layoutInCell="1" allowOverlap="1">
                <wp:simplePos x="0" y="0"/>
                <wp:positionH relativeFrom="column">
                  <wp:posOffset>6211570</wp:posOffset>
                </wp:positionH>
                <wp:positionV relativeFrom="paragraph">
                  <wp:posOffset>1529080</wp:posOffset>
                </wp:positionV>
                <wp:extent cx="375285" cy="1228725"/>
                <wp:effectExtent l="0" t="0" r="0" b="0"/>
                <wp:wrapNone/>
                <wp:docPr id="20" name="矩形 20"/>
                <wp:cNvGraphicFramePr/>
                <a:graphic xmlns:a="http://schemas.openxmlformats.org/drawingml/2006/main">
                  <a:graphicData uri="http://schemas.microsoft.com/office/word/2010/wordprocessingShape">
                    <wps:wsp>
                      <wps:cNvSpPr/>
                      <wps:spPr>
                        <a:xfrm>
                          <a:off x="0" y="0"/>
                          <a:ext cx="375285" cy="12287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D528DF">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eastAsia="宋体"/>
                                <w:b/>
                                <w:bCs/>
                                <w:color w:val="00B0F0"/>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00B0F0"/>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地下水流向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9.1pt;margin-top:120.4pt;height:96.75pt;width:29.55pt;z-index:251734016;v-text-anchor:middle;mso-width-relative:page;mso-height-relative:page;" filled="f" stroked="f" coordsize="21600,21600" o:gfxdata="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8/ixPNoAAAAM&#10;AQAADwAAAAAAAAABACAAAAAiAAAAZHJzL2Rvd25yZXYueG1sUEsBAhQAFAAAAAgAh07iQFh/3qBT&#10;AgAAmAQAAA4AAAAAAAAAAQAgAAAAKQEAAGRycy9lMm9Eb2MueG1sUEsFBgAAAAAGAAYAWQEAAO4F&#10;AAAAAA==&#10;">
                <v:fill on="f" focussize="0,0"/>
                <v:stroke on="f" weight="2pt"/>
                <v:imagedata o:title=""/>
                <o:lock v:ext="edit" aspectratio="f"/>
                <v:textbox>
                  <w:txbxContent>
                    <w:p w14:paraId="7DD528DF">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eastAsia="宋体"/>
                          <w:b/>
                          <w:bCs/>
                          <w:color w:val="00B0F0"/>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00B0F0"/>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地下水流向</w:t>
                      </w:r>
                    </w:p>
                  </w:txbxContent>
                </v:textbox>
              </v:rect>
            </w:pict>
          </mc:Fallback>
        </mc:AlternateContent>
      </w:r>
      <w:r>
        <w:rPr>
          <w:rFonts w:hint="default" w:ascii="Times New Roman" w:hAnsi="Times New Roman" w:eastAsia="宋体" w:cs="Times New Roman"/>
          <w:sz w:val="32"/>
          <w:highlight w:val="none"/>
        </w:rPr>
        <mc:AlternateContent>
          <mc:Choice Requires="wps">
            <w:drawing>
              <wp:anchor distT="0" distB="0" distL="114300" distR="114300" simplePos="0" relativeHeight="251732992" behindDoc="0" locked="0" layoutInCell="1" allowOverlap="1">
                <wp:simplePos x="0" y="0"/>
                <wp:positionH relativeFrom="column">
                  <wp:posOffset>6148070</wp:posOffset>
                </wp:positionH>
                <wp:positionV relativeFrom="paragraph">
                  <wp:posOffset>1868805</wp:posOffset>
                </wp:positionV>
                <wp:extent cx="142240" cy="488950"/>
                <wp:effectExtent l="12700" t="12700" r="16510" b="12700"/>
                <wp:wrapNone/>
                <wp:docPr id="1" name="下箭头 1"/>
                <wp:cNvGraphicFramePr/>
                <a:graphic xmlns:a="http://schemas.openxmlformats.org/drawingml/2006/main">
                  <a:graphicData uri="http://schemas.microsoft.com/office/word/2010/wordprocessingShape">
                    <wps:wsp>
                      <wps:cNvSpPr/>
                      <wps:spPr>
                        <a:xfrm>
                          <a:off x="7291070" y="2783205"/>
                          <a:ext cx="142240" cy="488950"/>
                        </a:xfrm>
                        <a:prstGeom prst="downArrow">
                          <a:avLst/>
                        </a:prstGeom>
                        <a:solidFill>
                          <a:schemeClr val="tx1"/>
                        </a:solid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7" type="#_x0000_t67" style="position:absolute;left:0pt;margin-left:484.1pt;margin-top:147.15pt;height:38.5pt;width:11.2pt;z-index:251732992;v-text-anchor:middle;mso-width-relative:page;mso-height-relative:page;" fillcolor="#000000 [3213]" filled="t" stroked="t" coordsize="21600,21600" o:gfxdata="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C29L1NkAAAALAQAADwAAAAAAAAABACAAAAAi&#10;AAAAZHJzL2Rvd25yZXYueG1sUEsBAhQAFAAAAAgAh07iQFBAjO97AgAA8AQAAA4AAAAAAAAAAQAg&#10;AAAAKAEAAGRycy9lMm9Eb2MueG1sUEsFBgAAAAAGAAYAWQEAABUGAAAAAA==&#10;" adj="18459,5400">
                <v:fill on="t" focussize="0,0"/>
                <v:stroke weight="2pt" color="#00B0F0 [2404]" joinstyle="round"/>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06368" behindDoc="0" locked="0" layoutInCell="1" allowOverlap="1">
                <wp:simplePos x="0" y="0"/>
                <wp:positionH relativeFrom="column">
                  <wp:posOffset>5332730</wp:posOffset>
                </wp:positionH>
                <wp:positionV relativeFrom="paragraph">
                  <wp:posOffset>2874010</wp:posOffset>
                </wp:positionV>
                <wp:extent cx="107950" cy="179705"/>
                <wp:effectExtent l="12700" t="12700" r="12700" b="17145"/>
                <wp:wrapNone/>
                <wp:docPr id="19" name="菱形 19"/>
                <wp:cNvGraphicFramePr/>
                <a:graphic xmlns:a="http://schemas.openxmlformats.org/drawingml/2006/main">
                  <a:graphicData uri="http://schemas.microsoft.com/office/word/2010/wordprocessingShape">
                    <wps:wsp>
                      <wps:cNvSpPr/>
                      <wps:spPr>
                        <a:xfrm>
                          <a:off x="0" y="0"/>
                          <a:ext cx="107950" cy="179705"/>
                        </a:xfrm>
                        <a:prstGeom prst="diamond">
                          <a:avLst/>
                        </a:prstGeom>
                        <a:solidFill>
                          <a:schemeClr val="tx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margin-left:419.9pt;margin-top:226.3pt;height:14.15pt;width:8.5pt;z-index:251706368;v-text-anchor:middle;mso-width-relative:page;mso-height-relative:page;" fillcolor="#000000 [3213]" filled="t" stroked="t" coordsize="21600,21600" o:gfxdata="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GQ4xyHXAAAACwEAAA8AAAAAAAAAAQAgAAAAIgAAAGRycy9kb3ducmV2LnhtbFBL&#10;AQIUABQAAAAIAIdO4kAfiOYmaQIAAOEEAAAOAAAAAAAAAAEAIAAAACYBAABkcnMvZTJvRG9jLnht&#10;bFBLBQYAAAAABgAGAFkBAAABBgAAAAA=&#10;">
                <v:fill on="t" focussize="0,0"/>
                <v:stroke weight="2pt" color="#00B0F0 [3204]" joinstyle="round"/>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05344" behindDoc="0" locked="0" layoutInCell="1" allowOverlap="1">
                <wp:simplePos x="0" y="0"/>
                <wp:positionH relativeFrom="column">
                  <wp:posOffset>5503545</wp:posOffset>
                </wp:positionH>
                <wp:positionV relativeFrom="paragraph">
                  <wp:posOffset>3155950</wp:posOffset>
                </wp:positionV>
                <wp:extent cx="107950" cy="179705"/>
                <wp:effectExtent l="12700" t="12700" r="12700" b="17145"/>
                <wp:wrapNone/>
                <wp:docPr id="9" name="菱形 9"/>
                <wp:cNvGraphicFramePr/>
                <a:graphic xmlns:a="http://schemas.openxmlformats.org/drawingml/2006/main">
                  <a:graphicData uri="http://schemas.microsoft.com/office/word/2010/wordprocessingShape">
                    <wps:wsp>
                      <wps:cNvSpPr/>
                      <wps:spPr>
                        <a:xfrm>
                          <a:off x="0" y="0"/>
                          <a:ext cx="107950" cy="179705"/>
                        </a:xfrm>
                        <a:prstGeom prst="diamond">
                          <a:avLst/>
                        </a:prstGeom>
                        <a:solidFill>
                          <a:schemeClr val="tx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margin-left:433.35pt;margin-top:248.5pt;height:14.15pt;width:8.5pt;z-index:251705344;v-text-anchor:middle;mso-width-relative:page;mso-height-relative:page;" fillcolor="#000000 [3213]" filled="t" stroked="t" coordsize="21600,21600" o:gfxdata="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6ZYns2QAAAAsBAAAPAAAAAAAAAAEAIAAAACIAAABkcnMvZG93bnJldi54bWxQ&#10;SwECFAAUAAAACACHTuJA6NWlE2gCAADfBAAADgAAAAAAAAABACAAAAAoAQAAZHJzL2Uyb0RvYy54&#10;bWxQSwUGAAAAAAYABgBZAQAAAgYAAAAA&#10;">
                <v:fill on="t" focussize="0,0"/>
                <v:stroke weight="2pt" color="#00B0F0 [3204]" joinstyle="round"/>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03296" behindDoc="0" locked="0" layoutInCell="1" allowOverlap="1">
                <wp:simplePos x="0" y="0"/>
                <wp:positionH relativeFrom="column">
                  <wp:posOffset>5350510</wp:posOffset>
                </wp:positionH>
                <wp:positionV relativeFrom="paragraph">
                  <wp:posOffset>2595880</wp:posOffset>
                </wp:positionV>
                <wp:extent cx="107950" cy="179705"/>
                <wp:effectExtent l="12700" t="12700" r="12700" b="17145"/>
                <wp:wrapNone/>
                <wp:docPr id="6" name="菱形 6"/>
                <wp:cNvGraphicFramePr/>
                <a:graphic xmlns:a="http://schemas.openxmlformats.org/drawingml/2006/main">
                  <a:graphicData uri="http://schemas.microsoft.com/office/word/2010/wordprocessingShape">
                    <wps:wsp>
                      <wps:cNvSpPr/>
                      <wps:spPr>
                        <a:xfrm>
                          <a:off x="0" y="0"/>
                          <a:ext cx="107950" cy="179705"/>
                        </a:xfrm>
                        <a:prstGeom prst="diamond">
                          <a:avLst/>
                        </a:prstGeom>
                        <a:solidFill>
                          <a:schemeClr val="tx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margin-left:421.3pt;margin-top:204.4pt;height:14.15pt;width:8.5pt;z-index:251703296;v-text-anchor:middle;mso-width-relative:page;mso-height-relative:page;" fillcolor="#000000 [3213]" filled="t" stroked="t" coordsize="21600,21600" o:gfxdata="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J+WABbXAAAACwEAAA8AAAAAAAAAAQAgAAAAIgAAAGRycy9kb3ducmV2LnhtbFBL&#10;AQIUABQAAAAIAIdO4kDeLC5xaQIAAN8EAAAOAAAAAAAAAAEAIAAAACYBAABkcnMvZTJvRG9jLnht&#10;bFBLBQYAAAAABgAGAFkBAAABBgAAAAA=&#10;">
                <v:fill on="t" focussize="0,0"/>
                <v:stroke weight="2pt" color="#00B0F0 [3204]" joinstyle="round"/>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04320" behindDoc="0" locked="0" layoutInCell="1" allowOverlap="1">
                <wp:simplePos x="0" y="0"/>
                <wp:positionH relativeFrom="column">
                  <wp:posOffset>5755005</wp:posOffset>
                </wp:positionH>
                <wp:positionV relativeFrom="paragraph">
                  <wp:posOffset>2423795</wp:posOffset>
                </wp:positionV>
                <wp:extent cx="107950" cy="179705"/>
                <wp:effectExtent l="12700" t="12700" r="12700" b="17145"/>
                <wp:wrapNone/>
                <wp:docPr id="7" name="菱形 7"/>
                <wp:cNvGraphicFramePr/>
                <a:graphic xmlns:a="http://schemas.openxmlformats.org/drawingml/2006/main">
                  <a:graphicData uri="http://schemas.microsoft.com/office/word/2010/wordprocessingShape">
                    <wps:wsp>
                      <wps:cNvSpPr/>
                      <wps:spPr>
                        <a:xfrm>
                          <a:off x="0" y="0"/>
                          <a:ext cx="107950" cy="179705"/>
                        </a:xfrm>
                        <a:prstGeom prst="diamond">
                          <a:avLst/>
                        </a:prstGeom>
                        <a:solidFill>
                          <a:schemeClr val="tx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margin-left:453.15pt;margin-top:190.85pt;height:14.15pt;width:8.5pt;z-index:251704320;v-text-anchor:middle;mso-width-relative:page;mso-height-relative:page;" fillcolor="#000000 [3213]" filled="t" stroked="t" coordsize="21600,21600" o:gfxdata="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GKtGX3YAAAACwEAAA8AAAAAAAAAAQAgAAAAIgAAAGRycy9kb3ducmV2LnhtbFBL&#10;AQIUABQAAAAIAIdO4kDCw9oyaAIAAN8EAAAOAAAAAAAAAAEAIAAAACcBAABkcnMvZTJvRG9jLnht&#10;bFBLBQYAAAAABgAGAFkBAAABBgAAAAA=&#10;">
                <v:fill on="t" focussize="0,0"/>
                <v:stroke weight="2pt" color="#00B0F0 [3204]" joinstyle="round"/>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02272" behindDoc="0" locked="0" layoutInCell="1" allowOverlap="1">
                <wp:simplePos x="0" y="0"/>
                <wp:positionH relativeFrom="column">
                  <wp:posOffset>5193030</wp:posOffset>
                </wp:positionH>
                <wp:positionV relativeFrom="paragraph">
                  <wp:posOffset>2303780</wp:posOffset>
                </wp:positionV>
                <wp:extent cx="107950" cy="179705"/>
                <wp:effectExtent l="12700" t="12700" r="12700" b="17145"/>
                <wp:wrapNone/>
                <wp:docPr id="5" name="菱形 5"/>
                <wp:cNvGraphicFramePr/>
                <a:graphic xmlns:a="http://schemas.openxmlformats.org/drawingml/2006/main">
                  <a:graphicData uri="http://schemas.microsoft.com/office/word/2010/wordprocessingShape">
                    <wps:wsp>
                      <wps:cNvSpPr/>
                      <wps:spPr>
                        <a:xfrm>
                          <a:off x="0" y="0"/>
                          <a:ext cx="107950" cy="179705"/>
                        </a:xfrm>
                        <a:prstGeom prst="diamond">
                          <a:avLst/>
                        </a:prstGeom>
                        <a:solidFill>
                          <a:schemeClr val="tx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margin-left:408.9pt;margin-top:181.4pt;height:14.15pt;width:8.5pt;z-index:251702272;v-text-anchor:middle;mso-width-relative:page;mso-height-relative:page;" fillcolor="#000000 [3213]" filled="t" stroked="t" coordsize="21600,21600" o:gfxdata="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e1KOT2AAAAAsBAAAPAAAAAAAAAAEAIAAAACIAAABkcnMvZG93bnJldi54bWxQ&#10;SwECFAAUAAAACACHTuJA+h0ztWkCAADfBAAADgAAAAAAAAABACAAAAAnAQAAZHJzL2Uyb0RvYy54&#10;bWxQSwUGAAAAAAYABgBZAQAAAgYAAAAA&#10;">
                <v:fill on="t" focussize="0,0"/>
                <v:stroke weight="2pt" color="#00B0F0 [3204]" joinstyle="round"/>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86912" behindDoc="0" locked="0" layoutInCell="1" allowOverlap="1">
                <wp:simplePos x="0" y="0"/>
                <wp:positionH relativeFrom="column">
                  <wp:posOffset>5060950</wp:posOffset>
                </wp:positionH>
                <wp:positionV relativeFrom="paragraph">
                  <wp:posOffset>1613535</wp:posOffset>
                </wp:positionV>
                <wp:extent cx="107950" cy="179705"/>
                <wp:effectExtent l="12700" t="12700" r="12700" b="17145"/>
                <wp:wrapNone/>
                <wp:docPr id="51" name="菱形 51"/>
                <wp:cNvGraphicFramePr/>
                <a:graphic xmlns:a="http://schemas.openxmlformats.org/drawingml/2006/main">
                  <a:graphicData uri="http://schemas.microsoft.com/office/word/2010/wordprocessingShape">
                    <wps:wsp>
                      <wps:cNvSpPr/>
                      <wps:spPr>
                        <a:xfrm>
                          <a:off x="0" y="0"/>
                          <a:ext cx="107950" cy="179705"/>
                        </a:xfrm>
                        <a:prstGeom prst="diamond">
                          <a:avLst/>
                        </a:prstGeom>
                        <a:solidFill>
                          <a:schemeClr val="tx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margin-left:398.5pt;margin-top:127.05pt;height:14.15pt;width:8.5pt;z-index:251686912;v-text-anchor:middle;mso-width-relative:page;mso-height-relative:page;" fillcolor="#000000 [3213]" filled="t" stroked="t" coordsize="21600,21600" o:gfxdata="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F9ZiB2QAAAAsBAAAPAAAAAAAAAAEAIAAAACIAAABkcnMvZG93bnJldi54bWxQ&#10;SwECFAAUAAAACACHTuJAnMPRB2gCAADhBAAADgAAAAAAAAABACAAAAAoAQAAZHJzL2Uyb0RvYy54&#10;bWxQSwUGAAAAAAYABgBZAQAAAgYAAAAA&#10;">
                <v:fill on="t" focussize="0,0"/>
                <v:stroke weight="2pt" color="#00B0F0 [3204]" joinstyle="round"/>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83840" behindDoc="0" locked="0" layoutInCell="1" allowOverlap="1">
                <wp:simplePos x="0" y="0"/>
                <wp:positionH relativeFrom="column">
                  <wp:posOffset>4449445</wp:posOffset>
                </wp:positionH>
                <wp:positionV relativeFrom="paragraph">
                  <wp:posOffset>2748280</wp:posOffset>
                </wp:positionV>
                <wp:extent cx="854710" cy="319405"/>
                <wp:effectExtent l="0" t="0" r="0" b="0"/>
                <wp:wrapNone/>
                <wp:docPr id="45" name="矩形 45"/>
                <wp:cNvGraphicFramePr/>
                <a:graphic xmlns:a="http://schemas.openxmlformats.org/drawingml/2006/main">
                  <a:graphicData uri="http://schemas.microsoft.com/office/word/2010/wordprocessingShape">
                    <wps:wsp>
                      <wps:cNvSpPr/>
                      <wps:spPr>
                        <a:xfrm>
                          <a:off x="0" y="0"/>
                          <a:ext cx="854710" cy="3194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5522AE">
                            <w:pPr>
                              <w:spacing w:line="240" w:lineRule="auto"/>
                              <w:ind w:left="0" w:leftChars="0" w:firstLine="0" w:firstLineChars="0"/>
                              <w:rPr>
                                <w:rFonts w:hint="eastAsia" w:cs="Times New Roman"/>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马卜子村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0.35pt;margin-top:216.4pt;height:25.15pt;width:67.3pt;z-index:251683840;v-text-anchor:middle;mso-width-relative:page;mso-height-relative:page;" filled="f" stroked="f" coordsize="21600,21600" o:gfxdata="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Mqe2O2QAAAAsB&#10;AAAPAAAAAAAAAAEAIAAAACIAAABkcnMvZG93bnJldi54bWxQSwECFAAUAAAACACHTuJA9KrZ4VMC&#10;AACXBAAADgAAAAAAAAABACAAAAAoAQAAZHJzL2Uyb0RvYy54bWxQSwUGAAAAAAYABgBZAQAA7QUA&#10;AAAA&#10;">
                <v:fill on="f" focussize="0,0"/>
                <v:stroke on="f" weight="2pt"/>
                <v:imagedata o:title=""/>
                <o:lock v:ext="edit" aspectratio="f"/>
                <v:textbox>
                  <w:txbxContent>
                    <w:p w14:paraId="4F5522AE">
                      <w:pPr>
                        <w:spacing w:line="240" w:lineRule="auto"/>
                        <w:ind w:left="0" w:leftChars="0" w:firstLine="0" w:firstLineChars="0"/>
                        <w:rPr>
                          <w:rFonts w:hint="eastAsia" w:cs="Times New Roman"/>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马卜子村</w:t>
                      </w:r>
                    </w:p>
                  </w:txbxContent>
                </v:textbox>
              </v:rect>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79744" behindDoc="0" locked="0" layoutInCell="1" allowOverlap="1">
                <wp:simplePos x="0" y="0"/>
                <wp:positionH relativeFrom="column">
                  <wp:posOffset>4802505</wp:posOffset>
                </wp:positionH>
                <wp:positionV relativeFrom="paragraph">
                  <wp:posOffset>2648585</wp:posOffset>
                </wp:positionV>
                <wp:extent cx="107950" cy="107950"/>
                <wp:effectExtent l="12700" t="12700" r="12700" b="12700"/>
                <wp:wrapNone/>
                <wp:docPr id="30" name="椭圆 30"/>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8.15pt;margin-top:208.55pt;height:8.5pt;width:8.5pt;z-index:251679744;v-text-anchor:middle;mso-width-relative:page;mso-height-relative:page;" fillcolor="#000000 [3213]" filled="t" stroked="t" coordsize="21600,21600" o:gfxdata="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HP1zWtoAAAALAQAADwAAAAAAAAABACAAAAAiAAAAZHJzL2Rvd25yZXYueG1sUEsBAhQA&#10;FAAAAAgAh07iQG+eTBdiAgAA4QQAAA4AAAAAAAAAAQAgAAAAKQEAAGRycy9lMm9Eb2MueG1sUEsF&#10;BgAAAAAGAAYAWQEAAP0FAAAAAA==&#10;">
                <v:fill on="t" focussize="0,0"/>
                <v:stroke weight="2pt" color="#FF0000 [3204]" joinstyle="round"/>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82816" behindDoc="0" locked="0" layoutInCell="1" allowOverlap="1">
                <wp:simplePos x="0" y="0"/>
                <wp:positionH relativeFrom="column">
                  <wp:posOffset>3072130</wp:posOffset>
                </wp:positionH>
                <wp:positionV relativeFrom="paragraph">
                  <wp:posOffset>2574925</wp:posOffset>
                </wp:positionV>
                <wp:extent cx="1031875" cy="325755"/>
                <wp:effectExtent l="0" t="0" r="0" b="0"/>
                <wp:wrapNone/>
                <wp:docPr id="38" name="矩形 38"/>
                <wp:cNvGraphicFramePr/>
                <a:graphic xmlns:a="http://schemas.openxmlformats.org/drawingml/2006/main">
                  <a:graphicData uri="http://schemas.microsoft.com/office/word/2010/wordprocessingShape">
                    <wps:wsp>
                      <wps:cNvSpPr/>
                      <wps:spPr>
                        <a:xfrm>
                          <a:off x="0" y="0"/>
                          <a:ext cx="1031875" cy="325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ABB983">
                            <w:pPr>
                              <w:spacing w:line="240" w:lineRule="auto"/>
                              <w:ind w:left="0" w:leftChars="0" w:firstLine="0" w:firstLineChars="0"/>
                              <w:rPr>
                                <w:color w:val="FF0000"/>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瓦窑滩五社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1.9pt;margin-top:202.75pt;height:25.65pt;width:81.25pt;z-index:251682816;v-text-anchor:middle;mso-width-relative:page;mso-height-relative:page;" filled="f" stroked="f" coordsize="21600,21600" o:gfxdata="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9o85TtkAAAAL&#10;AQAADwAAAAAAAAABACAAAAAiAAAAZHJzL2Rvd25yZXYueG1sUEsBAhQAFAAAAAgAh07iQHcTmxlU&#10;AgAAmAQAAA4AAAAAAAAAAQAgAAAAKAEAAGRycy9lMm9Eb2MueG1sUEsFBgAAAAAGAAYAWQEAAO4F&#10;AAAAAA==&#10;">
                <v:fill on="f" focussize="0,0"/>
                <v:stroke on="f" weight="2pt"/>
                <v:imagedata o:title=""/>
                <o:lock v:ext="edit" aspectratio="f"/>
                <v:textbox>
                  <w:txbxContent>
                    <w:p w14:paraId="20ABB983">
                      <w:pPr>
                        <w:spacing w:line="240" w:lineRule="auto"/>
                        <w:ind w:left="0" w:leftChars="0" w:firstLine="0" w:firstLineChars="0"/>
                        <w:rPr>
                          <w:color w:val="FF0000"/>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瓦窑滩五社</w:t>
                      </w:r>
                    </w:p>
                  </w:txbxContent>
                </v:textbox>
              </v:rect>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78720" behindDoc="0" locked="0" layoutInCell="1" allowOverlap="1">
                <wp:simplePos x="0" y="0"/>
                <wp:positionH relativeFrom="column">
                  <wp:posOffset>3310255</wp:posOffset>
                </wp:positionH>
                <wp:positionV relativeFrom="paragraph">
                  <wp:posOffset>2839720</wp:posOffset>
                </wp:positionV>
                <wp:extent cx="107950" cy="107950"/>
                <wp:effectExtent l="12700" t="12700" r="12700" b="12700"/>
                <wp:wrapNone/>
                <wp:docPr id="27" name="椭圆 27"/>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60.65pt;margin-top:223.6pt;height:8.5pt;width:8.5pt;z-index:251678720;v-text-anchor:middle;mso-width-relative:page;mso-height-relative:page;" fillcolor="#000000 [3213]" filled="t" stroked="t" coordsize="21600,21600" o:gfxdata="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Pn76dbbAAAACwEAAA8AAAAAAAAAAQAgAAAAIgAAAGRycy9kb3ducmV2LnhtbFBLAQIU&#10;ABQAAAAIAIdO4kB+mGUwYgIAAOEEAAAOAAAAAAAAAAEAIAAAACoBAABkcnMvZTJvRG9jLnhtbFBL&#10;BQYAAAAABgAGAFkBAAD+BQAAAAA=&#10;">
                <v:fill on="t" focussize="0,0"/>
                <v:stroke weight="2pt" color="#FF0000 [3204]" joinstyle="round"/>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80768" behindDoc="0" locked="0" layoutInCell="1" allowOverlap="1">
                <wp:simplePos x="0" y="0"/>
                <wp:positionH relativeFrom="column">
                  <wp:posOffset>6903085</wp:posOffset>
                </wp:positionH>
                <wp:positionV relativeFrom="paragraph">
                  <wp:posOffset>4176395</wp:posOffset>
                </wp:positionV>
                <wp:extent cx="107950" cy="107950"/>
                <wp:effectExtent l="12700" t="12700" r="12700" b="12700"/>
                <wp:wrapNone/>
                <wp:docPr id="33" name="椭圆 33"/>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43.55pt;margin-top:328.85pt;height:8.5pt;width:8.5pt;z-index:251680768;v-text-anchor:middle;mso-width-relative:page;mso-height-relative:page;" fillcolor="#000000 [3213]" filled="t" stroked="t" coordsize="21600,21600" o:gfxdata="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Mc71r3aAAAADQEAAA8AAAAAAAAAAQAgAAAAIgAAAGRycy9kb3ducmV2LnhtbFBLAQIU&#10;ABQAAAAIAIdO4kBvbpzNYwIAAOEEAAAOAAAAAAAAAAEAIAAAACkBAABkcnMvZTJvRG9jLnhtbFBL&#10;BQYAAAAABgAGAFkBAAD+BQAAAAA=&#10;">
                <v:fill on="t" focussize="0,0"/>
                <v:stroke weight="2pt" color="#FF0000 [3204]" joinstyle="round"/>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81792" behindDoc="0" locked="0" layoutInCell="1" allowOverlap="1">
                <wp:simplePos x="0" y="0"/>
                <wp:positionH relativeFrom="column">
                  <wp:posOffset>6419850</wp:posOffset>
                </wp:positionH>
                <wp:positionV relativeFrom="paragraph">
                  <wp:posOffset>3853815</wp:posOffset>
                </wp:positionV>
                <wp:extent cx="701675" cy="325755"/>
                <wp:effectExtent l="0" t="0" r="0" b="0"/>
                <wp:wrapNone/>
                <wp:docPr id="36" name="矩形 36"/>
                <wp:cNvGraphicFramePr/>
                <a:graphic xmlns:a="http://schemas.openxmlformats.org/drawingml/2006/main">
                  <a:graphicData uri="http://schemas.microsoft.com/office/word/2010/wordprocessingShape">
                    <wps:wsp>
                      <wps:cNvSpPr/>
                      <wps:spPr>
                        <a:xfrm>
                          <a:off x="0" y="0"/>
                          <a:ext cx="701675" cy="325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DDA33F">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b/>
                                <w:bCs/>
                                <w:color w:val="FF0000"/>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砖圪旦</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5.5pt;margin-top:303.45pt;height:25.65pt;width:55.25pt;z-index:251681792;v-text-anchor:middle;mso-width-relative:page;mso-height-relative:page;" filled="f" stroked="f" coordsize="21600,21600" o:gfxdata="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JoXNCXaAAAA&#10;DQEAAA8AAAAAAAAAAQAgAAAAIgAAAGRycy9kb3ducmV2LnhtbFBLAQIUABQAAAAIAIdO4kDF9Gj7&#10;VAIAAJcEAAAOAAAAAAAAAAEAIAAAACkBAABkcnMvZTJvRG9jLnhtbFBLBQYAAAAABgAGAFkBAADv&#10;BQAAAAA=&#10;">
                <v:fill on="f" focussize="0,0"/>
                <v:stroke on="f" weight="2pt"/>
                <v:imagedata o:title=""/>
                <o:lock v:ext="edit" aspectratio="f"/>
                <v:textbox>
                  <w:txbxContent>
                    <w:p w14:paraId="2FDDA33F">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b/>
                          <w:bCs/>
                          <w:color w:val="FF0000"/>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砖圪旦</w:t>
                      </w:r>
                    </w:p>
                  </w:txbxContent>
                </v:textbox>
              </v:rect>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72576" behindDoc="0" locked="0" layoutInCell="1" allowOverlap="1">
                <wp:simplePos x="0" y="0"/>
                <wp:positionH relativeFrom="column">
                  <wp:posOffset>3091180</wp:posOffset>
                </wp:positionH>
                <wp:positionV relativeFrom="paragraph">
                  <wp:posOffset>383540</wp:posOffset>
                </wp:positionV>
                <wp:extent cx="4044315" cy="4027805"/>
                <wp:effectExtent l="12700" t="12700" r="19685" b="17145"/>
                <wp:wrapNone/>
                <wp:docPr id="10" name="矩形 10"/>
                <wp:cNvGraphicFramePr/>
                <a:graphic xmlns:a="http://schemas.openxmlformats.org/drawingml/2006/main">
                  <a:graphicData uri="http://schemas.microsoft.com/office/word/2010/wordprocessingShape">
                    <wps:wsp>
                      <wps:cNvSpPr/>
                      <wps:spPr>
                        <a:xfrm>
                          <a:off x="2465070" y="1605915"/>
                          <a:ext cx="4044315" cy="40278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3.4pt;margin-top:30.2pt;height:317.15pt;width:318.45pt;z-index:251672576;v-text-anchor:middle;mso-width-relative:page;mso-height-relative:page;" filled="f" stroked="t" coordsize="21600,21600" o:gfxdata="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yQJZQdoAAAALAQAADwAAAAAAAAABACAAAAAiAAAAZHJzL2Rvd25yZXYu&#10;eG1sUEsBAhQAFAAAAAgAh07iQK8tZbxrAgAAwwQAAA4AAAAAAAAAAQAgAAAAKQEAAGRycy9lMm9E&#10;b2MueG1sUEsFBgAAAAAGAAYAWQEAAAYGAAAAAA==&#10;">
                <v:fill on="f" focussize="0,0"/>
                <v:stroke weight="2pt" color="#FF0000 [3204]" joinstyle="round"/>
                <v:imagedata o:title=""/>
                <o:lock v:ext="edit" aspectratio="f"/>
              </v:rect>
            </w:pict>
          </mc:Fallback>
        </mc:AlternateContent>
      </w:r>
      <w:r>
        <w:rPr>
          <w:rFonts w:hint="default" w:ascii="Times New Roman" w:hAnsi="Times New Roman" w:eastAsia="宋体" w:cs="Times New Roman"/>
          <w:color w:val="auto"/>
          <w:highlight w:val="none"/>
        </w:rPr>
        <w:drawing>
          <wp:inline distT="0" distB="0" distL="114300" distR="114300">
            <wp:extent cx="8279765" cy="4745990"/>
            <wp:effectExtent l="0" t="0" r="6985" b="16510"/>
            <wp:docPr id="77" name="图片 77" descr="3123212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31232123222"/>
                    <pic:cNvPicPr>
                      <a:picLocks noChangeAspect="1"/>
                    </pic:cNvPicPr>
                  </pic:nvPicPr>
                  <pic:blipFill>
                    <a:blip r:embed="rId17"/>
                    <a:stretch>
                      <a:fillRect/>
                    </a:stretch>
                  </pic:blipFill>
                  <pic:spPr>
                    <a:xfrm>
                      <a:off x="0" y="0"/>
                      <a:ext cx="8279765" cy="4745990"/>
                    </a:xfrm>
                    <a:prstGeom prst="rect">
                      <a:avLst/>
                    </a:prstGeom>
                  </pic:spPr>
                </pic:pic>
              </a:graphicData>
            </a:graphic>
          </wp:inline>
        </w:drawing>
      </w:r>
      <w:r>
        <w:rPr>
          <w:rFonts w:hint="default" w:ascii="Times New Roman" w:hAnsi="Times New Roman" w:eastAsia="宋体" w:cs="Times New Roman"/>
          <w:b/>
          <w:bCs/>
          <w:color w:val="auto"/>
          <w:sz w:val="24"/>
          <w:szCs w:val="22"/>
          <w:highlight w:val="none"/>
        </w:rPr>
        <w:t>图2.6-1项目环境</w:t>
      </w:r>
      <w:r>
        <w:rPr>
          <w:rFonts w:hint="default" w:ascii="Times New Roman" w:hAnsi="Times New Roman" w:eastAsia="宋体" w:cs="Times New Roman"/>
          <w:b/>
          <w:bCs/>
          <w:color w:val="auto"/>
          <w:sz w:val="24"/>
          <w:szCs w:val="22"/>
          <w:highlight w:val="none"/>
          <w:lang w:eastAsia="zh-CN"/>
        </w:rPr>
        <w:t>空气和地下水环境</w:t>
      </w:r>
      <w:r>
        <w:rPr>
          <w:rFonts w:hint="default" w:ascii="Times New Roman" w:hAnsi="Times New Roman" w:eastAsia="宋体" w:cs="Times New Roman"/>
          <w:b/>
          <w:bCs/>
          <w:color w:val="auto"/>
          <w:sz w:val="24"/>
          <w:szCs w:val="22"/>
          <w:highlight w:val="none"/>
        </w:rPr>
        <w:t>保护目标及评价范围图</w:t>
      </w:r>
    </w:p>
    <w:p w14:paraId="320D9FAF">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91008" behindDoc="0" locked="0" layoutInCell="1" allowOverlap="1">
                <wp:simplePos x="0" y="0"/>
                <wp:positionH relativeFrom="column">
                  <wp:posOffset>1286510</wp:posOffset>
                </wp:positionH>
                <wp:positionV relativeFrom="paragraph">
                  <wp:posOffset>4467860</wp:posOffset>
                </wp:positionV>
                <wp:extent cx="288290" cy="107950"/>
                <wp:effectExtent l="12700" t="12700" r="22860" b="12700"/>
                <wp:wrapNone/>
                <wp:docPr id="89" name="矩形 89"/>
                <wp:cNvGraphicFramePr/>
                <a:graphic xmlns:a="http://schemas.openxmlformats.org/drawingml/2006/main">
                  <a:graphicData uri="http://schemas.microsoft.com/office/word/2010/wordprocessingShape">
                    <wps:wsp>
                      <wps:cNvSpPr/>
                      <wps:spPr>
                        <a:xfrm>
                          <a:off x="0" y="0"/>
                          <a:ext cx="288290" cy="10795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1.3pt;margin-top:351.8pt;height:8.5pt;width:22.7pt;z-index:251691008;v-text-anchor:middle;mso-width-relative:page;mso-height-relative:page;" filled="f" stroked="t" coordsize="21600,21600" o:gfxdata="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2&#10;gzyV2QAAAAsBAAAPAAAAAAAAAAEAIAAAACIAAABkcnMvZG93bnJldi54bWxQSwECFAAUAAAACACH&#10;TuJA63wcg1wCAAC1BAAADgAAAAAAAAABACAAAAAoAQAAZHJzL2Uyb0RvYy54bWxQSwUGAAAAAAYA&#10;BgBZAQAA9gUAAAAA&#10;">
                <v:fill on="f" focussize="0,0"/>
                <v:stroke weight="2pt" color="#FFFF00 [3204]" joinstyle="round"/>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89984" behindDoc="0" locked="0" layoutInCell="1" allowOverlap="1">
                <wp:simplePos x="0" y="0"/>
                <wp:positionH relativeFrom="column">
                  <wp:posOffset>1456055</wp:posOffset>
                </wp:positionH>
                <wp:positionV relativeFrom="paragraph">
                  <wp:posOffset>4142105</wp:posOffset>
                </wp:positionV>
                <wp:extent cx="288290" cy="107950"/>
                <wp:effectExtent l="12700" t="12700" r="22860" b="12700"/>
                <wp:wrapNone/>
                <wp:docPr id="87" name="矩形 87"/>
                <wp:cNvGraphicFramePr/>
                <a:graphic xmlns:a="http://schemas.openxmlformats.org/drawingml/2006/main">
                  <a:graphicData uri="http://schemas.microsoft.com/office/word/2010/wordprocessingShape">
                    <wps:wsp>
                      <wps:cNvSpPr/>
                      <wps:spPr>
                        <a:xfrm>
                          <a:off x="0" y="0"/>
                          <a:ext cx="288290" cy="107950"/>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4.65pt;margin-top:326.15pt;height:8.5pt;width:22.7pt;z-index:251689984;v-text-anchor:middle;mso-width-relative:page;mso-height-relative:page;" filled="f" stroked="t" coordsize="21600,21600" o:gfxdata="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Gt7q5TaAAAACwEAAA8AAAAAAAAAAQAgAAAAIgAAAGRycy9kb3ducmV2LnhtbFBLAQIUABQAAAAI&#10;AIdO4kAexJrWXQIAALUEAAAOAAAAAAAAAAEAIAAAACkBAABkcnMvZTJvRG9jLnhtbFBLBQYAAAAA&#10;BgAGAFkBAAD4BQAAAAA=&#10;">
                <v:fill on="f" focussize="0,0"/>
                <v:stroke weight="2pt" color="#00B050 [3204]" joinstyle="round"/>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88960" behindDoc="0" locked="0" layoutInCell="1" allowOverlap="1">
                <wp:simplePos x="0" y="0"/>
                <wp:positionH relativeFrom="column">
                  <wp:posOffset>513715</wp:posOffset>
                </wp:positionH>
                <wp:positionV relativeFrom="paragraph">
                  <wp:posOffset>3796665</wp:posOffset>
                </wp:positionV>
                <wp:extent cx="288290" cy="107950"/>
                <wp:effectExtent l="12700" t="12700" r="22860" b="12700"/>
                <wp:wrapNone/>
                <wp:docPr id="86" name="矩形 86"/>
                <wp:cNvGraphicFramePr/>
                <a:graphic xmlns:a="http://schemas.openxmlformats.org/drawingml/2006/main">
                  <a:graphicData uri="http://schemas.microsoft.com/office/word/2010/wordprocessingShape">
                    <wps:wsp>
                      <wps:cNvSpPr/>
                      <wps:spPr>
                        <a:xfrm>
                          <a:off x="0" y="0"/>
                          <a:ext cx="288290" cy="1079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45pt;margin-top:298.95pt;height:8.5pt;width:22.7pt;z-index:251688960;v-text-anchor:middle;mso-width-relative:page;mso-height-relative:page;" filled="f" stroked="t" coordsize="21600,21600" o:gfxdata="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Qw9UeNoAAAAKAQAADwAAAAAAAAABACAAAAAiAAAAZHJzL2Rvd25yZXYueG1sUEsBAhQAFAAAAAgA&#10;h07iQOwqO9FcAgAAtQQAAA4AAAAAAAAAAQAgAAAAKQEAAGRycy9lMm9Eb2MueG1sUEsFBgAAAAAG&#10;AAYAWQEAAPcFAAAAAA==&#10;">
                <v:fill on="f" focussize="0,0"/>
                <v:stroke weight="2pt" color="#000000 [3213]" joinstyle="round"/>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87936" behindDoc="0" locked="0" layoutInCell="1" allowOverlap="1">
                <wp:simplePos x="0" y="0"/>
                <wp:positionH relativeFrom="column">
                  <wp:posOffset>76835</wp:posOffset>
                </wp:positionH>
                <wp:positionV relativeFrom="paragraph">
                  <wp:posOffset>3368040</wp:posOffset>
                </wp:positionV>
                <wp:extent cx="1806575" cy="1334135"/>
                <wp:effectExtent l="12700" t="12700" r="28575" b="24765"/>
                <wp:wrapNone/>
                <wp:docPr id="85" name="矩形 85"/>
                <wp:cNvGraphicFramePr/>
                <a:graphic xmlns:a="http://schemas.openxmlformats.org/drawingml/2006/main">
                  <a:graphicData uri="http://schemas.microsoft.com/office/word/2010/wordprocessingShape">
                    <wps:wsp>
                      <wps:cNvSpPr/>
                      <wps:spPr>
                        <a:xfrm>
                          <a:off x="0" y="0"/>
                          <a:ext cx="1806575" cy="1334135"/>
                        </a:xfrm>
                        <a:prstGeom prst="rect">
                          <a:avLst/>
                        </a:prstGeom>
                        <a:solidFill>
                          <a:schemeClr val="accent3">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4440AC">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center"/>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图例</w:t>
                            </w:r>
                          </w:p>
                          <w:p w14:paraId="59236A85">
                            <w:pPr>
                              <w:pStyle w:val="1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场区</w:t>
                            </w:r>
                          </w:p>
                          <w:p w14:paraId="1285CF98">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土壤环境评价范围</w:t>
                            </w:r>
                          </w:p>
                          <w:p w14:paraId="489AF3A8">
                            <w:pPr>
                              <w:pStyle w:val="1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声环境评价范围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5pt;margin-top:265.2pt;height:105.05pt;width:142.25pt;z-index:251687936;v-text-anchor:middle;mso-width-relative:page;mso-height-relative:page;" fillcolor="#D7E4BD [1302]" filled="t" stroked="t" coordsize="21600,21600" o:gfxdata="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JQU5zPYAAAACgEA&#10;AA8AAAAAAAAAAQAgAAAAIgAAAGRycy9kb3ducmV2LnhtbFBLAQIUABQAAAAIAIdO4kBnBFlBjAIA&#10;ACQFAAAOAAAAAAAAAAEAIAAAACcBAABkcnMvZTJvRG9jLnhtbFBLBQYAAAAABgAGAFkBAAAlBgAA&#10;AAA=&#10;">
                <v:fill on="t" focussize="0,0"/>
                <v:stroke weight="2pt" color="#000000 [3213]" joinstyle="round"/>
                <v:imagedata o:title=""/>
                <o:lock v:ext="edit" aspectratio="f"/>
                <v:textbox>
                  <w:txbxContent>
                    <w:p w14:paraId="624440AC">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center"/>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图例</w:t>
                      </w:r>
                    </w:p>
                    <w:p w14:paraId="59236A85">
                      <w:pPr>
                        <w:pStyle w:val="1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场区</w:t>
                      </w:r>
                    </w:p>
                    <w:p w14:paraId="1285CF98">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土壤环境评价范围</w:t>
                      </w:r>
                    </w:p>
                    <w:p w14:paraId="489AF3A8">
                      <w:pPr>
                        <w:pStyle w:val="1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声环境评价范围</w:t>
                      </w:r>
                    </w:p>
                  </w:txbxContent>
                </v:textbox>
              </v:rect>
            </w:pict>
          </mc:Fallback>
        </mc:AlternateContent>
      </w:r>
      <w:r>
        <w:rPr>
          <w:rFonts w:hint="default" w:ascii="Times New Roman" w:hAnsi="Times New Roman" w:eastAsia="宋体" w:cs="Times New Roman"/>
          <w:color w:val="auto"/>
          <w:highlight w:val="none"/>
        </w:rPr>
        <w:drawing>
          <wp:anchor distT="0" distB="0" distL="114300" distR="114300" simplePos="0" relativeHeight="251695104" behindDoc="0" locked="0" layoutInCell="1" allowOverlap="1">
            <wp:simplePos x="0" y="0"/>
            <wp:positionH relativeFrom="column">
              <wp:posOffset>7622540</wp:posOffset>
            </wp:positionH>
            <wp:positionV relativeFrom="paragraph">
              <wp:posOffset>35560</wp:posOffset>
            </wp:positionV>
            <wp:extent cx="654050" cy="720090"/>
            <wp:effectExtent l="0" t="0" r="12700" b="3810"/>
            <wp:wrapNone/>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8"/>
                    <a:stretch>
                      <a:fillRect/>
                    </a:stretch>
                  </pic:blipFill>
                  <pic:spPr>
                    <a:xfrm>
                      <a:off x="0" y="0"/>
                      <a:ext cx="654050" cy="720090"/>
                    </a:xfrm>
                    <a:prstGeom prst="rect">
                      <a:avLst/>
                    </a:prstGeom>
                    <a:noFill/>
                    <a:ln>
                      <a:noFill/>
                    </a:ln>
                  </pic:spPr>
                </pic:pic>
              </a:graphicData>
            </a:graphic>
          </wp:anchor>
        </w:drawing>
      </w:r>
      <w:r>
        <w:rPr>
          <w:rFonts w:hint="default" w:ascii="Times New Roman" w:hAnsi="Times New Roman" w:eastAsia="宋体" w:cs="Times New Roman"/>
          <w:color w:val="auto"/>
          <w:highlight w:val="none"/>
        </w:rPr>
        <w:object>
          <v:shape id="_x0000_i1026" o:spt="75" type="#_x0000_t75" style="height:375.45pt;width:651.95pt;" o:ole="t" filled="f" o:preferrelative="t" stroked="f" coordsize="21600,21600">
            <v:path/>
            <v:fill on="f" focussize="0,0"/>
            <v:stroke on="f"/>
            <v:imagedata r:id="rId20" o:title=""/>
            <o:lock v:ext="edit" aspectratio="t"/>
            <w10:wrap type="none"/>
            <w10:anchorlock/>
          </v:shape>
          <o:OLEObject Type="Embed" ProgID="Visio.Drawing.11" ShapeID="_x0000_i1026" DrawAspect="Content" ObjectID="_1468075726" r:id="rId19">
            <o:LockedField>false</o:LockedField>
          </o:OLEObject>
        </w:object>
      </w:r>
      <w:r>
        <w:rPr>
          <w:rFonts w:hint="default" w:ascii="Times New Roman" w:hAnsi="Times New Roman" w:eastAsia="宋体" w:cs="Times New Roman"/>
          <w:b/>
          <w:bCs/>
          <w:color w:val="auto"/>
          <w:highlight w:val="none"/>
        </w:rPr>
        <w:t>图2.6-</w:t>
      </w:r>
      <w:r>
        <w:rPr>
          <w:rFonts w:hint="default" w:ascii="Times New Roman" w:hAnsi="Times New Roman" w:eastAsia="宋体" w:cs="Times New Roman"/>
          <w:b/>
          <w:bCs/>
          <w:color w:val="auto"/>
          <w:highlight w:val="none"/>
          <w:lang w:val="en-US" w:eastAsia="zh-CN"/>
        </w:rPr>
        <w:t>2</w:t>
      </w:r>
      <w:r>
        <w:rPr>
          <w:rFonts w:hint="default" w:ascii="Times New Roman" w:hAnsi="Times New Roman" w:eastAsia="宋体" w:cs="Times New Roman"/>
          <w:b/>
          <w:bCs/>
          <w:color w:val="auto"/>
          <w:highlight w:val="none"/>
        </w:rPr>
        <w:t>项目</w:t>
      </w:r>
      <w:r>
        <w:rPr>
          <w:rFonts w:hint="default" w:ascii="Times New Roman" w:hAnsi="Times New Roman" w:eastAsia="宋体" w:cs="Times New Roman"/>
          <w:b/>
          <w:bCs/>
          <w:color w:val="auto"/>
          <w:highlight w:val="none"/>
          <w:lang w:val="en-US" w:eastAsia="zh-CN"/>
        </w:rPr>
        <w:t>土壤</w:t>
      </w:r>
      <w:r>
        <w:rPr>
          <w:rFonts w:hint="default" w:ascii="Times New Roman" w:hAnsi="Times New Roman" w:eastAsia="宋体" w:cs="Times New Roman"/>
          <w:b/>
          <w:bCs/>
          <w:color w:val="auto"/>
          <w:highlight w:val="none"/>
        </w:rPr>
        <w:t>环境</w:t>
      </w:r>
      <w:r>
        <w:rPr>
          <w:rFonts w:hint="default" w:ascii="Times New Roman" w:hAnsi="Times New Roman" w:eastAsia="宋体" w:cs="Times New Roman"/>
          <w:b/>
          <w:bCs/>
          <w:color w:val="auto"/>
          <w:highlight w:val="none"/>
          <w:lang w:eastAsia="zh-CN"/>
        </w:rPr>
        <w:t>和</w:t>
      </w:r>
      <w:r>
        <w:rPr>
          <w:rFonts w:hint="default" w:ascii="Times New Roman" w:hAnsi="Times New Roman" w:eastAsia="宋体" w:cs="Times New Roman"/>
          <w:b/>
          <w:bCs/>
          <w:color w:val="auto"/>
          <w:highlight w:val="none"/>
          <w:lang w:val="en-US" w:eastAsia="zh-CN"/>
        </w:rPr>
        <w:t>声</w:t>
      </w:r>
      <w:r>
        <w:rPr>
          <w:rFonts w:hint="default" w:ascii="Times New Roman" w:hAnsi="Times New Roman" w:eastAsia="宋体" w:cs="Times New Roman"/>
          <w:b/>
          <w:bCs/>
          <w:color w:val="auto"/>
          <w:highlight w:val="none"/>
          <w:lang w:eastAsia="zh-CN"/>
        </w:rPr>
        <w:t>环境</w:t>
      </w:r>
      <w:r>
        <w:rPr>
          <w:rFonts w:hint="default" w:ascii="Times New Roman" w:hAnsi="Times New Roman" w:eastAsia="宋体" w:cs="Times New Roman"/>
          <w:b/>
          <w:bCs/>
          <w:color w:val="auto"/>
          <w:highlight w:val="none"/>
        </w:rPr>
        <w:t>保护目标及评价范围图</w:t>
      </w:r>
    </w:p>
    <w:p w14:paraId="20BA0228">
      <w:pPr>
        <w:pageBreakBefore w:val="0"/>
        <w:kinsoku/>
        <w:wordWrap/>
        <w:overflowPunct w:val="0"/>
        <w:bidi w:val="0"/>
        <w:snapToGrid w:val="0"/>
        <w:spacing w:line="360" w:lineRule="auto"/>
        <w:ind w:left="0" w:leftChars="0" w:right="0" w:rightChars="0" w:firstLine="0" w:firstLineChars="0"/>
        <w:rPr>
          <w:rFonts w:hint="default" w:ascii="Times New Roman" w:hAnsi="Times New Roman" w:eastAsia="宋体" w:cs="Times New Roman"/>
          <w:color w:val="auto"/>
          <w:highlight w:val="none"/>
        </w:rPr>
        <w:sectPr>
          <w:pgSz w:w="16839" w:h="11907" w:orient="landscape"/>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26" w:charSpace="0"/>
        </w:sectPr>
      </w:pPr>
    </w:p>
    <w:p w14:paraId="545BAC6E">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7433310" cy="5255895"/>
            <wp:effectExtent l="0" t="0" r="15240" b="1905"/>
            <wp:docPr id="63" name="图片 63" descr="20221202 乌拉特海禾养殖场-遥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20221202 乌拉特海禾养殖场-遥感"/>
                    <pic:cNvPicPr>
                      <a:picLocks noChangeAspect="1"/>
                    </pic:cNvPicPr>
                  </pic:nvPicPr>
                  <pic:blipFill>
                    <a:blip r:embed="rId21"/>
                    <a:stretch>
                      <a:fillRect/>
                    </a:stretch>
                  </pic:blipFill>
                  <pic:spPr>
                    <a:xfrm>
                      <a:off x="0" y="0"/>
                      <a:ext cx="7433310" cy="5255895"/>
                    </a:xfrm>
                    <a:prstGeom prst="rect">
                      <a:avLst/>
                    </a:prstGeom>
                  </pic:spPr>
                </pic:pic>
              </a:graphicData>
            </a:graphic>
          </wp:inline>
        </w:drawing>
      </w:r>
    </w:p>
    <w:p w14:paraId="4E38C92A">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b/>
          <w:bCs/>
          <w:color w:val="auto"/>
          <w:highlight w:val="none"/>
          <w:lang w:eastAsia="zh-CN"/>
        </w:rPr>
        <w:sectPr>
          <w:pgSz w:w="16839" w:h="11907" w:orient="landscape"/>
          <w:pgMar w:top="1440" w:right="1800" w:bottom="1440" w:left="1800" w:header="850" w:footer="1134" w:gutter="0"/>
          <w:pgBorders>
            <w:top w:val="none" w:sz="0" w:space="0"/>
            <w:left w:val="none" w:sz="0" w:space="0"/>
            <w:bottom w:val="none" w:sz="0" w:space="0"/>
            <w:right w:val="none" w:sz="0" w:space="0"/>
          </w:pgBorders>
          <w:pgNumType w:fmt="decimal"/>
          <w:cols w:space="720" w:num="1"/>
          <w:docGrid w:linePitch="326" w:charSpace="0"/>
        </w:sectPr>
      </w:pPr>
      <w:r>
        <w:rPr>
          <w:rFonts w:hint="default" w:ascii="Times New Roman" w:hAnsi="Times New Roman" w:eastAsia="宋体" w:cs="Times New Roman"/>
          <w:b/>
          <w:bCs/>
          <w:color w:val="auto"/>
          <w:highlight w:val="none"/>
        </w:rPr>
        <w:t>图2.6-</w:t>
      </w:r>
      <w:r>
        <w:rPr>
          <w:rFonts w:hint="default" w:ascii="Times New Roman" w:hAnsi="Times New Roman" w:eastAsia="宋体" w:cs="Times New Roman"/>
          <w:b/>
          <w:bCs/>
          <w:color w:val="auto"/>
          <w:highlight w:val="none"/>
          <w:lang w:val="en-US" w:eastAsia="zh-CN"/>
        </w:rPr>
        <w:t>3</w:t>
      </w:r>
      <w:r>
        <w:rPr>
          <w:rFonts w:hint="default" w:ascii="Times New Roman" w:hAnsi="Times New Roman" w:eastAsia="宋体" w:cs="Times New Roman"/>
          <w:b/>
          <w:bCs/>
          <w:color w:val="auto"/>
          <w:highlight w:val="none"/>
        </w:rPr>
        <w:t>项目</w:t>
      </w:r>
      <w:r>
        <w:rPr>
          <w:rFonts w:hint="default" w:ascii="Times New Roman" w:hAnsi="Times New Roman" w:eastAsia="宋体" w:cs="Times New Roman"/>
          <w:b/>
          <w:bCs/>
          <w:color w:val="auto"/>
          <w:highlight w:val="none"/>
          <w:lang w:val="en-US" w:eastAsia="zh-CN"/>
        </w:rPr>
        <w:t>生态</w:t>
      </w:r>
      <w:r>
        <w:rPr>
          <w:rFonts w:hint="default" w:ascii="Times New Roman" w:hAnsi="Times New Roman" w:eastAsia="宋体" w:cs="Times New Roman"/>
          <w:b/>
          <w:bCs/>
          <w:color w:val="auto"/>
          <w:highlight w:val="none"/>
        </w:rPr>
        <w:t>环境保护目标及评价范围</w:t>
      </w:r>
      <w:r>
        <w:rPr>
          <w:rFonts w:hint="default" w:ascii="Times New Roman" w:hAnsi="Times New Roman" w:eastAsia="宋体" w:cs="Times New Roman"/>
          <w:b/>
          <w:bCs/>
          <w:color w:val="auto"/>
          <w:highlight w:val="none"/>
          <w:lang w:eastAsia="zh-CN"/>
        </w:rPr>
        <w:t>图</w:t>
      </w:r>
    </w:p>
    <w:p w14:paraId="3FF384BA">
      <w:pPr>
        <w:pStyle w:val="39"/>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textAlignment w:val="auto"/>
        <w:rPr>
          <w:rFonts w:hint="default" w:ascii="Times New Roman" w:hAnsi="Times New Roman" w:eastAsia="宋体" w:cs="Times New Roman"/>
          <w:highlight w:val="none"/>
        </w:rPr>
      </w:pP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61664" behindDoc="0" locked="0" layoutInCell="1" allowOverlap="1">
                <wp:simplePos x="0" y="0"/>
                <wp:positionH relativeFrom="column">
                  <wp:posOffset>3969385</wp:posOffset>
                </wp:positionH>
                <wp:positionV relativeFrom="paragraph">
                  <wp:posOffset>1106170</wp:posOffset>
                </wp:positionV>
                <wp:extent cx="650875" cy="325755"/>
                <wp:effectExtent l="0" t="0" r="0" b="0"/>
                <wp:wrapNone/>
                <wp:docPr id="67" name="矩形 67"/>
                <wp:cNvGraphicFramePr/>
                <a:graphic xmlns:a="http://schemas.openxmlformats.org/drawingml/2006/main">
                  <a:graphicData uri="http://schemas.microsoft.com/office/word/2010/wordprocessingShape">
                    <wps:wsp>
                      <wps:cNvSpPr/>
                      <wps:spPr>
                        <a:xfrm>
                          <a:off x="0" y="0"/>
                          <a:ext cx="650875" cy="325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C63628">
                            <w:pPr>
                              <w:spacing w:line="240" w:lineRule="auto"/>
                              <w:ind w:left="0" w:leftChars="0" w:firstLine="0" w:firstLineChars="0"/>
                              <w:rPr>
                                <w:rFonts w:hint="default"/>
                                <w:color w:val="auto"/>
                                <w:sz w:val="24"/>
                                <w:szCs w:val="24"/>
                                <w:lang w:val="en-US"/>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color w:val="auto"/>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2.4km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2.55pt;margin-top:87.1pt;height:25.65pt;width:51.25pt;z-index:251761664;v-text-anchor:middle;mso-width-relative:page;mso-height-relative:page;" filled="f" stroked="f" coordsize="21600,21600" o:gfxdata="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JBqAydkAAAAL&#10;AQAADwAAAAAAAAABACAAAAAiAAAAZHJzL2Rvd25yZXYueG1sUEsBAhQAFAAAAAgAh07iQOiyDgtU&#10;AgAAlwQAAA4AAAAAAAAAAQAgAAAAKAEAAGRycy9lMm9Eb2MueG1sUEsFBgAAAAAGAAYAWQEAAO4F&#10;AAAAAA==&#10;">
                <v:fill on="f" focussize="0,0"/>
                <v:stroke on="f" weight="2pt"/>
                <v:imagedata o:title=""/>
                <o:lock v:ext="edit" aspectratio="f"/>
                <v:textbox>
                  <w:txbxContent>
                    <w:p w14:paraId="18C63628">
                      <w:pPr>
                        <w:spacing w:line="240" w:lineRule="auto"/>
                        <w:ind w:left="0" w:leftChars="0" w:firstLine="0" w:firstLineChars="0"/>
                        <w:rPr>
                          <w:rFonts w:hint="default"/>
                          <w:color w:val="auto"/>
                          <w:sz w:val="24"/>
                          <w:szCs w:val="24"/>
                          <w:lang w:val="en-US"/>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color w:val="auto"/>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2.4km</w:t>
                      </w:r>
                    </w:p>
                  </w:txbxContent>
                </v:textbox>
              </v:rect>
            </w:pict>
          </mc:Fallback>
        </mc:AlternateContent>
      </w:r>
      <w:r>
        <w:rPr>
          <w:rFonts w:hint="default" w:ascii="Times New Roman" w:hAnsi="Times New Roman" w:eastAsia="宋体" w:cs="Times New Roman"/>
          <w:sz w:val="21"/>
          <w:highlight w:val="none"/>
        </w:rPr>
        <mc:AlternateContent>
          <mc:Choice Requires="wps">
            <w:drawing>
              <wp:anchor distT="0" distB="0" distL="114300" distR="114300" simplePos="0" relativeHeight="251758592" behindDoc="0" locked="0" layoutInCell="1" allowOverlap="1">
                <wp:simplePos x="0" y="0"/>
                <wp:positionH relativeFrom="column">
                  <wp:posOffset>3896360</wp:posOffset>
                </wp:positionH>
                <wp:positionV relativeFrom="paragraph">
                  <wp:posOffset>1082675</wp:posOffset>
                </wp:positionV>
                <wp:extent cx="215900" cy="254000"/>
                <wp:effectExtent l="0" t="0" r="12700" b="12700"/>
                <wp:wrapNone/>
                <wp:docPr id="66" name="直接箭头连接符 66"/>
                <wp:cNvGraphicFramePr/>
                <a:graphic xmlns:a="http://schemas.openxmlformats.org/drawingml/2006/main">
                  <a:graphicData uri="http://schemas.microsoft.com/office/word/2010/wordprocessingShape">
                    <wps:wsp>
                      <wps:cNvCnPr/>
                      <wps:spPr>
                        <a:xfrm flipH="1">
                          <a:off x="5062220" y="1997075"/>
                          <a:ext cx="215900" cy="254000"/>
                        </a:xfrm>
                        <a:prstGeom prst="straightConnector1">
                          <a:avLst/>
                        </a:prstGeom>
                        <a:ln>
                          <a:solidFill>
                            <a:schemeClr val="tx1"/>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06.8pt;margin-top:85.25pt;height:20pt;width:17pt;z-index:251758592;mso-width-relative:page;mso-height-relative:page;" filled="f" stroked="t" coordsize="21600,21600" o:gfxdata="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aB7J72QAAAAsBAAAPAAAA&#10;AAAAAAEAIAAAACIAAABkcnMvZG93bnJldi54bWxQSwECFAAUAAAACACHTuJALOAJOhQCAAD9AwAA&#10;DgAAAAAAAAABACAAAAAoAQAAZHJzL2Uyb0RvYy54bWxQSwUGAAAAAAYABgBZAQAArgUAAAAA&#10;">
                <v:fill on="f" focussize="0,0"/>
                <v:stroke weight="2pt" color="#000000 [3213]" joinstyle="round" startarrow="open" endarrow="open"/>
                <v:imagedata o:title=""/>
                <o:lock v:ext="edit" aspectratio="f"/>
              </v:shape>
            </w:pict>
          </mc:Fallback>
        </mc:AlternateContent>
      </w:r>
      <w:r>
        <w:rPr>
          <w:rFonts w:hint="default" w:ascii="Times New Roman" w:hAnsi="Times New Roman" w:eastAsia="宋体" w:cs="Times New Roman"/>
          <w:sz w:val="21"/>
          <w:highlight w:val="none"/>
        </w:rPr>
        <mc:AlternateContent>
          <mc:Choice Requires="wps">
            <w:drawing>
              <wp:anchor distT="0" distB="0" distL="114300" distR="114300" simplePos="0" relativeHeight="251759616" behindDoc="0" locked="0" layoutInCell="1" allowOverlap="1">
                <wp:simplePos x="0" y="0"/>
                <wp:positionH relativeFrom="column">
                  <wp:posOffset>3552190</wp:posOffset>
                </wp:positionH>
                <wp:positionV relativeFrom="paragraph">
                  <wp:posOffset>393700</wp:posOffset>
                </wp:positionV>
                <wp:extent cx="1205230" cy="349250"/>
                <wp:effectExtent l="12700" t="12700" r="20320" b="285750"/>
                <wp:wrapNone/>
                <wp:docPr id="64" name="矩形标注 64"/>
                <wp:cNvGraphicFramePr/>
                <a:graphic xmlns:a="http://schemas.openxmlformats.org/drawingml/2006/main">
                  <a:graphicData uri="http://schemas.microsoft.com/office/word/2010/wordprocessingShape">
                    <wps:wsp>
                      <wps:cNvSpPr/>
                      <wps:spPr>
                        <a:xfrm>
                          <a:off x="4479290" y="4225290"/>
                          <a:ext cx="965835" cy="349250"/>
                        </a:xfrm>
                        <a:prstGeom prst="wedgeRectCallout">
                          <a:avLst>
                            <a:gd name="adj1" fmla="val -2333"/>
                            <a:gd name="adj2" fmla="val 123853"/>
                          </a:avLst>
                        </a:prstGeom>
                        <a:noFill/>
                        <a:ln w="25400" cap="flat" cmpd="sng" algn="ctr">
                          <a:solidFill>
                            <a:srgbClr val="FF0000"/>
                          </a:solidFill>
                          <a:prstDash val="solid"/>
                        </a:ln>
                        <a:effectLst/>
                      </wps:spPr>
                      <wps:txbx>
                        <w:txbxContent>
                          <w:p w14:paraId="1CECBD8C">
                            <w:pPr>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eastAsia="宋体"/>
                                <w:color w:val="FF0000"/>
                                <w:sz w:val="28"/>
                                <w:szCs w:val="28"/>
                                <w:lang w:eastAsia="zh-CN"/>
                              </w:rPr>
                            </w:pPr>
                            <w:r>
                              <w:rPr>
                                <w:rFonts w:hint="eastAsia"/>
                                <w:color w:val="FF0000"/>
                                <w:sz w:val="28"/>
                                <w:szCs w:val="28"/>
                                <w:lang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79.7pt;margin-top:31pt;height:27.5pt;width:94.9pt;z-index:251759616;v-text-anchor:middle;mso-width-relative:page;mso-height-relative:page;" filled="f" stroked="t" coordsize="21600,21600" o:gfxdata="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T+wFU9gAAAAKAQAADwAAAAAAAAABACAAAAAiAAAAZHJz&#10;L2Rvd25yZXYueG1sUEsBAhQAFAAAAAgAh07iQHszQfKvAgAAPgUAAA4AAAAAAAAAAQAgAAAAJwEA&#10;AGRycy9lMm9Eb2MueG1sUEsFBgAAAAAGAAYAWQEAAEgGAAAAAA==&#10;" adj="10296,37552">
                <v:fill on="f" focussize="0,0"/>
                <v:stroke weight="2pt" color="#FF0000" joinstyle="round"/>
                <v:imagedata o:title=""/>
                <o:lock v:ext="edit" aspectratio="f"/>
                <v:textbox>
                  <w:txbxContent>
                    <w:p w14:paraId="1CECBD8C">
                      <w:pPr>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both"/>
                        <w:textAlignment w:val="auto"/>
                        <w:rPr>
                          <w:rFonts w:hint="eastAsia" w:eastAsia="宋体"/>
                          <w:color w:val="FF0000"/>
                          <w:sz w:val="28"/>
                          <w:szCs w:val="28"/>
                          <w:lang w:eastAsia="zh-CN"/>
                        </w:rPr>
                      </w:pPr>
                      <w:r>
                        <w:rPr>
                          <w:rFonts w:hint="eastAsia"/>
                          <w:color w:val="FF0000"/>
                          <w:sz w:val="28"/>
                          <w:szCs w:val="28"/>
                          <w:lang w:eastAsia="zh-CN"/>
                        </w:rPr>
                        <w:t>本项目位置</w:t>
                      </w:r>
                    </w:p>
                  </w:txbxContent>
                </v:textbox>
              </v:shape>
            </w:pict>
          </mc:Fallback>
        </mc:AlternateContent>
      </w:r>
      <w:r>
        <w:rPr>
          <w:rFonts w:hint="default" w:ascii="Times New Roman" w:hAnsi="Times New Roman" w:eastAsia="宋体" w:cs="Times New Roman"/>
          <w:sz w:val="21"/>
          <w:highlight w:val="none"/>
        </w:rPr>
        <mc:AlternateContent>
          <mc:Choice Requires="wps">
            <w:drawing>
              <wp:anchor distT="0" distB="0" distL="114300" distR="114300" simplePos="0" relativeHeight="251760640" behindDoc="0" locked="0" layoutInCell="1" allowOverlap="1">
                <wp:simplePos x="0" y="0"/>
                <wp:positionH relativeFrom="column">
                  <wp:posOffset>4086225</wp:posOffset>
                </wp:positionH>
                <wp:positionV relativeFrom="paragraph">
                  <wp:posOffset>990600</wp:posOffset>
                </wp:positionV>
                <wp:extent cx="107950" cy="107950"/>
                <wp:effectExtent l="12700" t="12700" r="12700" b="12700"/>
                <wp:wrapNone/>
                <wp:docPr id="65" name="椭圆 65"/>
                <wp:cNvGraphicFramePr/>
                <a:graphic xmlns:a="http://schemas.openxmlformats.org/drawingml/2006/main">
                  <a:graphicData uri="http://schemas.microsoft.com/office/word/2010/wordprocessingShape">
                    <wps:wsp>
                      <wps:cNvSpPr/>
                      <wps:spPr>
                        <a:xfrm>
                          <a:off x="4916805" y="4693920"/>
                          <a:ext cx="75565" cy="75565"/>
                        </a:xfrm>
                        <a:prstGeom prst="ellipse">
                          <a:avLst/>
                        </a:prstGeom>
                        <a:solidFill>
                          <a:srgbClr val="000000"/>
                        </a:solidFill>
                        <a:ln w="25400" cap="flat" cmpd="sng" algn="ctr">
                          <a:solidFill>
                            <a:srgbClr val="FF0000"/>
                          </a:solidFill>
                          <a:prstDash val="solid"/>
                        </a:ln>
                        <a:effectLst/>
                      </wps:spPr>
                      <wps:txbx>
                        <w:txbxContent>
                          <w:p w14:paraId="40B986B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21.75pt;margin-top:78pt;height:8.5pt;width:8.5pt;z-index:251760640;v-text-anchor:middle;mso-width-relative:page;mso-height-relative:page;" fillcolor="#000000" filled="t" stroked="t" coordsize="21600,21600" o:gfxdata="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g+m/StkAAAALAQAADwAAAAAAAAABACAAAAAi&#10;AAAAZHJzL2Rvd25yZXYueG1sUEsBAhQAFAAAAAgAh07iQJW8dZd7AgAABAUAAA4AAAAAAAAAAQAg&#10;AAAAKAEAAGRycy9lMm9Eb2MueG1sUEsFBgAAAAAGAAYAWQEAABUGAAAAAA==&#10;">
                <v:fill on="t" focussize="0,0"/>
                <v:stroke weight="2pt" color="#FF0000" joinstyle="round"/>
                <v:imagedata o:title=""/>
                <o:lock v:ext="edit" aspectratio="f"/>
                <v:textbox>
                  <w:txbxContent>
                    <w:p w14:paraId="40B986BD">
                      <w:pPr>
                        <w:jc w:val="center"/>
                      </w:pPr>
                    </w:p>
                  </w:txbxContent>
                </v:textbox>
              </v:shape>
            </w:pict>
          </mc:Fallback>
        </mc:AlternateContent>
      </w:r>
      <w:r>
        <w:rPr>
          <w:rFonts w:hint="default" w:ascii="Times New Roman" w:hAnsi="Times New Roman" w:eastAsia="宋体" w:cs="Times New Roman"/>
          <w:b/>
          <w:sz w:val="30"/>
          <w:szCs w:val="30"/>
          <w:highlight w:val="none"/>
          <w:lang w:val="en-US" w:eastAsia="zh-CN"/>
        </w:rPr>
        <w:drawing>
          <wp:inline distT="0" distB="0" distL="114300" distR="114300">
            <wp:extent cx="5273675" cy="7757795"/>
            <wp:effectExtent l="0" t="0" r="3175" b="14605"/>
            <wp:docPr id="50" name="图片 17"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7" descr="图片2"/>
                    <pic:cNvPicPr>
                      <a:picLocks noChangeAspect="1"/>
                    </pic:cNvPicPr>
                  </pic:nvPicPr>
                  <pic:blipFill>
                    <a:blip r:embed="rId22"/>
                    <a:stretch>
                      <a:fillRect/>
                    </a:stretch>
                  </pic:blipFill>
                  <pic:spPr>
                    <a:xfrm>
                      <a:off x="0" y="0"/>
                      <a:ext cx="5273675" cy="7757795"/>
                    </a:xfrm>
                    <a:prstGeom prst="rect">
                      <a:avLst/>
                    </a:prstGeom>
                    <a:noFill/>
                    <a:ln>
                      <a:noFill/>
                    </a:ln>
                  </pic:spPr>
                </pic:pic>
              </a:graphicData>
            </a:graphic>
          </wp:inline>
        </w:drawing>
      </w:r>
    </w:p>
    <w:p w14:paraId="0232D602">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b/>
          <w:bCs/>
          <w:color w:val="auto"/>
          <w:highlight w:val="none"/>
        </w:rPr>
      </w:pPr>
    </w:p>
    <w:p w14:paraId="7D323BD0">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图2.6-</w:t>
      </w:r>
      <w:r>
        <w:rPr>
          <w:rFonts w:hint="default" w:ascii="Times New Roman" w:hAnsi="Times New Roman" w:eastAsia="宋体" w:cs="Times New Roman"/>
          <w:b/>
          <w:bCs/>
          <w:color w:val="auto"/>
          <w:highlight w:val="none"/>
          <w:lang w:val="en-US" w:eastAsia="zh-CN"/>
        </w:rPr>
        <w:t>4本项目与内蒙古乌梁素海湿地水禽自治区级自然保护区的位置关系</w:t>
      </w:r>
      <w:r>
        <w:rPr>
          <w:rFonts w:hint="default" w:ascii="Times New Roman" w:hAnsi="Times New Roman" w:eastAsia="宋体" w:cs="Times New Roman"/>
          <w:b/>
          <w:bCs/>
          <w:color w:val="auto"/>
          <w:highlight w:val="none"/>
          <w:lang w:eastAsia="zh-CN"/>
        </w:rPr>
        <w:t>图</w:t>
      </w:r>
    </w:p>
    <w:p w14:paraId="24E3E3DC">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b/>
          <w:bCs/>
          <w:color w:val="auto"/>
          <w:highlight w:val="none"/>
          <w:lang w:eastAsia="zh-CN"/>
        </w:rPr>
      </w:pPr>
    </w:p>
    <w:p w14:paraId="72F46BDF">
      <w:pPr>
        <w:pageBreakBefore w:val="0"/>
        <w:kinsoku/>
        <w:wordWrap/>
        <w:bidi w:val="0"/>
        <w:snapToGrid w:val="0"/>
        <w:spacing w:line="360" w:lineRule="auto"/>
        <w:ind w:left="0" w:leftChars="0" w:right="0" w:rightChars="0" w:firstLine="0" w:firstLineChars="0"/>
        <w:jc w:val="both"/>
        <w:rPr>
          <w:rFonts w:hint="default" w:ascii="Times New Roman" w:hAnsi="Times New Roman" w:eastAsia="宋体" w:cs="Times New Roman"/>
          <w:color w:val="auto"/>
          <w:highlight w:val="none"/>
        </w:rPr>
        <w:sectPr>
          <w:pgSz w:w="11907" w:h="16839"/>
          <w:pgMar w:top="1440" w:right="1800" w:bottom="1440" w:left="1800" w:header="850" w:footer="1134" w:gutter="0"/>
          <w:pgBorders>
            <w:top w:val="none" w:sz="0" w:space="0"/>
            <w:left w:val="none" w:sz="0" w:space="0"/>
            <w:bottom w:val="none" w:sz="0" w:space="0"/>
            <w:right w:val="none" w:sz="0" w:space="0"/>
          </w:pgBorders>
          <w:pgNumType w:fmt="decimal"/>
          <w:cols w:space="720" w:num="1"/>
          <w:docGrid w:linePitch="326" w:charSpace="0"/>
        </w:sectPr>
      </w:pPr>
    </w:p>
    <w:p w14:paraId="5941432D">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sz w:val="28"/>
          <w:szCs w:val="32"/>
          <w:highlight w:val="none"/>
        </w:rPr>
      </w:pPr>
      <w:bookmarkStart w:id="180" w:name="_Toc22972"/>
      <w:r>
        <w:rPr>
          <w:rFonts w:hint="default" w:ascii="Times New Roman" w:hAnsi="Times New Roman" w:eastAsia="宋体" w:cs="Times New Roman"/>
          <w:color w:val="auto"/>
          <w:sz w:val="28"/>
          <w:szCs w:val="32"/>
          <w:highlight w:val="none"/>
        </w:rPr>
        <w:t>2.7项目符合性分析</w:t>
      </w:r>
      <w:bookmarkEnd w:id="180"/>
    </w:p>
    <w:p w14:paraId="01438A32">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FF0000"/>
          <w:sz w:val="24"/>
          <w:szCs w:val="32"/>
          <w:highlight w:val="none"/>
        </w:rPr>
      </w:pPr>
      <w:bookmarkStart w:id="181" w:name="_Toc110"/>
      <w:r>
        <w:rPr>
          <w:rFonts w:hint="default" w:ascii="Times New Roman" w:hAnsi="Times New Roman" w:eastAsia="宋体" w:cs="Times New Roman"/>
          <w:color w:val="FF0000"/>
          <w:sz w:val="24"/>
          <w:szCs w:val="32"/>
          <w:highlight w:val="none"/>
        </w:rPr>
        <w:t>2.7.1《产业结构调整指导目录（20</w:t>
      </w:r>
      <w:r>
        <w:rPr>
          <w:rFonts w:hint="default" w:ascii="Times New Roman" w:hAnsi="Times New Roman" w:eastAsia="宋体" w:cs="Times New Roman"/>
          <w:color w:val="FF0000"/>
          <w:sz w:val="24"/>
          <w:szCs w:val="32"/>
          <w:highlight w:val="none"/>
          <w:lang w:val="en-US" w:eastAsia="zh-CN"/>
        </w:rPr>
        <w:t>24</w:t>
      </w:r>
      <w:r>
        <w:rPr>
          <w:rFonts w:hint="default" w:ascii="Times New Roman" w:hAnsi="Times New Roman" w:eastAsia="宋体" w:cs="Times New Roman"/>
          <w:color w:val="FF0000"/>
          <w:sz w:val="24"/>
          <w:szCs w:val="32"/>
          <w:highlight w:val="none"/>
        </w:rPr>
        <w:t>年本）》符合性</w:t>
      </w:r>
      <w:bookmarkEnd w:id="181"/>
    </w:p>
    <w:p w14:paraId="5F9CB0E7">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0000"/>
          <w:sz w:val="24"/>
          <w:szCs w:val="22"/>
          <w:highlight w:val="none"/>
        </w:rPr>
      </w:pPr>
      <w:r>
        <w:rPr>
          <w:rFonts w:hint="default" w:ascii="Times New Roman" w:hAnsi="Times New Roman" w:eastAsia="宋体" w:cs="Times New Roman"/>
          <w:color w:val="FF0000"/>
          <w:sz w:val="24"/>
          <w:szCs w:val="22"/>
          <w:highlight w:val="none"/>
        </w:rPr>
        <w:t>本项目为</w:t>
      </w:r>
      <w:r>
        <w:rPr>
          <w:rFonts w:hint="default" w:ascii="Times New Roman" w:hAnsi="Times New Roman" w:eastAsia="宋体" w:cs="Times New Roman"/>
          <w:color w:val="FF0000"/>
          <w:sz w:val="24"/>
          <w:szCs w:val="22"/>
          <w:highlight w:val="none"/>
          <w:lang w:eastAsia="zh-CN"/>
        </w:rPr>
        <w:t>规模化肉牛养殖项目</w:t>
      </w:r>
      <w:r>
        <w:rPr>
          <w:rFonts w:hint="default" w:ascii="Times New Roman" w:hAnsi="Times New Roman" w:eastAsia="宋体" w:cs="Times New Roman"/>
          <w:color w:val="FF0000"/>
          <w:sz w:val="24"/>
          <w:szCs w:val="22"/>
          <w:highlight w:val="none"/>
        </w:rPr>
        <w:t>，根据</w:t>
      </w:r>
      <w:r>
        <w:rPr>
          <w:rFonts w:hint="default" w:ascii="Times New Roman" w:hAnsi="Times New Roman" w:eastAsia="宋体" w:cs="Times New Roman"/>
          <w:color w:val="FF0000"/>
          <w:highlight w:val="none"/>
        </w:rPr>
        <w:t>《产业结构调整指导目录（20</w:t>
      </w:r>
      <w:r>
        <w:rPr>
          <w:rFonts w:hint="default" w:ascii="Times New Roman" w:hAnsi="Times New Roman" w:eastAsia="宋体" w:cs="Times New Roman"/>
          <w:color w:val="FF0000"/>
          <w:highlight w:val="none"/>
          <w:lang w:val="en-US" w:eastAsia="zh-CN"/>
        </w:rPr>
        <w:t>24</w:t>
      </w:r>
      <w:r>
        <w:rPr>
          <w:rFonts w:hint="default" w:ascii="Times New Roman" w:hAnsi="Times New Roman" w:eastAsia="宋体" w:cs="Times New Roman"/>
          <w:color w:val="FF0000"/>
          <w:highlight w:val="none"/>
        </w:rPr>
        <w:t>年本）》（</w:t>
      </w:r>
      <w:r>
        <w:rPr>
          <w:rFonts w:hint="default" w:ascii="Times New Roman" w:hAnsi="Times New Roman" w:eastAsia="宋体" w:cs="Times New Roman"/>
          <w:color w:val="FF0000"/>
          <w:highlight w:val="none"/>
          <w:lang w:eastAsia="zh-CN"/>
        </w:rPr>
        <w:t>中华人民共和国国家发展和改革委员会令第</w:t>
      </w:r>
      <w:r>
        <w:rPr>
          <w:rFonts w:hint="default" w:ascii="Times New Roman" w:hAnsi="Times New Roman" w:eastAsia="宋体" w:cs="Times New Roman"/>
          <w:color w:val="FF0000"/>
          <w:highlight w:val="none"/>
          <w:lang w:val="en-US" w:eastAsia="zh-CN"/>
        </w:rPr>
        <w:t>7</w:t>
      </w:r>
      <w:r>
        <w:rPr>
          <w:rFonts w:hint="default" w:ascii="Times New Roman" w:hAnsi="Times New Roman" w:eastAsia="宋体" w:cs="Times New Roman"/>
          <w:color w:val="FF0000"/>
          <w:highlight w:val="none"/>
          <w:lang w:eastAsia="zh-CN"/>
        </w:rPr>
        <w:t>号</w:t>
      </w:r>
      <w:r>
        <w:rPr>
          <w:rFonts w:hint="default" w:ascii="Times New Roman" w:hAnsi="Times New Roman" w:eastAsia="宋体" w:cs="Times New Roman"/>
          <w:color w:val="FF0000"/>
          <w:highlight w:val="none"/>
        </w:rPr>
        <w:t>）</w:t>
      </w:r>
      <w:r>
        <w:rPr>
          <w:rFonts w:hint="default" w:ascii="Times New Roman" w:hAnsi="Times New Roman" w:eastAsia="宋体" w:cs="Times New Roman"/>
          <w:color w:val="FF0000"/>
          <w:sz w:val="24"/>
          <w:szCs w:val="22"/>
          <w:highlight w:val="none"/>
        </w:rPr>
        <w:t>，本项目属于“第一类鼓励类”中“一、农林业--</w:t>
      </w:r>
      <w:r>
        <w:rPr>
          <w:rFonts w:hint="default" w:ascii="Times New Roman" w:hAnsi="Times New Roman" w:eastAsia="宋体" w:cs="Times New Roman"/>
          <w:color w:val="FF0000"/>
          <w:sz w:val="24"/>
          <w:szCs w:val="22"/>
          <w:highlight w:val="none"/>
          <w:lang w:val="en-US" w:eastAsia="zh-CN"/>
        </w:rPr>
        <w:t>1</w:t>
      </w:r>
      <w:r>
        <w:rPr>
          <w:rFonts w:hint="default" w:ascii="Times New Roman" w:hAnsi="Times New Roman" w:eastAsia="宋体" w:cs="Times New Roman"/>
          <w:color w:val="FF0000"/>
          <w:sz w:val="24"/>
          <w:szCs w:val="22"/>
          <w:highlight w:val="none"/>
        </w:rPr>
        <w:t>4、畜禽标准化规模养殖技术开发与应用”。</w:t>
      </w:r>
    </w:p>
    <w:p w14:paraId="175E05CA">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对照《关于发布实施</w:t>
      </w:r>
      <w:r>
        <w:rPr>
          <w:rFonts w:hint="default" w:ascii="Times New Roman" w:hAnsi="Times New Roman" w:eastAsia="宋体" w:cs="Times New Roman"/>
          <w:color w:val="auto"/>
          <w:sz w:val="24"/>
          <w:szCs w:val="22"/>
          <w:highlight w:val="none"/>
          <w:lang w:eastAsia="zh-CN"/>
        </w:rPr>
        <w:t>〈</w:t>
      </w:r>
      <w:r>
        <w:rPr>
          <w:rFonts w:hint="default" w:ascii="Times New Roman" w:hAnsi="Times New Roman" w:eastAsia="宋体" w:cs="Times New Roman"/>
          <w:color w:val="auto"/>
          <w:sz w:val="24"/>
          <w:szCs w:val="22"/>
          <w:highlight w:val="none"/>
        </w:rPr>
        <w:t>限制用地项目目录（2012年本）</w:t>
      </w:r>
      <w:r>
        <w:rPr>
          <w:rFonts w:hint="default" w:ascii="Times New Roman" w:hAnsi="Times New Roman" w:eastAsia="宋体" w:cs="Times New Roman"/>
          <w:color w:val="auto"/>
          <w:sz w:val="24"/>
          <w:szCs w:val="22"/>
          <w:highlight w:val="none"/>
          <w:lang w:eastAsia="zh-CN"/>
        </w:rPr>
        <w:t>〉</w:t>
      </w:r>
      <w:r>
        <w:rPr>
          <w:rFonts w:hint="default" w:ascii="Times New Roman" w:hAnsi="Times New Roman" w:eastAsia="宋体" w:cs="Times New Roman"/>
          <w:color w:val="auto"/>
          <w:sz w:val="24"/>
          <w:szCs w:val="22"/>
          <w:highlight w:val="none"/>
        </w:rPr>
        <w:t>和</w:t>
      </w:r>
      <w:r>
        <w:rPr>
          <w:rFonts w:hint="default" w:ascii="Times New Roman" w:hAnsi="Times New Roman" w:eastAsia="宋体" w:cs="Times New Roman"/>
          <w:color w:val="auto"/>
          <w:sz w:val="24"/>
          <w:szCs w:val="22"/>
          <w:highlight w:val="none"/>
          <w:lang w:eastAsia="zh-CN"/>
        </w:rPr>
        <w:t>〈</w:t>
      </w:r>
      <w:r>
        <w:rPr>
          <w:rFonts w:hint="default" w:ascii="Times New Roman" w:hAnsi="Times New Roman" w:eastAsia="宋体" w:cs="Times New Roman"/>
          <w:color w:val="auto"/>
          <w:sz w:val="24"/>
          <w:szCs w:val="22"/>
          <w:highlight w:val="none"/>
        </w:rPr>
        <w:t>禁止用地项目目录（2012年本）</w:t>
      </w:r>
      <w:r>
        <w:rPr>
          <w:rFonts w:hint="default" w:ascii="Times New Roman" w:hAnsi="Times New Roman" w:eastAsia="宋体" w:cs="Times New Roman"/>
          <w:color w:val="auto"/>
          <w:sz w:val="24"/>
          <w:szCs w:val="22"/>
          <w:highlight w:val="none"/>
          <w:lang w:eastAsia="zh-CN"/>
        </w:rPr>
        <w:t>〉</w:t>
      </w:r>
      <w:r>
        <w:rPr>
          <w:rFonts w:hint="default" w:ascii="Times New Roman" w:hAnsi="Times New Roman" w:eastAsia="宋体" w:cs="Times New Roman"/>
          <w:color w:val="auto"/>
          <w:sz w:val="24"/>
          <w:szCs w:val="22"/>
          <w:highlight w:val="none"/>
        </w:rPr>
        <w:t>的通知》，该项目也不属于限制及禁止用地项目目录的范畴，且不占用</w:t>
      </w:r>
      <w:r>
        <w:rPr>
          <w:rFonts w:hint="default" w:ascii="Times New Roman" w:hAnsi="Times New Roman" w:eastAsia="宋体" w:cs="Times New Roman"/>
          <w:color w:val="auto"/>
          <w:sz w:val="24"/>
          <w:szCs w:val="22"/>
          <w:highlight w:val="none"/>
          <w:lang w:val="en-US" w:eastAsia="zh-CN"/>
        </w:rPr>
        <w:t>基本农田</w:t>
      </w:r>
      <w:r>
        <w:rPr>
          <w:rFonts w:hint="default" w:ascii="Times New Roman" w:hAnsi="Times New Roman" w:eastAsia="宋体" w:cs="Times New Roman"/>
          <w:color w:val="auto"/>
          <w:sz w:val="24"/>
          <w:szCs w:val="22"/>
          <w:highlight w:val="none"/>
        </w:rPr>
        <w:t>资源，用地符合国家产业政策。</w:t>
      </w:r>
    </w:p>
    <w:p w14:paraId="35944864">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因此，本项目的实施符合国家现行产业政策要求。</w:t>
      </w:r>
    </w:p>
    <w:p w14:paraId="147BDC93">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sz w:val="24"/>
          <w:szCs w:val="32"/>
          <w:highlight w:val="none"/>
        </w:rPr>
      </w:pPr>
      <w:bookmarkStart w:id="182" w:name="_Toc9114"/>
      <w:r>
        <w:rPr>
          <w:rFonts w:hint="default" w:ascii="Times New Roman" w:hAnsi="Times New Roman" w:eastAsia="宋体" w:cs="Times New Roman"/>
          <w:color w:val="auto"/>
          <w:sz w:val="24"/>
          <w:szCs w:val="32"/>
          <w:highlight w:val="none"/>
        </w:rPr>
        <w:t>2.7.2相关法律、法规的符合性</w:t>
      </w:r>
      <w:bookmarkEnd w:id="182"/>
    </w:p>
    <w:p w14:paraId="73735474">
      <w:pPr>
        <w:pageBreakBefore w:val="0"/>
        <w:kinsoku/>
        <w:wordWrap/>
        <w:bidi w:val="0"/>
        <w:snapToGrid w:val="0"/>
        <w:spacing w:line="360" w:lineRule="auto"/>
        <w:ind w:left="0" w:leftChars="0" w:right="0" w:rightChars="0"/>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本项目与目前我国有关畜禽养殖污染物防治的法律法规符合性分析见表2.7-1。</w:t>
      </w:r>
    </w:p>
    <w:p w14:paraId="62F424C1">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sz w:val="24"/>
          <w:szCs w:val="32"/>
          <w:highlight w:val="none"/>
        </w:rPr>
      </w:pPr>
      <w:bookmarkStart w:id="183" w:name="_Toc9087"/>
      <w:r>
        <w:rPr>
          <w:rFonts w:hint="default" w:ascii="Times New Roman" w:hAnsi="Times New Roman" w:eastAsia="宋体" w:cs="Times New Roman"/>
          <w:color w:val="auto"/>
          <w:sz w:val="24"/>
          <w:szCs w:val="32"/>
          <w:highlight w:val="none"/>
        </w:rPr>
        <w:t>2.7.3相关规范符合性分析</w:t>
      </w:r>
      <w:bookmarkEnd w:id="183"/>
    </w:p>
    <w:p w14:paraId="1D5DEEE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本项目与目前我国有关畜禽养殖污染物防治的相关规范符合性分析见表2.7-2。</w:t>
      </w:r>
    </w:p>
    <w:p w14:paraId="6E80C481">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sz w:val="24"/>
          <w:szCs w:val="32"/>
          <w:highlight w:val="none"/>
        </w:rPr>
      </w:pPr>
      <w:bookmarkStart w:id="184" w:name="_Toc6658"/>
      <w:r>
        <w:rPr>
          <w:rFonts w:hint="default" w:ascii="Times New Roman" w:hAnsi="Times New Roman" w:eastAsia="宋体" w:cs="Times New Roman"/>
          <w:color w:val="auto"/>
          <w:sz w:val="24"/>
          <w:szCs w:val="32"/>
          <w:highlight w:val="none"/>
        </w:rPr>
        <w:t>2.7.4相关政策符合性分析</w:t>
      </w:r>
      <w:bookmarkEnd w:id="184"/>
    </w:p>
    <w:p w14:paraId="556383B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本项目的建设与目前我国有关畜禽养殖污染物防治的政策符合性分析见表2.7-3。</w:t>
      </w:r>
    </w:p>
    <w:p w14:paraId="3EFF605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 w:val="24"/>
          <w:szCs w:val="22"/>
          <w:highlight w:val="none"/>
          <w:lang w:eastAsia="zh-CN"/>
        </w:rPr>
      </w:pPr>
    </w:p>
    <w:p w14:paraId="2F80F11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 w:val="24"/>
          <w:szCs w:val="22"/>
          <w:highlight w:val="none"/>
          <w:lang w:eastAsia="zh-CN"/>
        </w:rPr>
      </w:pPr>
    </w:p>
    <w:p w14:paraId="3A29D9A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 w:val="24"/>
          <w:szCs w:val="22"/>
          <w:highlight w:val="none"/>
        </w:rPr>
      </w:pPr>
    </w:p>
    <w:p w14:paraId="57CAFBD6">
      <w:pPr>
        <w:pStyle w:val="24"/>
        <w:pageBreakBefore w:val="0"/>
        <w:kinsoku/>
        <w:wordWrap/>
        <w:bidi w:val="0"/>
        <w:snapToGrid w:val="0"/>
        <w:spacing w:after="0" w:line="360" w:lineRule="auto"/>
        <w:ind w:left="0" w:leftChars="0" w:right="0" w:rightChars="0" w:firstLine="480"/>
        <w:rPr>
          <w:rFonts w:hint="default" w:ascii="Times New Roman" w:hAnsi="Times New Roman" w:eastAsia="宋体" w:cs="Times New Roman"/>
          <w:color w:val="auto"/>
          <w:highlight w:val="none"/>
        </w:rPr>
      </w:pPr>
    </w:p>
    <w:p w14:paraId="0BCEEE3A">
      <w:pPr>
        <w:pStyle w:val="24"/>
        <w:pageBreakBefore w:val="0"/>
        <w:kinsoku/>
        <w:wordWrap/>
        <w:bidi w:val="0"/>
        <w:snapToGrid w:val="0"/>
        <w:spacing w:after="0" w:line="360" w:lineRule="auto"/>
        <w:ind w:left="0" w:leftChars="0" w:right="0" w:rightChars="0" w:firstLine="480"/>
        <w:rPr>
          <w:rFonts w:hint="default" w:ascii="Times New Roman" w:hAnsi="Times New Roman" w:eastAsia="宋体" w:cs="Times New Roman"/>
          <w:color w:val="auto"/>
          <w:highlight w:val="none"/>
        </w:rPr>
        <w:sectPr>
          <w:pgSz w:w="11906" w:h="16838"/>
          <w:pgMar w:top="1440" w:right="1800" w:bottom="1440" w:left="1800" w:header="851" w:footer="1134" w:gutter="0"/>
          <w:pgBorders>
            <w:top w:val="none" w:sz="0" w:space="0"/>
            <w:left w:val="none" w:sz="0" w:space="0"/>
            <w:bottom w:val="none" w:sz="0" w:space="0"/>
            <w:right w:val="none" w:sz="0" w:space="0"/>
          </w:pgBorders>
          <w:pgNumType w:fmt="decimal"/>
          <w:cols w:space="425" w:num="1"/>
          <w:docGrid w:linePitch="326" w:charSpace="0"/>
        </w:sectPr>
      </w:pPr>
    </w:p>
    <w:p w14:paraId="2337B733">
      <w:pPr>
        <w:pStyle w:val="7"/>
        <w:pageBreakBefore w:val="0"/>
        <w:kinsoku/>
        <w:wordWrap/>
        <w:bidi w:val="0"/>
        <w:snapToGrid w:val="0"/>
        <w:spacing w:line="360" w:lineRule="auto"/>
        <w:ind w:left="0" w:leftChars="0" w:right="0" w:rightChars="0"/>
        <w:outlineLvl w:val="2"/>
        <w:rPr>
          <w:rFonts w:hint="default" w:ascii="Times New Roman" w:hAnsi="Times New Roman" w:eastAsia="宋体" w:cs="Times New Roman"/>
          <w:color w:val="auto"/>
          <w:highlight w:val="none"/>
        </w:rPr>
      </w:pPr>
      <w:bookmarkStart w:id="185" w:name="_Toc31890"/>
      <w:bookmarkStart w:id="186" w:name="_Toc6276"/>
      <w:r>
        <w:rPr>
          <w:rFonts w:hint="default" w:ascii="Times New Roman" w:hAnsi="Times New Roman" w:eastAsia="宋体" w:cs="Times New Roman"/>
          <w:color w:val="auto"/>
          <w:highlight w:val="none"/>
        </w:rPr>
        <w:t>表2.7-1本项目建设与畜禽养殖污染防治的相关法律法规符合性分析</w:t>
      </w:r>
      <w:bookmarkEnd w:id="185"/>
      <w:bookmarkEnd w:id="186"/>
    </w:p>
    <w:tbl>
      <w:tblPr>
        <w:tblStyle w:val="40"/>
        <w:tblW w:w="136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4"/>
        <w:gridCol w:w="7089"/>
        <w:gridCol w:w="4286"/>
        <w:gridCol w:w="647"/>
      </w:tblGrid>
      <w:tr w14:paraId="2B80E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8" w:type="dxa"/>
            <w:vAlign w:val="center"/>
          </w:tcPr>
          <w:p w14:paraId="68BCB64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政策法规</w:t>
            </w:r>
          </w:p>
        </w:tc>
        <w:tc>
          <w:tcPr>
            <w:tcW w:w="7512" w:type="dxa"/>
            <w:vAlign w:val="center"/>
          </w:tcPr>
          <w:p w14:paraId="18E6C66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相关条款及规定</w:t>
            </w:r>
          </w:p>
        </w:tc>
        <w:tc>
          <w:tcPr>
            <w:tcW w:w="4536" w:type="dxa"/>
            <w:vAlign w:val="center"/>
          </w:tcPr>
          <w:p w14:paraId="354BFD5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符合性分析</w:t>
            </w:r>
          </w:p>
        </w:tc>
        <w:tc>
          <w:tcPr>
            <w:tcW w:w="673" w:type="dxa"/>
            <w:vAlign w:val="center"/>
          </w:tcPr>
          <w:p w14:paraId="4AC6229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符合</w:t>
            </w:r>
          </w:p>
          <w:p w14:paraId="4154391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情况</w:t>
            </w:r>
          </w:p>
        </w:tc>
      </w:tr>
      <w:tr w14:paraId="3E8DD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8" w:type="dxa"/>
            <w:vAlign w:val="center"/>
          </w:tcPr>
          <w:p w14:paraId="6251D2E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《中华人民共和国水污染防治法》（2017）</w:t>
            </w:r>
          </w:p>
        </w:tc>
        <w:tc>
          <w:tcPr>
            <w:tcW w:w="7512" w:type="dxa"/>
            <w:vAlign w:val="center"/>
          </w:tcPr>
          <w:p w14:paraId="455C6A2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国家支持畜禽养殖场、养殖小区建设畜禽粪便、废水的综合利用或者无害化处理设施。</w:t>
            </w:r>
          </w:p>
          <w:p w14:paraId="2CAF619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畜禽养殖场、养殖小区应当保证其畜禽粪便、废水的综合利用或者无害化处理设施正常运转，保证污水达标排放，防止污染水环境。</w:t>
            </w:r>
          </w:p>
        </w:tc>
        <w:tc>
          <w:tcPr>
            <w:tcW w:w="4536" w:type="dxa"/>
            <w:vAlign w:val="center"/>
          </w:tcPr>
          <w:p w14:paraId="73340E2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项目</w:t>
            </w:r>
            <w:r>
              <w:rPr>
                <w:rFonts w:hint="default" w:ascii="Times New Roman" w:hAnsi="Times New Roman" w:eastAsia="宋体" w:cs="Times New Roman"/>
                <w:color w:val="auto"/>
                <w:sz w:val="21"/>
                <w:szCs w:val="21"/>
                <w:highlight w:val="none"/>
                <w:lang w:eastAsia="zh-CN"/>
              </w:rPr>
              <w:t>牛粪便经</w:t>
            </w:r>
            <w:r>
              <w:rPr>
                <w:rFonts w:hint="default" w:ascii="Times New Roman" w:hAnsi="Times New Roman" w:eastAsia="宋体" w:cs="Times New Roman"/>
                <w:color w:val="auto"/>
                <w:sz w:val="21"/>
                <w:szCs w:val="21"/>
                <w:highlight w:val="none"/>
                <w:lang w:val="en-US" w:eastAsia="zh-CN"/>
              </w:rPr>
              <w:t>粪污处理池储存并堆肥</w:t>
            </w:r>
            <w:r>
              <w:rPr>
                <w:rFonts w:hint="default" w:ascii="Times New Roman" w:hAnsi="Times New Roman" w:eastAsia="宋体" w:cs="Times New Roman"/>
                <w:color w:val="auto"/>
                <w:sz w:val="21"/>
                <w:szCs w:val="21"/>
                <w:highlight w:val="none"/>
                <w:lang w:eastAsia="zh-CN"/>
              </w:rPr>
              <w:t>后，作为有机肥还田利用。</w:t>
            </w:r>
          </w:p>
          <w:p w14:paraId="6CDC09D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肉牛饲养过程中饮用水量较少，排放的尿液较少，并且牛粪较为干燥，在养殖区（牛舍、运动场）排放的尿液大部分由于当地气候干燥蒸发，剩余尿液与粪便完全黏结混合在一起，一起运往粪污处理池储存并堆肥，因此，没有尿液排放。</w:t>
            </w:r>
          </w:p>
        </w:tc>
        <w:tc>
          <w:tcPr>
            <w:tcW w:w="673" w:type="dxa"/>
            <w:vAlign w:val="center"/>
          </w:tcPr>
          <w:p w14:paraId="51D06B7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36136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8" w:type="dxa"/>
            <w:vAlign w:val="center"/>
          </w:tcPr>
          <w:p w14:paraId="7E0B72D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《中华人民共和国固体废物污染环境防治法》（2016）</w:t>
            </w:r>
          </w:p>
        </w:tc>
        <w:tc>
          <w:tcPr>
            <w:tcW w:w="7512" w:type="dxa"/>
            <w:vAlign w:val="center"/>
          </w:tcPr>
          <w:p w14:paraId="3F4ED6D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从事畜禽规模养殖应按照国家有关规定收集、贮存、利用或者处理养殖过程中产生的粪便，防止污染环境。</w:t>
            </w:r>
          </w:p>
        </w:tc>
        <w:tc>
          <w:tcPr>
            <w:tcW w:w="4536" w:type="dxa"/>
            <w:vAlign w:val="center"/>
          </w:tcPr>
          <w:p w14:paraId="6A39FF5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w:t>
            </w:r>
            <w:r>
              <w:rPr>
                <w:rFonts w:hint="default" w:ascii="Times New Roman" w:hAnsi="Times New Roman" w:eastAsia="宋体" w:cs="Times New Roman"/>
                <w:color w:val="auto"/>
                <w:sz w:val="21"/>
                <w:szCs w:val="21"/>
                <w:highlight w:val="none"/>
                <w:lang w:eastAsia="zh-CN"/>
              </w:rPr>
              <w:t>牛粪便经</w:t>
            </w:r>
            <w:r>
              <w:rPr>
                <w:rFonts w:hint="default" w:ascii="Times New Roman" w:hAnsi="Times New Roman" w:eastAsia="宋体" w:cs="Times New Roman"/>
                <w:color w:val="auto"/>
                <w:sz w:val="21"/>
                <w:szCs w:val="21"/>
                <w:highlight w:val="none"/>
                <w:lang w:val="en-US" w:eastAsia="zh-CN"/>
              </w:rPr>
              <w:t>粪污处理池储存并堆肥</w:t>
            </w:r>
            <w:r>
              <w:rPr>
                <w:rFonts w:hint="default" w:ascii="Times New Roman" w:hAnsi="Times New Roman" w:eastAsia="宋体" w:cs="Times New Roman"/>
                <w:color w:val="auto"/>
                <w:sz w:val="21"/>
                <w:szCs w:val="21"/>
                <w:highlight w:val="none"/>
                <w:lang w:eastAsia="zh-CN"/>
              </w:rPr>
              <w:t>后，作为有机肥还田利用；无害化处理后还田综合利用，</w:t>
            </w:r>
            <w:r>
              <w:rPr>
                <w:rFonts w:hint="default" w:ascii="Times New Roman" w:hAnsi="Times New Roman" w:eastAsia="宋体" w:cs="Times New Roman"/>
                <w:color w:val="auto"/>
                <w:sz w:val="21"/>
                <w:szCs w:val="21"/>
                <w:highlight w:val="none"/>
                <w:lang w:val="en-US" w:eastAsia="zh-CN"/>
              </w:rPr>
              <w:t>不污染环境。</w:t>
            </w:r>
          </w:p>
        </w:tc>
        <w:tc>
          <w:tcPr>
            <w:tcW w:w="673" w:type="dxa"/>
            <w:vAlign w:val="center"/>
          </w:tcPr>
          <w:p w14:paraId="58D9CCC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476A7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8" w:type="dxa"/>
            <w:vAlign w:val="center"/>
          </w:tcPr>
          <w:p w14:paraId="0A2B941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《中华人民共和国畜牧法》（2015）</w:t>
            </w:r>
          </w:p>
        </w:tc>
        <w:tc>
          <w:tcPr>
            <w:tcW w:w="7512" w:type="dxa"/>
            <w:vAlign w:val="center"/>
          </w:tcPr>
          <w:p w14:paraId="6916B4E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畜禽养殖场、养殖小区应当保证畜禽粪便、废水及其他固体废弃物综合利用或者无害化处理设施的正常运转，保证污染物达标排放，防止污染环境。</w:t>
            </w:r>
          </w:p>
          <w:p w14:paraId="40116BF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禁止在生活饮用水的水源保护区，风景名胜区，以及自然保护区的核心区和缓冲区；城镇居民区、文化教育科学研究区等人口集中区域；法律法规规定的其他禁养区域内建设畜禽养殖场、养殖小区。</w:t>
            </w:r>
          </w:p>
        </w:tc>
        <w:tc>
          <w:tcPr>
            <w:tcW w:w="4536" w:type="dxa"/>
            <w:vAlign w:val="center"/>
          </w:tcPr>
          <w:p w14:paraId="10EE234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项目牛粪便经</w:t>
            </w:r>
            <w:r>
              <w:rPr>
                <w:rFonts w:hint="default" w:ascii="Times New Roman" w:hAnsi="Times New Roman" w:eastAsia="宋体" w:cs="Times New Roman"/>
                <w:color w:val="auto"/>
                <w:sz w:val="21"/>
                <w:szCs w:val="21"/>
                <w:highlight w:val="none"/>
                <w:lang w:val="en-US" w:eastAsia="zh-CN"/>
              </w:rPr>
              <w:t>粪污处理池储存并堆肥</w:t>
            </w:r>
            <w:r>
              <w:rPr>
                <w:rFonts w:hint="default" w:ascii="Times New Roman" w:hAnsi="Times New Roman" w:eastAsia="宋体" w:cs="Times New Roman"/>
                <w:color w:val="auto"/>
                <w:sz w:val="21"/>
                <w:szCs w:val="21"/>
                <w:highlight w:val="none"/>
                <w:lang w:eastAsia="zh-CN"/>
              </w:rPr>
              <w:t>后，作为有机肥还田利用；无害化处理后还田综合利用</w:t>
            </w:r>
            <w:r>
              <w:rPr>
                <w:rFonts w:hint="default" w:ascii="Times New Roman" w:hAnsi="Times New Roman" w:eastAsia="宋体" w:cs="Times New Roman"/>
                <w:color w:val="auto"/>
                <w:sz w:val="21"/>
                <w:szCs w:val="21"/>
                <w:highlight w:val="none"/>
              </w:rPr>
              <w:t>，符合要求。</w:t>
            </w:r>
          </w:p>
          <w:p w14:paraId="634F6D4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肉牛饲养过程中饮用水量较少，排放的尿液较少，并且牛粪较为干燥，在养殖区（牛舍、运动场）排放的尿液大部分由于当地气候干燥蒸发，剩余尿液与粪便完全黏结混合在一起，一起运往粪污处理池储存并堆肥，因此，没有尿液排放。</w:t>
            </w:r>
          </w:p>
          <w:p w14:paraId="47E6602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项目选址不在生活饮用水的水源保护区，风景名胜区</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自然保护区；城镇居民区、文化教育科学研究区等人口集中区域；法律法规规定的其他禁养区域内建设畜禽养殖场、养殖小区。</w:t>
            </w:r>
          </w:p>
        </w:tc>
        <w:tc>
          <w:tcPr>
            <w:tcW w:w="673" w:type="dxa"/>
            <w:vAlign w:val="center"/>
          </w:tcPr>
          <w:p w14:paraId="3AD7023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7DEE8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8" w:type="dxa"/>
            <w:vAlign w:val="center"/>
          </w:tcPr>
          <w:p w14:paraId="52256A8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《中华人民共和国农业法》（2013修正）</w:t>
            </w:r>
          </w:p>
        </w:tc>
        <w:tc>
          <w:tcPr>
            <w:tcW w:w="7512" w:type="dxa"/>
            <w:vAlign w:val="center"/>
          </w:tcPr>
          <w:p w14:paraId="4868972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从事畜禽规模养殖的单位和个人应对粪便、废水及废弃物进行无害化处理或者综合利用。</w:t>
            </w:r>
          </w:p>
        </w:tc>
        <w:tc>
          <w:tcPr>
            <w:tcW w:w="4536" w:type="dxa"/>
            <w:vAlign w:val="center"/>
          </w:tcPr>
          <w:p w14:paraId="1F4E861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项目牛粪便经</w:t>
            </w:r>
            <w:r>
              <w:rPr>
                <w:rFonts w:hint="default" w:ascii="Times New Roman" w:hAnsi="Times New Roman" w:eastAsia="宋体" w:cs="Times New Roman"/>
                <w:color w:val="auto"/>
                <w:sz w:val="21"/>
                <w:szCs w:val="21"/>
                <w:highlight w:val="none"/>
                <w:lang w:val="en-US" w:eastAsia="zh-CN"/>
              </w:rPr>
              <w:t>粪污处理池储存并堆肥</w:t>
            </w:r>
            <w:r>
              <w:rPr>
                <w:rFonts w:hint="default" w:ascii="Times New Roman" w:hAnsi="Times New Roman" w:eastAsia="宋体" w:cs="Times New Roman"/>
                <w:color w:val="auto"/>
                <w:sz w:val="21"/>
                <w:szCs w:val="21"/>
                <w:highlight w:val="none"/>
                <w:lang w:eastAsia="zh-CN"/>
              </w:rPr>
              <w:t>后，作为有机肥还田利用；无害化处理后还田综合利用</w:t>
            </w:r>
            <w:r>
              <w:rPr>
                <w:rFonts w:hint="default" w:ascii="Times New Roman" w:hAnsi="Times New Roman" w:eastAsia="宋体" w:cs="Times New Roman"/>
                <w:color w:val="auto"/>
                <w:sz w:val="21"/>
                <w:szCs w:val="21"/>
                <w:highlight w:val="none"/>
              </w:rPr>
              <w:t>，符合要求。</w:t>
            </w:r>
          </w:p>
        </w:tc>
        <w:tc>
          <w:tcPr>
            <w:tcW w:w="673" w:type="dxa"/>
            <w:vAlign w:val="center"/>
          </w:tcPr>
          <w:p w14:paraId="184B1BA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662FF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8" w:type="dxa"/>
            <w:vMerge w:val="restart"/>
            <w:vAlign w:val="center"/>
          </w:tcPr>
          <w:p w14:paraId="46E6D5F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《畜禽规模养殖污染防治条例》（国务院令第643号）</w:t>
            </w:r>
          </w:p>
        </w:tc>
        <w:tc>
          <w:tcPr>
            <w:tcW w:w="7512" w:type="dxa"/>
            <w:vAlign w:val="center"/>
          </w:tcPr>
          <w:p w14:paraId="2A3E209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第十一条禁止在下列区域内建设畜禽养殖场、养殖小区：（一）饮用水水源保护区，风景名胜区；（二）自然保护区的核心区和缓冲区；（三）城镇居民区、文化教育科学研究区等人口集中区域；（四）法律、法规规定的其他禁止养殖区域。</w:t>
            </w:r>
          </w:p>
        </w:tc>
        <w:tc>
          <w:tcPr>
            <w:tcW w:w="4536" w:type="dxa"/>
            <w:vAlign w:val="center"/>
          </w:tcPr>
          <w:p w14:paraId="058821A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项目建设区域</w:t>
            </w:r>
            <w:r>
              <w:rPr>
                <w:rFonts w:hint="default" w:ascii="Times New Roman" w:hAnsi="Times New Roman" w:eastAsia="宋体" w:cs="Times New Roman"/>
                <w:color w:val="auto"/>
                <w:sz w:val="21"/>
                <w:szCs w:val="21"/>
                <w:highlight w:val="none"/>
                <w:lang w:eastAsia="zh-CN"/>
              </w:rPr>
              <w:t>周边</w:t>
            </w:r>
            <w:r>
              <w:rPr>
                <w:rFonts w:hint="default" w:ascii="Times New Roman" w:hAnsi="Times New Roman" w:eastAsia="宋体" w:cs="Times New Roman"/>
                <w:color w:val="auto"/>
                <w:sz w:val="21"/>
                <w:szCs w:val="21"/>
                <w:highlight w:val="none"/>
              </w:rPr>
              <w:t>无（一）饮用水水源保护区，风景名胜区；（二）自然保护区的核心区和缓冲区；（三）城镇居民区、文化教育科学研究区等人口集中区域；（四）法律、法规规定的其他禁止养殖区域，符合要求。</w:t>
            </w:r>
          </w:p>
        </w:tc>
        <w:tc>
          <w:tcPr>
            <w:tcW w:w="673" w:type="dxa"/>
            <w:vAlign w:val="center"/>
          </w:tcPr>
          <w:p w14:paraId="5F1B17E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061D8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8" w:type="dxa"/>
            <w:vMerge w:val="continue"/>
            <w:vAlign w:val="center"/>
          </w:tcPr>
          <w:p w14:paraId="17971AE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7512" w:type="dxa"/>
            <w:vAlign w:val="center"/>
          </w:tcPr>
          <w:p w14:paraId="5331369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第十三条畜禽养殖场、养殖小区应当根据养殖规模和污染防治需要，建设相应的畜禽粪便、污水与雨水分流设施，畜禽粪便、污水的贮存设施，粪污厌氧消化和堆沤、有机肥加工、制取沼气、沼渣沼液分离和输送、污水处理、畜禽尸体处理等综合利用和无害化处理设施。</w:t>
            </w:r>
          </w:p>
        </w:tc>
        <w:tc>
          <w:tcPr>
            <w:tcW w:w="4536" w:type="dxa"/>
            <w:vAlign w:val="center"/>
          </w:tcPr>
          <w:p w14:paraId="66A4895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项目全场采取雨污分流，设置</w:t>
            </w:r>
            <w:r>
              <w:rPr>
                <w:rFonts w:hint="default" w:ascii="Times New Roman" w:hAnsi="Times New Roman" w:eastAsia="宋体" w:cs="Times New Roman"/>
                <w:color w:val="auto"/>
                <w:sz w:val="21"/>
                <w:szCs w:val="21"/>
                <w:highlight w:val="none"/>
                <w:lang w:eastAsia="zh-CN"/>
              </w:rPr>
              <w:t>粪污处理池</w:t>
            </w:r>
            <w:r>
              <w:rPr>
                <w:rFonts w:hint="default" w:ascii="Times New Roman" w:hAnsi="Times New Roman" w:eastAsia="宋体" w:cs="Times New Roman"/>
                <w:color w:val="auto"/>
                <w:sz w:val="21"/>
                <w:szCs w:val="21"/>
                <w:highlight w:val="none"/>
              </w:rPr>
              <w:t>等粪污处理设施，项目采用干清粪工艺，</w:t>
            </w:r>
            <w:r>
              <w:rPr>
                <w:rFonts w:hint="default" w:ascii="Times New Roman" w:hAnsi="Times New Roman" w:eastAsia="宋体" w:cs="Times New Roman"/>
                <w:color w:val="auto"/>
                <w:sz w:val="21"/>
                <w:szCs w:val="21"/>
                <w:highlight w:val="none"/>
                <w:lang w:eastAsia="zh-CN"/>
              </w:rPr>
              <w:t>项目牛粪便经</w:t>
            </w:r>
            <w:r>
              <w:rPr>
                <w:rFonts w:hint="default" w:ascii="Times New Roman" w:hAnsi="Times New Roman" w:eastAsia="宋体" w:cs="Times New Roman"/>
                <w:color w:val="auto"/>
                <w:sz w:val="21"/>
                <w:szCs w:val="21"/>
                <w:highlight w:val="none"/>
                <w:lang w:val="en-US" w:eastAsia="zh-CN"/>
              </w:rPr>
              <w:t>粪污处理池储存并堆肥</w:t>
            </w:r>
            <w:r>
              <w:rPr>
                <w:rFonts w:hint="default" w:ascii="Times New Roman" w:hAnsi="Times New Roman" w:eastAsia="宋体" w:cs="Times New Roman"/>
                <w:color w:val="auto"/>
                <w:sz w:val="21"/>
                <w:szCs w:val="21"/>
                <w:highlight w:val="none"/>
                <w:lang w:eastAsia="zh-CN"/>
              </w:rPr>
              <w:t>后，作为有机肥还田利用；无害化处理后还田综合利用</w:t>
            </w:r>
            <w:r>
              <w:rPr>
                <w:rFonts w:hint="default" w:ascii="Times New Roman" w:hAnsi="Times New Roman" w:eastAsia="宋体" w:cs="Times New Roman"/>
                <w:color w:val="auto"/>
                <w:sz w:val="21"/>
                <w:szCs w:val="21"/>
                <w:highlight w:val="none"/>
              </w:rPr>
              <w:t>，符合要求。</w:t>
            </w:r>
          </w:p>
          <w:p w14:paraId="29A6780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肉牛饲养过程中饮用水量较少，排放的尿液较少，并且牛粪较为干燥，在养殖区（牛舍、运动场）排放的尿液大部分由于当地气候干燥蒸发，剩余尿液与粪便完全黏结混合在一起，一起运往粪污处理池储存并堆肥，因此，没有尿液排放。</w:t>
            </w:r>
          </w:p>
        </w:tc>
        <w:tc>
          <w:tcPr>
            <w:tcW w:w="673" w:type="dxa"/>
            <w:vAlign w:val="center"/>
          </w:tcPr>
          <w:p w14:paraId="53CF7E8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3E05A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8" w:type="dxa"/>
            <w:vMerge w:val="continue"/>
            <w:vAlign w:val="center"/>
          </w:tcPr>
          <w:p w14:paraId="346D981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7512" w:type="dxa"/>
            <w:vAlign w:val="center"/>
          </w:tcPr>
          <w:p w14:paraId="459BF26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第十五条国家鼓励和支持采取粪肥还田、制取沼气、制造有机肥等方法，对畜禽养殖废弃物进行综合利用。</w:t>
            </w:r>
          </w:p>
        </w:tc>
        <w:tc>
          <w:tcPr>
            <w:tcW w:w="4536" w:type="dxa"/>
            <w:vAlign w:val="center"/>
          </w:tcPr>
          <w:p w14:paraId="22CBCD9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项目牛粪便经</w:t>
            </w:r>
            <w:r>
              <w:rPr>
                <w:rFonts w:hint="default" w:ascii="Times New Roman" w:hAnsi="Times New Roman" w:eastAsia="宋体" w:cs="Times New Roman"/>
                <w:color w:val="auto"/>
                <w:sz w:val="21"/>
                <w:szCs w:val="21"/>
                <w:highlight w:val="none"/>
                <w:lang w:val="en-US" w:eastAsia="zh-CN"/>
              </w:rPr>
              <w:t>粪污处理池储存并堆肥</w:t>
            </w:r>
            <w:r>
              <w:rPr>
                <w:rFonts w:hint="default" w:ascii="Times New Roman" w:hAnsi="Times New Roman" w:eastAsia="宋体" w:cs="Times New Roman"/>
                <w:color w:val="auto"/>
                <w:sz w:val="21"/>
                <w:szCs w:val="21"/>
                <w:highlight w:val="none"/>
                <w:lang w:eastAsia="zh-CN"/>
              </w:rPr>
              <w:t>后，作为有机肥还田利用；无害化处理后还田综合利用</w:t>
            </w:r>
            <w:r>
              <w:rPr>
                <w:rFonts w:hint="default" w:ascii="Times New Roman" w:hAnsi="Times New Roman" w:eastAsia="宋体" w:cs="Times New Roman"/>
                <w:color w:val="auto"/>
                <w:sz w:val="21"/>
                <w:szCs w:val="21"/>
                <w:highlight w:val="none"/>
              </w:rPr>
              <w:t>，符合要求。</w:t>
            </w:r>
          </w:p>
        </w:tc>
        <w:tc>
          <w:tcPr>
            <w:tcW w:w="673" w:type="dxa"/>
            <w:vAlign w:val="center"/>
          </w:tcPr>
          <w:p w14:paraId="28E2561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43ADF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8" w:type="dxa"/>
            <w:vMerge w:val="continue"/>
            <w:vAlign w:val="center"/>
          </w:tcPr>
          <w:p w14:paraId="37164BB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7512" w:type="dxa"/>
            <w:vAlign w:val="center"/>
          </w:tcPr>
          <w:p w14:paraId="1019E69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第十六条国家鼓励和支持采取种植和养殖相结合的方式消纳利用畜禽养殖废弃物，促进畜禽粪便、污水等废弃物就地就近利用。</w:t>
            </w:r>
          </w:p>
        </w:tc>
        <w:tc>
          <w:tcPr>
            <w:tcW w:w="4536" w:type="dxa"/>
            <w:vAlign w:val="center"/>
          </w:tcPr>
          <w:p w14:paraId="7A0957B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项目</w:t>
            </w:r>
            <w:r>
              <w:rPr>
                <w:rFonts w:hint="default" w:ascii="Times New Roman" w:hAnsi="Times New Roman" w:eastAsia="宋体" w:cs="Times New Roman"/>
                <w:color w:val="auto"/>
                <w:sz w:val="21"/>
                <w:szCs w:val="21"/>
                <w:highlight w:val="none"/>
                <w:lang w:eastAsia="zh-CN"/>
              </w:rPr>
              <w:t>牛粪便经</w:t>
            </w:r>
            <w:r>
              <w:rPr>
                <w:rFonts w:hint="default" w:ascii="Times New Roman" w:hAnsi="Times New Roman" w:eastAsia="宋体" w:cs="Times New Roman"/>
                <w:color w:val="auto"/>
                <w:sz w:val="21"/>
                <w:szCs w:val="21"/>
                <w:highlight w:val="none"/>
                <w:lang w:val="en-US" w:eastAsia="zh-CN"/>
              </w:rPr>
              <w:t>粪污处理池储存并堆肥</w:t>
            </w:r>
            <w:r>
              <w:rPr>
                <w:rFonts w:hint="default" w:ascii="Times New Roman" w:hAnsi="Times New Roman" w:eastAsia="宋体" w:cs="Times New Roman"/>
                <w:color w:val="auto"/>
                <w:sz w:val="21"/>
                <w:szCs w:val="21"/>
                <w:highlight w:val="none"/>
                <w:lang w:eastAsia="zh-CN"/>
              </w:rPr>
              <w:t>后，作为有机肥还田利用；无害化处理后还田综合利用</w:t>
            </w:r>
            <w:r>
              <w:rPr>
                <w:rFonts w:hint="default" w:ascii="Times New Roman" w:hAnsi="Times New Roman" w:eastAsia="宋体" w:cs="Times New Roman"/>
                <w:color w:val="auto"/>
                <w:sz w:val="21"/>
                <w:szCs w:val="21"/>
                <w:highlight w:val="none"/>
              </w:rPr>
              <w:t>，符合要求。</w:t>
            </w:r>
          </w:p>
          <w:p w14:paraId="0F357A2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肉牛饲养过程中饮用水量较少，排放的尿液较少，并且牛粪较为干燥，在养殖区（牛舍、运动场）排放的尿液大部分由于当地气候干燥蒸发，剩余尿液与粪便完全黏结混合在一起，一起运往粪污处理池储存并堆肥，因此，没有尿液排放。</w:t>
            </w:r>
          </w:p>
        </w:tc>
        <w:tc>
          <w:tcPr>
            <w:tcW w:w="673" w:type="dxa"/>
            <w:vAlign w:val="center"/>
          </w:tcPr>
          <w:p w14:paraId="68FCC9D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bl>
    <w:p w14:paraId="61AFDC2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根据上表的分析可知，本项目的建设可满足养殖类相关法律、法规及相关政策的要求。</w:t>
      </w:r>
    </w:p>
    <w:p w14:paraId="5AED296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br w:type="page"/>
      </w:r>
    </w:p>
    <w:p w14:paraId="7D1CAD06">
      <w:pPr>
        <w:pStyle w:val="7"/>
        <w:pageBreakBefore w:val="0"/>
        <w:kinsoku/>
        <w:wordWrap/>
        <w:bidi w:val="0"/>
        <w:snapToGrid w:val="0"/>
        <w:spacing w:line="360" w:lineRule="auto"/>
        <w:ind w:left="0" w:leftChars="0" w:right="0" w:rightChars="0"/>
        <w:outlineLvl w:val="2"/>
        <w:rPr>
          <w:rFonts w:hint="default" w:ascii="Times New Roman" w:hAnsi="Times New Roman" w:eastAsia="宋体" w:cs="Times New Roman"/>
          <w:color w:val="auto"/>
          <w:highlight w:val="none"/>
        </w:rPr>
      </w:pPr>
      <w:bookmarkStart w:id="187" w:name="_Toc18567"/>
      <w:bookmarkStart w:id="188" w:name="_Toc30590"/>
      <w:r>
        <w:rPr>
          <w:rFonts w:hint="default" w:ascii="Times New Roman" w:hAnsi="Times New Roman" w:eastAsia="宋体" w:cs="Times New Roman"/>
          <w:color w:val="auto"/>
          <w:highlight w:val="none"/>
        </w:rPr>
        <w:t>表2.7-2本项目建设与畜禽养殖污染防治的相关规范符合性分析</w:t>
      </w:r>
      <w:bookmarkEnd w:id="187"/>
      <w:bookmarkEnd w:id="188"/>
    </w:p>
    <w:tbl>
      <w:tblPr>
        <w:tblStyle w:val="40"/>
        <w:tblW w:w="1360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49"/>
        <w:gridCol w:w="947"/>
        <w:gridCol w:w="5882"/>
        <w:gridCol w:w="5082"/>
        <w:gridCol w:w="646"/>
      </w:tblGrid>
      <w:tr w14:paraId="44A7CEE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093" w:type="dxa"/>
            <w:gridSpan w:val="2"/>
            <w:tcBorders>
              <w:top w:val="single" w:color="auto" w:sz="4" w:space="0"/>
              <w:left w:val="single" w:color="auto" w:sz="4" w:space="0"/>
              <w:bottom w:val="single" w:color="auto" w:sz="4" w:space="0"/>
              <w:right w:val="single" w:color="auto" w:sz="4" w:space="0"/>
            </w:tcBorders>
            <w:vAlign w:val="center"/>
          </w:tcPr>
          <w:p w14:paraId="519ED0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类别</w:t>
            </w:r>
          </w:p>
        </w:tc>
        <w:tc>
          <w:tcPr>
            <w:tcW w:w="6237" w:type="dxa"/>
            <w:tcBorders>
              <w:top w:val="single" w:color="auto" w:sz="4" w:space="0"/>
              <w:left w:val="single" w:color="auto" w:sz="4" w:space="0"/>
              <w:bottom w:val="single" w:color="auto" w:sz="4" w:space="0"/>
              <w:right w:val="single" w:color="auto" w:sz="4" w:space="0"/>
            </w:tcBorders>
            <w:vAlign w:val="center"/>
          </w:tcPr>
          <w:p w14:paraId="4A0E460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相关规定</w:t>
            </w:r>
          </w:p>
        </w:tc>
        <w:tc>
          <w:tcPr>
            <w:tcW w:w="5386" w:type="dxa"/>
            <w:tcBorders>
              <w:top w:val="single" w:color="auto" w:sz="4" w:space="0"/>
              <w:left w:val="single" w:color="auto" w:sz="4" w:space="0"/>
              <w:bottom w:val="single" w:color="auto" w:sz="4" w:space="0"/>
              <w:right w:val="single" w:color="auto" w:sz="4" w:space="0"/>
            </w:tcBorders>
            <w:vAlign w:val="center"/>
          </w:tcPr>
          <w:p w14:paraId="524AFEA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本项目情况</w:t>
            </w:r>
          </w:p>
        </w:tc>
        <w:tc>
          <w:tcPr>
            <w:tcW w:w="673" w:type="dxa"/>
            <w:tcBorders>
              <w:top w:val="single" w:color="auto" w:sz="4" w:space="0"/>
              <w:left w:val="single" w:color="auto" w:sz="4" w:space="0"/>
              <w:bottom w:val="single" w:color="auto" w:sz="4" w:space="0"/>
              <w:right w:val="single" w:color="auto" w:sz="4" w:space="0"/>
            </w:tcBorders>
            <w:vAlign w:val="center"/>
          </w:tcPr>
          <w:p w14:paraId="256A166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符合情况</w:t>
            </w:r>
          </w:p>
        </w:tc>
      </w:tr>
      <w:tr w14:paraId="5CE3958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01" w:type="dxa"/>
            <w:vMerge w:val="restart"/>
            <w:tcBorders>
              <w:top w:val="single" w:color="auto" w:sz="4" w:space="0"/>
              <w:left w:val="single" w:color="auto" w:sz="4" w:space="0"/>
              <w:bottom w:val="single" w:color="auto" w:sz="4" w:space="0"/>
              <w:right w:val="single" w:color="auto" w:sz="4" w:space="0"/>
            </w:tcBorders>
            <w:vAlign w:val="center"/>
          </w:tcPr>
          <w:p w14:paraId="0051013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《畜禽养殖业污染治理工程技术规范》（HJ497-2009）</w:t>
            </w:r>
          </w:p>
        </w:tc>
        <w:tc>
          <w:tcPr>
            <w:tcW w:w="992" w:type="dxa"/>
            <w:vMerge w:val="restart"/>
            <w:tcBorders>
              <w:top w:val="single" w:color="auto" w:sz="4" w:space="0"/>
              <w:left w:val="single" w:color="auto" w:sz="4" w:space="0"/>
              <w:bottom w:val="single" w:color="auto" w:sz="4" w:space="0"/>
              <w:right w:val="single" w:color="auto" w:sz="4" w:space="0"/>
            </w:tcBorders>
            <w:vAlign w:val="center"/>
          </w:tcPr>
          <w:p w14:paraId="4A50590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场区布局与清粪工艺</w:t>
            </w:r>
          </w:p>
        </w:tc>
        <w:tc>
          <w:tcPr>
            <w:tcW w:w="6237" w:type="dxa"/>
            <w:tcBorders>
              <w:top w:val="single" w:color="auto" w:sz="4" w:space="0"/>
              <w:left w:val="single" w:color="auto" w:sz="4" w:space="0"/>
              <w:bottom w:val="single" w:color="auto" w:sz="4" w:space="0"/>
              <w:right w:val="single" w:color="auto" w:sz="4" w:space="0"/>
            </w:tcBorders>
            <w:vAlign w:val="center"/>
          </w:tcPr>
          <w:p w14:paraId="2AA3783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4.1新建、改建、扩建的畜禽养殖场应实现生产区、生活管理区的隔离，粪便污水处理设施和</w:t>
            </w:r>
            <w:r>
              <w:rPr>
                <w:rFonts w:hint="default" w:ascii="Times New Roman" w:hAnsi="Times New Roman" w:eastAsia="宋体" w:cs="Times New Roman"/>
                <w:color w:val="auto"/>
                <w:sz w:val="21"/>
                <w:szCs w:val="21"/>
                <w:highlight w:val="none"/>
                <w:lang w:eastAsia="zh-CN"/>
              </w:rPr>
              <w:t>畜禽</w:t>
            </w:r>
            <w:r>
              <w:rPr>
                <w:rFonts w:hint="default" w:ascii="Times New Roman" w:hAnsi="Times New Roman" w:eastAsia="宋体" w:cs="Times New Roman"/>
                <w:color w:val="auto"/>
                <w:sz w:val="21"/>
                <w:szCs w:val="21"/>
                <w:highlight w:val="none"/>
              </w:rPr>
              <w:t>尸体焚烧炉应设在养殖场的生产区、生活管理区的常年主导风向的下风向或侧风向处。</w:t>
            </w:r>
          </w:p>
        </w:tc>
        <w:tc>
          <w:tcPr>
            <w:tcW w:w="5386" w:type="dxa"/>
            <w:tcBorders>
              <w:top w:val="single" w:color="auto" w:sz="4" w:space="0"/>
              <w:left w:val="single" w:color="auto" w:sz="4" w:space="0"/>
              <w:bottom w:val="single" w:color="auto" w:sz="4" w:space="0"/>
              <w:right w:val="single" w:color="auto" w:sz="4" w:space="0"/>
            </w:tcBorders>
            <w:vAlign w:val="center"/>
          </w:tcPr>
          <w:p w14:paraId="1BB81DA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项目生活管理区与生产区、</w:t>
            </w:r>
            <w:r>
              <w:rPr>
                <w:rFonts w:hint="default" w:ascii="Times New Roman" w:hAnsi="Times New Roman" w:eastAsia="宋体" w:cs="Times New Roman"/>
                <w:color w:val="auto"/>
                <w:sz w:val="21"/>
                <w:szCs w:val="21"/>
                <w:highlight w:val="none"/>
                <w:lang w:eastAsia="zh-CN"/>
              </w:rPr>
              <w:t>粪污处理池</w:t>
            </w:r>
            <w:r>
              <w:rPr>
                <w:rFonts w:hint="default" w:ascii="Times New Roman" w:hAnsi="Times New Roman" w:eastAsia="宋体" w:cs="Times New Roman"/>
                <w:color w:val="auto"/>
                <w:sz w:val="21"/>
                <w:szCs w:val="21"/>
                <w:highlight w:val="none"/>
                <w:lang w:val="en-US" w:eastAsia="zh-CN"/>
              </w:rPr>
              <w:t>隔离</w:t>
            </w:r>
            <w:r>
              <w:rPr>
                <w:rFonts w:hint="default" w:ascii="Times New Roman" w:hAnsi="Times New Roman" w:eastAsia="宋体" w:cs="Times New Roman"/>
                <w:color w:val="auto"/>
                <w:sz w:val="21"/>
                <w:szCs w:val="21"/>
                <w:highlight w:val="none"/>
              </w:rPr>
              <w:t>设置</w:t>
            </w:r>
            <w:r>
              <w:rPr>
                <w:rFonts w:hint="default" w:ascii="Times New Roman" w:hAnsi="Times New Roman" w:eastAsia="宋体" w:cs="Times New Roman"/>
                <w:color w:val="auto"/>
                <w:sz w:val="21"/>
                <w:szCs w:val="21"/>
                <w:highlight w:val="none"/>
                <w:lang w:eastAsia="zh-CN"/>
              </w:rPr>
              <w:t>；</w:t>
            </w:r>
          </w:p>
          <w:p w14:paraId="536774B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FF0000"/>
                <w:sz w:val="21"/>
                <w:szCs w:val="21"/>
                <w:highlight w:val="none"/>
              </w:rPr>
              <w:t>该地区年主导风向为SSE风</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0000FF"/>
                <w:sz w:val="21"/>
                <w:szCs w:val="21"/>
                <w:highlight w:val="none"/>
                <w:lang w:val="en-US" w:eastAsia="zh-CN"/>
              </w:rPr>
              <w:t>本</w:t>
            </w:r>
            <w:r>
              <w:rPr>
                <w:rFonts w:hint="default" w:ascii="Times New Roman" w:hAnsi="Times New Roman" w:eastAsia="宋体" w:cs="Times New Roman"/>
                <w:color w:val="0000FF"/>
                <w:sz w:val="21"/>
                <w:szCs w:val="21"/>
                <w:highlight w:val="none"/>
              </w:rPr>
              <w:t>项目</w:t>
            </w:r>
            <w:r>
              <w:rPr>
                <w:rFonts w:hint="default" w:ascii="Times New Roman" w:hAnsi="Times New Roman" w:eastAsia="宋体" w:cs="Times New Roman"/>
                <w:color w:val="0000FF"/>
                <w:sz w:val="21"/>
                <w:szCs w:val="21"/>
                <w:highlight w:val="none"/>
                <w:lang w:eastAsia="zh-CN"/>
              </w:rPr>
              <w:t>粪污处理池</w:t>
            </w:r>
            <w:r>
              <w:rPr>
                <w:rFonts w:hint="default" w:ascii="Times New Roman" w:hAnsi="Times New Roman" w:eastAsia="宋体" w:cs="Times New Roman"/>
                <w:color w:val="0000FF"/>
                <w:sz w:val="21"/>
                <w:szCs w:val="21"/>
                <w:highlight w:val="none"/>
              </w:rPr>
              <w:t>位于养殖区及生活区</w:t>
            </w:r>
            <w:r>
              <w:rPr>
                <w:rFonts w:hint="default" w:ascii="Times New Roman" w:hAnsi="Times New Roman" w:eastAsia="宋体" w:cs="Times New Roman"/>
                <w:color w:val="0000FF"/>
                <w:sz w:val="21"/>
                <w:szCs w:val="21"/>
                <w:highlight w:val="none"/>
                <w:lang w:val="en-US" w:eastAsia="zh-CN"/>
              </w:rPr>
              <w:t>西南侧，属于</w:t>
            </w:r>
            <w:r>
              <w:rPr>
                <w:rFonts w:hint="default" w:ascii="Times New Roman" w:hAnsi="Times New Roman" w:eastAsia="宋体" w:cs="Times New Roman"/>
                <w:color w:val="0000FF"/>
                <w:sz w:val="21"/>
                <w:szCs w:val="21"/>
                <w:highlight w:val="none"/>
                <w:lang w:val="en-US" w:eastAsia="zh-CN"/>
              </w:rPr>
              <w:t>当地</w:t>
            </w:r>
            <w:r>
              <w:rPr>
                <w:rFonts w:hint="default" w:ascii="Times New Roman" w:hAnsi="Times New Roman" w:eastAsia="宋体" w:cs="Times New Roman"/>
                <w:color w:val="0000FF"/>
                <w:sz w:val="21"/>
                <w:szCs w:val="21"/>
                <w:highlight w:val="none"/>
              </w:rPr>
              <w:t>20年主</w:t>
            </w:r>
            <w:r>
              <w:rPr>
                <w:rFonts w:hint="default" w:ascii="Times New Roman" w:hAnsi="Times New Roman" w:eastAsia="宋体" w:cs="Times New Roman"/>
                <w:color w:val="0000FF"/>
                <w:sz w:val="21"/>
                <w:szCs w:val="21"/>
                <w:highlight w:val="none"/>
                <w:lang w:eastAsia="zh-CN"/>
              </w:rPr>
              <w:t>导</w:t>
            </w:r>
            <w:r>
              <w:rPr>
                <w:rFonts w:hint="default" w:ascii="Times New Roman" w:hAnsi="Times New Roman" w:eastAsia="宋体" w:cs="Times New Roman"/>
                <w:color w:val="0000FF"/>
                <w:sz w:val="21"/>
                <w:szCs w:val="21"/>
                <w:highlight w:val="none"/>
              </w:rPr>
              <w:t>风向的</w:t>
            </w:r>
            <w:r>
              <w:rPr>
                <w:rFonts w:hint="default" w:ascii="Times New Roman" w:hAnsi="Times New Roman" w:eastAsia="宋体" w:cs="Times New Roman"/>
                <w:color w:val="0000FF"/>
                <w:sz w:val="21"/>
                <w:szCs w:val="21"/>
                <w:highlight w:val="none"/>
                <w:lang w:val="en-US" w:eastAsia="zh-CN"/>
              </w:rPr>
              <w:t>侧</w:t>
            </w:r>
            <w:r>
              <w:rPr>
                <w:rFonts w:hint="default" w:ascii="Times New Roman" w:hAnsi="Times New Roman" w:eastAsia="宋体" w:cs="Times New Roman"/>
                <w:color w:val="0000FF"/>
                <w:sz w:val="21"/>
                <w:szCs w:val="21"/>
                <w:highlight w:val="none"/>
              </w:rPr>
              <w:t>风向</w:t>
            </w:r>
            <w:r>
              <w:rPr>
                <w:rFonts w:hint="default" w:ascii="Times New Roman" w:hAnsi="Times New Roman" w:eastAsia="宋体" w:cs="Times New Roman"/>
                <w:color w:val="0000FF"/>
                <w:sz w:val="21"/>
                <w:szCs w:val="21"/>
                <w:highlight w:val="none"/>
                <w:lang w:eastAsia="zh-CN"/>
              </w:rPr>
              <w:t>。</w:t>
            </w:r>
          </w:p>
        </w:tc>
        <w:tc>
          <w:tcPr>
            <w:tcW w:w="673" w:type="dxa"/>
            <w:tcBorders>
              <w:top w:val="single" w:color="auto" w:sz="4" w:space="0"/>
              <w:left w:val="single" w:color="auto" w:sz="4" w:space="0"/>
              <w:bottom w:val="single" w:color="auto" w:sz="4" w:space="0"/>
              <w:right w:val="single" w:color="auto" w:sz="4" w:space="0"/>
            </w:tcBorders>
            <w:vAlign w:val="center"/>
          </w:tcPr>
          <w:p w14:paraId="35375EF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51D655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01" w:type="dxa"/>
            <w:vMerge w:val="continue"/>
            <w:tcBorders>
              <w:top w:val="single" w:color="auto" w:sz="4" w:space="0"/>
              <w:left w:val="single" w:color="auto" w:sz="4" w:space="0"/>
              <w:bottom w:val="single" w:color="auto" w:sz="4" w:space="0"/>
              <w:right w:val="single" w:color="auto" w:sz="4" w:space="0"/>
            </w:tcBorders>
            <w:vAlign w:val="center"/>
          </w:tcPr>
          <w:p w14:paraId="562A5B5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992" w:type="dxa"/>
            <w:vMerge w:val="continue"/>
            <w:tcBorders>
              <w:top w:val="single" w:color="auto" w:sz="4" w:space="0"/>
              <w:left w:val="single" w:color="auto" w:sz="4" w:space="0"/>
              <w:bottom w:val="single" w:color="auto" w:sz="4" w:space="0"/>
              <w:right w:val="single" w:color="auto" w:sz="4" w:space="0"/>
            </w:tcBorders>
            <w:vAlign w:val="center"/>
          </w:tcPr>
          <w:p w14:paraId="1E59C82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6237" w:type="dxa"/>
            <w:tcBorders>
              <w:top w:val="single" w:color="auto" w:sz="4" w:space="0"/>
              <w:left w:val="single" w:color="auto" w:sz="4" w:space="0"/>
              <w:bottom w:val="single" w:color="auto" w:sz="4" w:space="0"/>
              <w:right w:val="single" w:color="auto" w:sz="4" w:space="0"/>
            </w:tcBorders>
            <w:vAlign w:val="center"/>
          </w:tcPr>
          <w:p w14:paraId="4A5CF4D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4.2养殖场的排水系统应实行雨水和污水收集输送系统分离，在场区内外设置的污水收集输送系统，不得采取明沟布设。</w:t>
            </w:r>
          </w:p>
        </w:tc>
        <w:tc>
          <w:tcPr>
            <w:tcW w:w="5386" w:type="dxa"/>
            <w:tcBorders>
              <w:top w:val="single" w:color="auto" w:sz="4" w:space="0"/>
              <w:left w:val="single" w:color="auto" w:sz="4" w:space="0"/>
              <w:bottom w:val="single" w:color="auto" w:sz="4" w:space="0"/>
              <w:right w:val="single" w:color="auto" w:sz="4" w:space="0"/>
            </w:tcBorders>
            <w:vAlign w:val="center"/>
          </w:tcPr>
          <w:p w14:paraId="2925996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养殖废水主要为牛舍内收集的牛尿，本项目为肉牛养殖场项目，肉牛饮用水量较少，尿液排放量较少，在养殖区（牛舍、运动场）排放的尿液大部分由于当地气候干燥蒸发，剩余尿液与粪便完全黏结混合在一起，一起运往粪污处理池储存并堆肥，因此，没有尿液排放；</w:t>
            </w:r>
          </w:p>
          <w:p w14:paraId="02D652F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养殖区（牛舍、运动场）场地不采取水冲洗方式清理，采用生石灰或者消毒水每周喷洒消毒2～3次，因此，养殖区（牛舍、运动场）不产生冲洗废水。</w:t>
            </w:r>
          </w:p>
        </w:tc>
        <w:tc>
          <w:tcPr>
            <w:tcW w:w="673" w:type="dxa"/>
            <w:tcBorders>
              <w:top w:val="single" w:color="auto" w:sz="4" w:space="0"/>
              <w:left w:val="single" w:color="auto" w:sz="4" w:space="0"/>
              <w:bottom w:val="single" w:color="auto" w:sz="4" w:space="0"/>
              <w:right w:val="single" w:color="auto" w:sz="4" w:space="0"/>
            </w:tcBorders>
            <w:vAlign w:val="center"/>
          </w:tcPr>
          <w:p w14:paraId="3492DC5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17B200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01" w:type="dxa"/>
            <w:vMerge w:val="continue"/>
            <w:tcBorders>
              <w:top w:val="single" w:color="auto" w:sz="4" w:space="0"/>
              <w:left w:val="single" w:color="auto" w:sz="4" w:space="0"/>
              <w:bottom w:val="single" w:color="auto" w:sz="4" w:space="0"/>
              <w:right w:val="single" w:color="auto" w:sz="4" w:space="0"/>
            </w:tcBorders>
            <w:vAlign w:val="center"/>
          </w:tcPr>
          <w:p w14:paraId="57321BE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992" w:type="dxa"/>
            <w:vMerge w:val="continue"/>
            <w:tcBorders>
              <w:top w:val="single" w:color="auto" w:sz="4" w:space="0"/>
              <w:left w:val="single" w:color="auto" w:sz="4" w:space="0"/>
              <w:bottom w:val="single" w:color="auto" w:sz="4" w:space="0"/>
              <w:right w:val="single" w:color="auto" w:sz="4" w:space="0"/>
            </w:tcBorders>
            <w:vAlign w:val="center"/>
          </w:tcPr>
          <w:p w14:paraId="7B758C7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6237" w:type="dxa"/>
            <w:tcBorders>
              <w:top w:val="single" w:color="auto" w:sz="4" w:space="0"/>
              <w:left w:val="single" w:color="auto" w:sz="4" w:space="0"/>
              <w:bottom w:val="single" w:color="auto" w:sz="4" w:space="0"/>
              <w:right w:val="single" w:color="auto" w:sz="4" w:space="0"/>
            </w:tcBorders>
            <w:vAlign w:val="center"/>
          </w:tcPr>
          <w:p w14:paraId="65398A3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4.3新建、改建、扩建的畜禽养殖场应采取干法清粪工艺，采取有效</w:t>
            </w:r>
            <w:r>
              <w:rPr>
                <w:rFonts w:hint="default" w:ascii="Times New Roman" w:hAnsi="Times New Roman" w:eastAsia="宋体" w:cs="Times New Roman"/>
                <w:color w:val="auto"/>
                <w:sz w:val="21"/>
                <w:szCs w:val="21"/>
                <w:highlight w:val="none"/>
                <w:lang w:eastAsia="zh-CN"/>
              </w:rPr>
              <w:t>措施</w:t>
            </w:r>
            <w:r>
              <w:rPr>
                <w:rFonts w:hint="default" w:ascii="Times New Roman" w:hAnsi="Times New Roman" w:eastAsia="宋体" w:cs="Times New Roman"/>
                <w:color w:val="auto"/>
                <w:sz w:val="21"/>
                <w:szCs w:val="21"/>
                <w:highlight w:val="none"/>
              </w:rPr>
              <w:t>将粪及时、单独清出，不可与尿、污水混合排出，并将产生的渣及时运至贮存或处理场所，实现日产日清。采用水冲、水泡粪湿法清粪工艺的养殖场，要逐步改为干法清粪工艺。</w:t>
            </w:r>
          </w:p>
        </w:tc>
        <w:tc>
          <w:tcPr>
            <w:tcW w:w="5386" w:type="dxa"/>
            <w:tcBorders>
              <w:top w:val="single" w:color="auto" w:sz="4" w:space="0"/>
              <w:left w:val="single" w:color="auto" w:sz="4" w:space="0"/>
              <w:bottom w:val="single" w:color="auto" w:sz="4" w:space="0"/>
              <w:right w:val="single" w:color="auto" w:sz="4" w:space="0"/>
            </w:tcBorders>
            <w:vAlign w:val="center"/>
          </w:tcPr>
          <w:p w14:paraId="02FB3ED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项目采用干清粪工艺，日产日清</w:t>
            </w:r>
            <w:r>
              <w:rPr>
                <w:rFonts w:hint="default" w:ascii="Times New Roman" w:hAnsi="Times New Roman" w:eastAsia="宋体" w:cs="Times New Roman"/>
                <w:color w:val="auto"/>
                <w:sz w:val="21"/>
                <w:szCs w:val="21"/>
                <w:highlight w:val="none"/>
                <w:lang w:eastAsia="zh-CN"/>
              </w:rPr>
              <w:t>，牛粪便经</w:t>
            </w:r>
            <w:r>
              <w:rPr>
                <w:rFonts w:hint="default" w:ascii="Times New Roman" w:hAnsi="Times New Roman" w:eastAsia="宋体" w:cs="Times New Roman"/>
                <w:color w:val="auto"/>
                <w:sz w:val="21"/>
                <w:szCs w:val="21"/>
                <w:highlight w:val="none"/>
                <w:lang w:val="en-US" w:eastAsia="zh-CN"/>
              </w:rPr>
              <w:t>粪污处理池储存并堆肥</w:t>
            </w:r>
            <w:r>
              <w:rPr>
                <w:rFonts w:hint="default" w:ascii="Times New Roman" w:hAnsi="Times New Roman" w:eastAsia="宋体" w:cs="Times New Roman"/>
                <w:color w:val="auto"/>
                <w:sz w:val="21"/>
                <w:szCs w:val="21"/>
                <w:highlight w:val="none"/>
                <w:lang w:eastAsia="zh-CN"/>
              </w:rPr>
              <w:t>后，作为有机肥还田利用。</w:t>
            </w:r>
          </w:p>
        </w:tc>
        <w:tc>
          <w:tcPr>
            <w:tcW w:w="673" w:type="dxa"/>
            <w:tcBorders>
              <w:top w:val="single" w:color="auto" w:sz="4" w:space="0"/>
              <w:left w:val="single" w:color="auto" w:sz="4" w:space="0"/>
              <w:bottom w:val="single" w:color="auto" w:sz="4" w:space="0"/>
              <w:right w:val="single" w:color="auto" w:sz="4" w:space="0"/>
            </w:tcBorders>
            <w:vAlign w:val="center"/>
          </w:tcPr>
          <w:p w14:paraId="785BF3C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61B4C43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01" w:type="dxa"/>
            <w:vMerge w:val="continue"/>
            <w:tcBorders>
              <w:top w:val="single" w:color="auto" w:sz="4" w:space="0"/>
              <w:left w:val="single" w:color="auto" w:sz="4" w:space="0"/>
              <w:bottom w:val="single" w:color="auto" w:sz="4" w:space="0"/>
              <w:right w:val="single" w:color="auto" w:sz="4" w:space="0"/>
            </w:tcBorders>
            <w:vAlign w:val="center"/>
          </w:tcPr>
          <w:p w14:paraId="5ED1F85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14:paraId="1643A66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畜禽粪便的贮存</w:t>
            </w:r>
          </w:p>
        </w:tc>
        <w:tc>
          <w:tcPr>
            <w:tcW w:w="6237" w:type="dxa"/>
            <w:tcBorders>
              <w:top w:val="single" w:color="auto" w:sz="4" w:space="0"/>
              <w:left w:val="single" w:color="auto" w:sz="4" w:space="0"/>
              <w:bottom w:val="single" w:color="auto" w:sz="4" w:space="0"/>
              <w:right w:val="single" w:color="auto" w:sz="4" w:space="0"/>
            </w:tcBorders>
            <w:vAlign w:val="center"/>
          </w:tcPr>
          <w:p w14:paraId="3487497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①畜禽养殖场产生的畜禽粪便应设置专门的贮存设施，其恶臭及污染物排放应符合《畜禽养殖业污染物排放标准》。</w:t>
            </w:r>
          </w:p>
          <w:p w14:paraId="31210C5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②贮存设施的位置必须远离各类功能地表水体</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距离不得小于400m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，并应设在养殖场生产及生活管理区的常年主导风向的下风向或侧风向处。</w:t>
            </w:r>
          </w:p>
          <w:p w14:paraId="2F39A9F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③对于种养结合的养殖场，畜禽粪便，贮存设施的总容积不得低于当地农林作物生产用肥的最大间隔时间内本养殖场所产生粪便的总量。</w:t>
            </w:r>
          </w:p>
          <w:p w14:paraId="0B4B60F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④贮存设施应采取设置顶盖等防止降雨</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进入的措施。</w:t>
            </w:r>
          </w:p>
        </w:tc>
        <w:tc>
          <w:tcPr>
            <w:tcW w:w="5386" w:type="dxa"/>
            <w:tcBorders>
              <w:top w:val="single" w:color="auto" w:sz="4" w:space="0"/>
              <w:left w:val="single" w:color="auto" w:sz="4" w:space="0"/>
              <w:bottom w:val="single" w:color="auto" w:sz="4" w:space="0"/>
              <w:right w:val="single" w:color="auto" w:sz="4" w:space="0"/>
            </w:tcBorders>
            <w:vAlign w:val="center"/>
          </w:tcPr>
          <w:p w14:paraId="3E847E6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①项目设置</w:t>
            </w:r>
            <w:r>
              <w:rPr>
                <w:rFonts w:hint="default" w:ascii="Times New Roman" w:hAnsi="Times New Roman" w:eastAsia="宋体" w:cs="Times New Roman"/>
                <w:color w:val="auto"/>
                <w:sz w:val="21"/>
                <w:szCs w:val="21"/>
                <w:highlight w:val="none"/>
                <w:lang w:eastAsia="zh-CN"/>
              </w:rPr>
              <w:t>粪污处理池，为牛</w:t>
            </w:r>
            <w:r>
              <w:rPr>
                <w:rFonts w:hint="default" w:ascii="Times New Roman" w:hAnsi="Times New Roman" w:eastAsia="宋体" w:cs="Times New Roman"/>
                <w:color w:val="auto"/>
                <w:sz w:val="21"/>
                <w:szCs w:val="21"/>
                <w:highlight w:val="none"/>
              </w:rPr>
              <w:t>粪便收集贮存设施，恶臭污染物排放满足《畜禽养殖业污染物排放标准》要求；</w:t>
            </w:r>
          </w:p>
          <w:p w14:paraId="7FF8F0D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w:t>
            </w:r>
            <w:r>
              <w:rPr>
                <w:rFonts w:hint="default" w:ascii="Times New Roman" w:hAnsi="Times New Roman" w:eastAsia="宋体" w:cs="Times New Roman"/>
                <w:color w:val="auto"/>
                <w:sz w:val="21"/>
                <w:szCs w:val="21"/>
                <w:highlight w:val="none"/>
                <w:lang w:eastAsia="zh-CN"/>
              </w:rPr>
              <w:t>粪污处理池</w:t>
            </w:r>
            <w:r>
              <w:rPr>
                <w:rFonts w:hint="default" w:ascii="Times New Roman" w:hAnsi="Times New Roman" w:eastAsia="宋体" w:cs="Times New Roman"/>
                <w:color w:val="auto"/>
                <w:sz w:val="21"/>
                <w:szCs w:val="21"/>
                <w:highlight w:val="none"/>
              </w:rPr>
              <w:t>周边</w:t>
            </w:r>
            <w:r>
              <w:rPr>
                <w:rFonts w:hint="default" w:ascii="Times New Roman" w:hAnsi="Times New Roman" w:eastAsia="宋体" w:cs="Times New Roman"/>
                <w:color w:val="auto"/>
                <w:sz w:val="21"/>
                <w:szCs w:val="21"/>
                <w:highlight w:val="none"/>
                <w:lang w:val="en-US" w:eastAsia="zh-CN"/>
              </w:rPr>
              <w:t>400m范围内</w:t>
            </w:r>
            <w:r>
              <w:rPr>
                <w:rFonts w:hint="default" w:ascii="Times New Roman" w:hAnsi="Times New Roman" w:eastAsia="宋体" w:cs="Times New Roman"/>
                <w:color w:val="auto"/>
                <w:sz w:val="21"/>
                <w:szCs w:val="21"/>
                <w:highlight w:val="none"/>
              </w:rPr>
              <w:t>无地表水体，</w:t>
            </w:r>
            <w:r>
              <w:rPr>
                <w:rFonts w:hint="default" w:ascii="Times New Roman" w:hAnsi="Times New Roman" w:eastAsia="宋体" w:cs="Times New Roman"/>
                <w:color w:val="FF0000"/>
                <w:sz w:val="21"/>
                <w:szCs w:val="21"/>
                <w:highlight w:val="none"/>
              </w:rPr>
              <w:t>该地区年主导风向为SSE风</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0000FF"/>
                <w:sz w:val="21"/>
                <w:szCs w:val="21"/>
                <w:highlight w:val="none"/>
                <w:lang w:val="en-US" w:eastAsia="zh-CN"/>
              </w:rPr>
              <w:t>本</w:t>
            </w:r>
            <w:r>
              <w:rPr>
                <w:rFonts w:hint="default" w:ascii="Times New Roman" w:hAnsi="Times New Roman" w:eastAsia="宋体" w:cs="Times New Roman"/>
                <w:color w:val="0000FF"/>
                <w:sz w:val="21"/>
                <w:szCs w:val="21"/>
                <w:highlight w:val="none"/>
              </w:rPr>
              <w:t>项目</w:t>
            </w:r>
            <w:r>
              <w:rPr>
                <w:rFonts w:hint="default" w:ascii="Times New Roman" w:hAnsi="Times New Roman" w:eastAsia="宋体" w:cs="Times New Roman"/>
                <w:color w:val="0000FF"/>
                <w:sz w:val="21"/>
                <w:szCs w:val="21"/>
                <w:highlight w:val="none"/>
                <w:lang w:eastAsia="zh-CN"/>
              </w:rPr>
              <w:t>粪污处理池</w:t>
            </w:r>
            <w:r>
              <w:rPr>
                <w:rFonts w:hint="default" w:ascii="Times New Roman" w:hAnsi="Times New Roman" w:eastAsia="宋体" w:cs="Times New Roman"/>
                <w:color w:val="0000FF"/>
                <w:sz w:val="21"/>
                <w:szCs w:val="21"/>
                <w:highlight w:val="none"/>
              </w:rPr>
              <w:t>位于养殖区及生活区</w:t>
            </w:r>
            <w:r>
              <w:rPr>
                <w:rFonts w:hint="default" w:ascii="Times New Roman" w:hAnsi="Times New Roman" w:eastAsia="宋体" w:cs="Times New Roman"/>
                <w:color w:val="0000FF"/>
                <w:sz w:val="21"/>
                <w:szCs w:val="21"/>
                <w:highlight w:val="none"/>
                <w:lang w:val="en-US" w:eastAsia="zh-CN"/>
              </w:rPr>
              <w:t>西南侧，属于</w:t>
            </w:r>
            <w:r>
              <w:rPr>
                <w:rFonts w:hint="default" w:ascii="Times New Roman" w:hAnsi="Times New Roman" w:eastAsia="宋体" w:cs="Times New Roman"/>
                <w:color w:val="0000FF"/>
                <w:sz w:val="21"/>
                <w:szCs w:val="21"/>
                <w:highlight w:val="none"/>
                <w:lang w:val="en-US" w:eastAsia="zh-CN"/>
              </w:rPr>
              <w:t>当地</w:t>
            </w:r>
            <w:r>
              <w:rPr>
                <w:rFonts w:hint="default" w:ascii="Times New Roman" w:hAnsi="Times New Roman" w:eastAsia="宋体" w:cs="Times New Roman"/>
                <w:color w:val="0000FF"/>
                <w:sz w:val="21"/>
                <w:szCs w:val="21"/>
                <w:highlight w:val="none"/>
              </w:rPr>
              <w:t>20年主</w:t>
            </w:r>
            <w:r>
              <w:rPr>
                <w:rFonts w:hint="default" w:ascii="Times New Roman" w:hAnsi="Times New Roman" w:eastAsia="宋体" w:cs="Times New Roman"/>
                <w:color w:val="0000FF"/>
                <w:sz w:val="21"/>
                <w:szCs w:val="21"/>
                <w:highlight w:val="none"/>
                <w:lang w:eastAsia="zh-CN"/>
              </w:rPr>
              <w:t>导</w:t>
            </w:r>
            <w:r>
              <w:rPr>
                <w:rFonts w:hint="default" w:ascii="Times New Roman" w:hAnsi="Times New Roman" w:eastAsia="宋体" w:cs="Times New Roman"/>
                <w:color w:val="0000FF"/>
                <w:sz w:val="21"/>
                <w:szCs w:val="21"/>
                <w:highlight w:val="none"/>
              </w:rPr>
              <w:t>风向的</w:t>
            </w:r>
            <w:r>
              <w:rPr>
                <w:rFonts w:hint="default" w:ascii="Times New Roman" w:hAnsi="Times New Roman" w:eastAsia="宋体" w:cs="Times New Roman"/>
                <w:color w:val="0000FF"/>
                <w:sz w:val="21"/>
                <w:szCs w:val="21"/>
                <w:highlight w:val="none"/>
                <w:lang w:val="en-US" w:eastAsia="zh-CN"/>
              </w:rPr>
              <w:t>侧</w:t>
            </w:r>
            <w:r>
              <w:rPr>
                <w:rFonts w:hint="default" w:ascii="Times New Roman" w:hAnsi="Times New Roman" w:eastAsia="宋体" w:cs="Times New Roman"/>
                <w:color w:val="0000FF"/>
                <w:sz w:val="21"/>
                <w:szCs w:val="21"/>
                <w:highlight w:val="none"/>
              </w:rPr>
              <w:t>风向</w:t>
            </w:r>
            <w:r>
              <w:rPr>
                <w:rFonts w:hint="default" w:ascii="Times New Roman" w:hAnsi="Times New Roman" w:eastAsia="宋体" w:cs="Times New Roman"/>
                <w:color w:val="FF0000"/>
                <w:sz w:val="21"/>
                <w:szCs w:val="21"/>
                <w:highlight w:val="none"/>
                <w:lang w:eastAsia="zh-CN"/>
              </w:rPr>
              <w:t>；</w:t>
            </w:r>
          </w:p>
          <w:p w14:paraId="7377F59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③</w:t>
            </w:r>
            <w:r>
              <w:rPr>
                <w:rFonts w:hint="default" w:ascii="Times New Roman" w:hAnsi="Times New Roman" w:eastAsia="宋体" w:cs="Times New Roman"/>
                <w:color w:val="auto"/>
                <w:sz w:val="21"/>
                <w:szCs w:val="21"/>
                <w:highlight w:val="none"/>
                <w:lang w:eastAsia="zh-CN"/>
              </w:rPr>
              <w:t>粪污处理池面积</w:t>
            </w:r>
            <w:r>
              <w:rPr>
                <w:rFonts w:hint="default" w:ascii="Times New Roman" w:hAnsi="Times New Roman" w:eastAsia="宋体" w:cs="Times New Roman"/>
                <w:color w:val="auto"/>
                <w:sz w:val="21"/>
                <w:szCs w:val="21"/>
                <w:highlight w:val="none"/>
              </w:rPr>
              <w:t>等满足</w:t>
            </w:r>
            <w:r>
              <w:rPr>
                <w:rFonts w:hint="default" w:ascii="Times New Roman" w:hAnsi="Times New Roman" w:eastAsia="宋体" w:cs="Times New Roman"/>
                <w:color w:val="0000FF"/>
                <w:sz w:val="21"/>
                <w:szCs w:val="21"/>
                <w:highlight w:val="none"/>
                <w:lang w:val="en-US" w:eastAsia="zh-CN"/>
              </w:rPr>
              <w:t>6</w:t>
            </w:r>
            <w:r>
              <w:rPr>
                <w:rFonts w:hint="default" w:ascii="Times New Roman" w:hAnsi="Times New Roman" w:eastAsia="宋体" w:cs="Times New Roman"/>
                <w:color w:val="0000FF"/>
                <w:sz w:val="21"/>
                <w:szCs w:val="21"/>
                <w:highlight w:val="none"/>
              </w:rPr>
              <w:t>个月</w:t>
            </w:r>
            <w:r>
              <w:rPr>
                <w:rFonts w:hint="default" w:ascii="Times New Roman" w:hAnsi="Times New Roman" w:eastAsia="宋体" w:cs="Times New Roman"/>
                <w:color w:val="auto"/>
                <w:sz w:val="21"/>
                <w:szCs w:val="21"/>
                <w:highlight w:val="none"/>
              </w:rPr>
              <w:t>的还田间隔要求及存储容积要求。</w:t>
            </w:r>
          </w:p>
          <w:p w14:paraId="1D00FD6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④</w:t>
            </w:r>
            <w:r>
              <w:rPr>
                <w:rFonts w:hint="default" w:ascii="Times New Roman" w:hAnsi="Times New Roman" w:eastAsia="宋体" w:cs="Times New Roman"/>
                <w:color w:val="auto"/>
                <w:sz w:val="21"/>
                <w:szCs w:val="21"/>
                <w:highlight w:val="none"/>
                <w:lang w:eastAsia="zh-CN"/>
              </w:rPr>
              <w:t>粪污处理池</w:t>
            </w:r>
            <w:r>
              <w:rPr>
                <w:rFonts w:hint="default" w:ascii="Times New Roman" w:hAnsi="Times New Roman" w:eastAsia="宋体" w:cs="Times New Roman"/>
                <w:color w:val="0000FF"/>
                <w:sz w:val="21"/>
                <w:szCs w:val="21"/>
                <w:highlight w:val="none"/>
                <w:lang w:val="en-US" w:eastAsia="zh-CN"/>
              </w:rPr>
              <w:t>屋顶设置防雨设施，采用彩钢顶棚</w:t>
            </w:r>
            <w:r>
              <w:rPr>
                <w:rFonts w:hint="default" w:ascii="Times New Roman" w:hAnsi="Times New Roman" w:eastAsia="宋体" w:cs="Times New Roman"/>
                <w:color w:val="0000FF"/>
                <w:sz w:val="21"/>
                <w:szCs w:val="21"/>
                <w:highlight w:val="none"/>
                <w:lang w:val="en-US" w:eastAsia="zh-CN"/>
              </w:rPr>
              <w:t>；四周</w:t>
            </w:r>
            <w:r>
              <w:rPr>
                <w:rFonts w:hint="default" w:ascii="Times New Roman" w:hAnsi="Times New Roman" w:eastAsia="宋体" w:cs="Times New Roman"/>
                <w:color w:val="auto"/>
                <w:sz w:val="21"/>
                <w:szCs w:val="21"/>
                <w:highlight w:val="none"/>
              </w:rPr>
              <w:t>设置挡水墙（坡道）及导流渠</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可防止降雨</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的进入。</w:t>
            </w:r>
          </w:p>
        </w:tc>
        <w:tc>
          <w:tcPr>
            <w:tcW w:w="673" w:type="dxa"/>
            <w:tcBorders>
              <w:top w:val="single" w:color="auto" w:sz="4" w:space="0"/>
              <w:left w:val="single" w:color="auto" w:sz="4" w:space="0"/>
              <w:bottom w:val="single" w:color="auto" w:sz="4" w:space="0"/>
              <w:right w:val="single" w:color="auto" w:sz="4" w:space="0"/>
            </w:tcBorders>
            <w:vAlign w:val="center"/>
          </w:tcPr>
          <w:p w14:paraId="77DBB68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06D22C0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01" w:type="dxa"/>
            <w:vMerge w:val="continue"/>
            <w:tcBorders>
              <w:top w:val="single" w:color="auto" w:sz="4" w:space="0"/>
              <w:left w:val="single" w:color="auto" w:sz="4" w:space="0"/>
              <w:bottom w:val="single" w:color="auto" w:sz="4" w:space="0"/>
              <w:right w:val="single" w:color="auto" w:sz="4" w:space="0"/>
            </w:tcBorders>
            <w:vAlign w:val="center"/>
          </w:tcPr>
          <w:p w14:paraId="4938B5B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14:paraId="24A857B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污水的处理</w:t>
            </w:r>
          </w:p>
        </w:tc>
        <w:tc>
          <w:tcPr>
            <w:tcW w:w="6237" w:type="dxa"/>
            <w:tcBorders>
              <w:top w:val="single" w:color="auto" w:sz="4" w:space="0"/>
              <w:left w:val="single" w:color="auto" w:sz="4" w:space="0"/>
              <w:bottom w:val="single" w:color="auto" w:sz="4" w:space="0"/>
              <w:right w:val="single" w:color="auto" w:sz="4" w:space="0"/>
            </w:tcBorders>
            <w:vAlign w:val="center"/>
          </w:tcPr>
          <w:p w14:paraId="525466E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畜禽养殖过程中产生的污水应坚持种养结合的原则，经无害化处理后尽量充分还田，实现污水资源化利用。</w:t>
            </w:r>
          </w:p>
        </w:tc>
        <w:tc>
          <w:tcPr>
            <w:tcW w:w="5386" w:type="dxa"/>
            <w:tcBorders>
              <w:top w:val="single" w:color="auto" w:sz="4" w:space="0"/>
              <w:left w:val="single" w:color="auto" w:sz="4" w:space="0"/>
              <w:bottom w:val="single" w:color="auto" w:sz="4" w:space="0"/>
              <w:right w:val="single" w:color="auto" w:sz="4" w:space="0"/>
            </w:tcBorders>
            <w:vAlign w:val="center"/>
          </w:tcPr>
          <w:p w14:paraId="608D3A9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养殖废水主要为牛舍内收集的牛尿，本项目为肉牛养殖场项目，肉牛饮用水量较少，尿液排放量较少，在养殖区（牛舍、运动场）排放的尿液大部分由于当地气候干燥蒸发，剩余尿液与粪便完全黏结混合在一起，一起运往粪污处理池储存并堆肥，因此，没有尿液排放。</w:t>
            </w:r>
          </w:p>
          <w:p w14:paraId="02D782F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养殖区（牛舍、运动场）场地不采取水冲洗方式清理，采用生石灰或者消毒水每周喷洒消毒2～3次，因此，养殖区（牛舍、运动场）不产生冲洗废水。</w:t>
            </w:r>
          </w:p>
        </w:tc>
        <w:tc>
          <w:tcPr>
            <w:tcW w:w="673" w:type="dxa"/>
            <w:tcBorders>
              <w:top w:val="single" w:color="auto" w:sz="4" w:space="0"/>
              <w:left w:val="single" w:color="auto" w:sz="4" w:space="0"/>
              <w:bottom w:val="single" w:color="auto" w:sz="4" w:space="0"/>
              <w:right w:val="single" w:color="auto" w:sz="4" w:space="0"/>
            </w:tcBorders>
            <w:vAlign w:val="center"/>
          </w:tcPr>
          <w:p w14:paraId="239D590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417993C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01" w:type="dxa"/>
            <w:vMerge w:val="continue"/>
            <w:tcBorders>
              <w:top w:val="single" w:color="auto" w:sz="4" w:space="0"/>
              <w:left w:val="single" w:color="auto" w:sz="4" w:space="0"/>
              <w:bottom w:val="single" w:color="auto" w:sz="4" w:space="0"/>
              <w:right w:val="single" w:color="auto" w:sz="4" w:space="0"/>
            </w:tcBorders>
            <w:vAlign w:val="center"/>
          </w:tcPr>
          <w:p w14:paraId="4A00CA7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14:paraId="09E42FD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固体粪肥的处理利用</w:t>
            </w:r>
          </w:p>
        </w:tc>
        <w:tc>
          <w:tcPr>
            <w:tcW w:w="6237" w:type="dxa"/>
            <w:tcBorders>
              <w:top w:val="single" w:color="auto" w:sz="4" w:space="0"/>
              <w:left w:val="single" w:color="auto" w:sz="4" w:space="0"/>
              <w:bottom w:val="single" w:color="auto" w:sz="4" w:space="0"/>
              <w:right w:val="single" w:color="auto" w:sz="4" w:space="0"/>
            </w:tcBorders>
            <w:vAlign w:val="center"/>
          </w:tcPr>
          <w:p w14:paraId="1A30A8B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①畜禽粪便必须经过无害化处理，并且须符合《粪便无害化卫生标准》后，才能进行土地利用，禁止未经处理的畜禽粪便直接施入农田。</w:t>
            </w:r>
          </w:p>
          <w:p w14:paraId="74F89BD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经过处理的粪便作为土地的肥料或土壤调节剂来满足作物生长的需要，其用量不能超过作物当年生长所需养分的需求量。在确定粪肥的最佳使用量时需要对土壤肥力和粪肥肥效进行测试评价，并应符合当地环境容量的要求。</w:t>
            </w:r>
          </w:p>
          <w:p w14:paraId="4C865C6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③对高降雨区、坡地及沙质容易产生径流和渗透性较强的土壤，不适宜施用粪肥或粪肥使用量过高易使粪肥流失引起地表水或地下水污染时，应禁止或暂停使用粪肥。</w:t>
            </w:r>
          </w:p>
        </w:tc>
        <w:tc>
          <w:tcPr>
            <w:tcW w:w="5386" w:type="dxa"/>
            <w:tcBorders>
              <w:top w:val="single" w:color="auto" w:sz="4" w:space="0"/>
              <w:left w:val="single" w:color="auto" w:sz="4" w:space="0"/>
              <w:bottom w:val="single" w:color="auto" w:sz="4" w:space="0"/>
              <w:right w:val="single" w:color="auto" w:sz="4" w:space="0"/>
            </w:tcBorders>
            <w:vAlign w:val="center"/>
          </w:tcPr>
          <w:p w14:paraId="32A1E62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①本项目</w:t>
            </w:r>
            <w:r>
              <w:rPr>
                <w:rFonts w:hint="default" w:ascii="Times New Roman" w:hAnsi="Times New Roman" w:eastAsia="宋体" w:cs="Times New Roman"/>
                <w:color w:val="auto"/>
                <w:sz w:val="21"/>
                <w:szCs w:val="21"/>
                <w:highlight w:val="none"/>
                <w:lang w:eastAsia="zh-CN"/>
              </w:rPr>
              <w:t>牛粪便经</w:t>
            </w:r>
            <w:r>
              <w:rPr>
                <w:rFonts w:hint="default" w:ascii="Times New Roman" w:hAnsi="Times New Roman" w:eastAsia="宋体" w:cs="Times New Roman"/>
                <w:color w:val="auto"/>
                <w:sz w:val="21"/>
                <w:szCs w:val="21"/>
                <w:highlight w:val="none"/>
                <w:lang w:val="en-US" w:eastAsia="zh-CN"/>
              </w:rPr>
              <w:t>粪污处理池储存并堆肥</w:t>
            </w:r>
            <w:r>
              <w:rPr>
                <w:rFonts w:hint="default" w:ascii="Times New Roman" w:hAnsi="Times New Roman" w:eastAsia="宋体" w:cs="Times New Roman"/>
                <w:color w:val="auto"/>
                <w:sz w:val="21"/>
                <w:szCs w:val="21"/>
                <w:highlight w:val="none"/>
                <w:lang w:eastAsia="zh-CN"/>
              </w:rPr>
              <w:t>后，</w:t>
            </w:r>
            <w:r>
              <w:rPr>
                <w:rFonts w:hint="default" w:ascii="Times New Roman" w:hAnsi="Times New Roman" w:eastAsia="宋体" w:cs="Times New Roman"/>
                <w:color w:val="auto"/>
                <w:sz w:val="21"/>
                <w:szCs w:val="21"/>
                <w:highlight w:val="none"/>
                <w:lang w:val="en-US" w:eastAsia="zh-CN"/>
              </w:rPr>
              <w:t>满足</w:t>
            </w:r>
            <w:r>
              <w:rPr>
                <w:rFonts w:hint="default" w:ascii="Times New Roman" w:hAnsi="Times New Roman" w:eastAsia="宋体" w:cs="Times New Roman"/>
                <w:color w:val="auto"/>
                <w:sz w:val="21"/>
                <w:szCs w:val="21"/>
                <w:highlight w:val="none"/>
              </w:rPr>
              <w:t>《粪便无害化卫生标准》</w:t>
            </w:r>
            <w:r>
              <w:rPr>
                <w:rFonts w:hint="default" w:ascii="Times New Roman" w:hAnsi="Times New Roman" w:eastAsia="宋体" w:cs="Times New Roman"/>
                <w:color w:val="auto"/>
                <w:sz w:val="21"/>
                <w:szCs w:val="21"/>
                <w:highlight w:val="none"/>
                <w:lang w:val="en-US" w:eastAsia="zh-CN"/>
              </w:rPr>
              <w:t>的要求</w:t>
            </w:r>
            <w:r>
              <w:rPr>
                <w:rFonts w:hint="default" w:ascii="Times New Roman" w:hAnsi="Times New Roman" w:eastAsia="宋体" w:cs="Times New Roman"/>
                <w:color w:val="auto"/>
                <w:sz w:val="21"/>
                <w:szCs w:val="21"/>
                <w:highlight w:val="none"/>
                <w:lang w:eastAsia="zh-CN"/>
              </w:rPr>
              <w:t>作为有机肥还田利用。</w:t>
            </w:r>
          </w:p>
          <w:p w14:paraId="4B65F7B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②项目</w:t>
            </w:r>
            <w:r>
              <w:rPr>
                <w:rFonts w:hint="default" w:ascii="Times New Roman" w:hAnsi="Times New Roman" w:eastAsia="宋体" w:cs="Times New Roman"/>
                <w:color w:val="auto"/>
                <w:sz w:val="21"/>
                <w:szCs w:val="21"/>
                <w:highlight w:val="none"/>
                <w:lang w:eastAsia="zh-CN"/>
              </w:rPr>
              <w:t>牛粪便</w:t>
            </w:r>
            <w:r>
              <w:rPr>
                <w:rFonts w:hint="default" w:ascii="Times New Roman" w:hAnsi="Times New Roman" w:eastAsia="宋体" w:cs="Times New Roman"/>
                <w:color w:val="auto"/>
                <w:sz w:val="21"/>
                <w:szCs w:val="21"/>
                <w:highlight w:val="none"/>
              </w:rPr>
              <w:t>经</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个月好氧堆肥无害化处理后符合《粪便无害化卫生标准》后用于</w:t>
            </w:r>
            <w:r>
              <w:rPr>
                <w:rFonts w:hint="default" w:ascii="Times New Roman" w:hAnsi="Times New Roman" w:eastAsia="宋体" w:cs="Times New Roman"/>
                <w:color w:val="auto"/>
                <w:sz w:val="21"/>
                <w:szCs w:val="21"/>
                <w:highlight w:val="none"/>
                <w:lang w:eastAsia="zh-CN"/>
              </w:rPr>
              <w:t>周边农田</w:t>
            </w:r>
            <w:r>
              <w:rPr>
                <w:rFonts w:hint="default" w:ascii="Times New Roman" w:hAnsi="Times New Roman" w:eastAsia="宋体" w:cs="Times New Roman"/>
                <w:color w:val="auto"/>
                <w:sz w:val="21"/>
                <w:szCs w:val="21"/>
                <w:highlight w:val="none"/>
              </w:rPr>
              <w:t>还田，用量不超过作物当年生长所需养分的需求量，并符合当地环境容量的要求；</w:t>
            </w:r>
          </w:p>
          <w:p w14:paraId="621B0E2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③项目周边消纳土地不属于高降雨区、坡地及沙质容易产生径流的土壤。</w:t>
            </w:r>
          </w:p>
        </w:tc>
        <w:tc>
          <w:tcPr>
            <w:tcW w:w="673" w:type="dxa"/>
            <w:tcBorders>
              <w:top w:val="single" w:color="auto" w:sz="4" w:space="0"/>
              <w:left w:val="single" w:color="auto" w:sz="4" w:space="0"/>
              <w:bottom w:val="single" w:color="auto" w:sz="4" w:space="0"/>
              <w:right w:val="single" w:color="auto" w:sz="4" w:space="0"/>
            </w:tcBorders>
            <w:vAlign w:val="center"/>
          </w:tcPr>
          <w:p w14:paraId="054AE1F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3F8B1BE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01" w:type="dxa"/>
            <w:vMerge w:val="continue"/>
            <w:tcBorders>
              <w:top w:val="single" w:color="auto" w:sz="4" w:space="0"/>
              <w:left w:val="single" w:color="auto" w:sz="4" w:space="0"/>
              <w:bottom w:val="single" w:color="auto" w:sz="4" w:space="0"/>
              <w:right w:val="single" w:color="auto" w:sz="4" w:space="0"/>
            </w:tcBorders>
            <w:vAlign w:val="center"/>
          </w:tcPr>
          <w:p w14:paraId="122F616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14:paraId="54FD4E3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饲料和饲养管理</w:t>
            </w:r>
          </w:p>
        </w:tc>
        <w:tc>
          <w:tcPr>
            <w:tcW w:w="6237" w:type="dxa"/>
            <w:tcBorders>
              <w:top w:val="single" w:color="auto" w:sz="4" w:space="0"/>
              <w:left w:val="single" w:color="auto" w:sz="4" w:space="0"/>
              <w:bottom w:val="single" w:color="auto" w:sz="4" w:space="0"/>
              <w:right w:val="single" w:color="auto" w:sz="4" w:space="0"/>
            </w:tcBorders>
            <w:vAlign w:val="center"/>
          </w:tcPr>
          <w:p w14:paraId="5B8DAA3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①畜禽养殖饲料应采用合理配方，如理想蛋白质体系配等，提高蛋白质</w:t>
            </w:r>
            <w:r>
              <w:rPr>
                <w:rFonts w:hint="default" w:ascii="Times New Roman" w:hAnsi="Times New Roman" w:eastAsia="宋体" w:cs="Times New Roman"/>
                <w:color w:val="auto"/>
                <w:sz w:val="21"/>
                <w:szCs w:val="21"/>
                <w:highlight w:val="none"/>
                <w:lang w:eastAsia="zh-CN"/>
              </w:rPr>
              <w:t>及其他</w:t>
            </w:r>
            <w:r>
              <w:rPr>
                <w:rFonts w:hint="default" w:ascii="Times New Roman" w:hAnsi="Times New Roman" w:eastAsia="宋体" w:cs="Times New Roman"/>
                <w:color w:val="auto"/>
                <w:sz w:val="21"/>
                <w:szCs w:val="21"/>
                <w:highlight w:val="none"/>
              </w:rPr>
              <w:t>营养的吸收效率，减少氮的排放量和粪的生产量。</w:t>
            </w:r>
          </w:p>
          <w:p w14:paraId="2060C52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②提倡使用微生物制剂、酶制剂和植物提取液等活性物质，减少污染物排放和恶臭气体的产生。</w:t>
            </w:r>
          </w:p>
          <w:p w14:paraId="6C24200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③养殖场场区、畜禽舍、器械等消毒应采用环境友好的消毒剂和消毒措施</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包括紫外线、臭氧、双氧水等方法</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，防止产生氯代有机物</w:t>
            </w:r>
            <w:r>
              <w:rPr>
                <w:rFonts w:hint="default" w:ascii="Times New Roman" w:hAnsi="Times New Roman" w:eastAsia="宋体" w:cs="Times New Roman"/>
                <w:color w:val="auto"/>
                <w:sz w:val="21"/>
                <w:szCs w:val="21"/>
                <w:highlight w:val="none"/>
                <w:lang w:eastAsia="zh-CN"/>
              </w:rPr>
              <w:t>及其他的</w:t>
            </w:r>
            <w:r>
              <w:rPr>
                <w:rFonts w:hint="default" w:ascii="Times New Roman" w:hAnsi="Times New Roman" w:eastAsia="宋体" w:cs="Times New Roman"/>
                <w:color w:val="auto"/>
                <w:sz w:val="21"/>
                <w:szCs w:val="21"/>
                <w:highlight w:val="none"/>
              </w:rPr>
              <w:t>二次污染物。</w:t>
            </w:r>
          </w:p>
        </w:tc>
        <w:tc>
          <w:tcPr>
            <w:tcW w:w="5386" w:type="dxa"/>
            <w:tcBorders>
              <w:top w:val="single" w:color="auto" w:sz="4" w:space="0"/>
              <w:left w:val="single" w:color="auto" w:sz="4" w:space="0"/>
              <w:bottom w:val="single" w:color="auto" w:sz="4" w:space="0"/>
              <w:right w:val="single" w:color="auto" w:sz="4" w:space="0"/>
            </w:tcBorders>
            <w:vAlign w:val="center"/>
          </w:tcPr>
          <w:p w14:paraId="5B129BC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①项目采取科学的饲养方式，饲料中添加EM制剂，减少氮的排放量和粪的生产量，减少污染物排放和恶臭气体的产生。</w:t>
            </w:r>
          </w:p>
          <w:p w14:paraId="705B255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②</w:t>
            </w:r>
            <w:r>
              <w:rPr>
                <w:rFonts w:hint="default" w:ascii="Times New Roman" w:hAnsi="Times New Roman" w:eastAsia="宋体" w:cs="Times New Roman"/>
                <w:color w:val="auto"/>
                <w:sz w:val="21"/>
                <w:szCs w:val="21"/>
                <w:highlight w:val="none"/>
                <w:lang w:val="en-US" w:eastAsia="zh-CN"/>
              </w:rPr>
              <w:t>本项目</w:t>
            </w:r>
            <w:r>
              <w:rPr>
                <w:rFonts w:hint="default" w:ascii="Times New Roman" w:hAnsi="Times New Roman" w:eastAsia="宋体" w:cs="Times New Roman"/>
                <w:color w:val="auto"/>
                <w:kern w:val="0"/>
                <w:sz w:val="21"/>
                <w:szCs w:val="21"/>
                <w:highlight w:val="none"/>
              </w:rPr>
              <w:t>定期喷洒除臭剂，可减少臭气的产生</w:t>
            </w:r>
            <w:r>
              <w:rPr>
                <w:rFonts w:hint="default" w:ascii="Times New Roman" w:hAnsi="Times New Roman" w:eastAsia="宋体" w:cs="Times New Roman"/>
                <w:color w:val="auto"/>
                <w:sz w:val="21"/>
                <w:szCs w:val="21"/>
                <w:highlight w:val="none"/>
                <w:lang w:eastAsia="zh-CN"/>
              </w:rPr>
              <w:t>。</w:t>
            </w:r>
          </w:p>
          <w:p w14:paraId="51A762D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③本项目进入</w:t>
            </w:r>
            <w:r>
              <w:rPr>
                <w:rFonts w:hint="default" w:ascii="Times New Roman" w:hAnsi="Times New Roman" w:eastAsia="宋体" w:cs="Times New Roman"/>
                <w:color w:val="auto"/>
                <w:sz w:val="21"/>
                <w:szCs w:val="21"/>
                <w:highlight w:val="none"/>
                <w:lang w:eastAsia="zh-CN"/>
              </w:rPr>
              <w:t>养殖场时需要进行</w:t>
            </w:r>
            <w:r>
              <w:rPr>
                <w:rFonts w:hint="default" w:ascii="Times New Roman" w:hAnsi="Times New Roman" w:eastAsia="宋体" w:cs="Times New Roman"/>
                <w:color w:val="auto"/>
                <w:sz w:val="21"/>
                <w:szCs w:val="21"/>
                <w:highlight w:val="none"/>
              </w:rPr>
              <w:t>消毒，消毒剂主要有</w:t>
            </w:r>
            <w:r>
              <w:rPr>
                <w:rFonts w:hint="default" w:ascii="Times New Roman" w:hAnsi="Times New Roman" w:eastAsia="宋体" w:cs="Times New Roman"/>
                <w:color w:val="auto"/>
                <w:sz w:val="21"/>
                <w:szCs w:val="21"/>
                <w:highlight w:val="none"/>
                <w:lang w:eastAsia="zh-CN"/>
              </w:rPr>
              <w:t>消毒液</w:t>
            </w:r>
            <w:r>
              <w:rPr>
                <w:rFonts w:hint="default" w:ascii="Times New Roman" w:hAnsi="Times New Roman" w:eastAsia="宋体" w:cs="Times New Roman"/>
                <w:color w:val="auto"/>
                <w:sz w:val="21"/>
                <w:szCs w:val="21"/>
                <w:highlight w:val="none"/>
              </w:rPr>
              <w:t>等，不会产生氯代有机物</w:t>
            </w:r>
            <w:r>
              <w:rPr>
                <w:rFonts w:hint="default" w:ascii="Times New Roman" w:hAnsi="Times New Roman" w:eastAsia="宋体" w:cs="Times New Roman"/>
                <w:color w:val="auto"/>
                <w:sz w:val="21"/>
                <w:szCs w:val="21"/>
                <w:highlight w:val="none"/>
                <w:lang w:eastAsia="zh-CN"/>
              </w:rPr>
              <w:t>及其他的</w:t>
            </w:r>
            <w:r>
              <w:rPr>
                <w:rFonts w:hint="default" w:ascii="Times New Roman" w:hAnsi="Times New Roman" w:eastAsia="宋体" w:cs="Times New Roman"/>
                <w:color w:val="auto"/>
                <w:sz w:val="21"/>
                <w:szCs w:val="21"/>
                <w:highlight w:val="none"/>
              </w:rPr>
              <w:t>二次污染物。</w:t>
            </w:r>
          </w:p>
        </w:tc>
        <w:tc>
          <w:tcPr>
            <w:tcW w:w="673" w:type="dxa"/>
            <w:tcBorders>
              <w:top w:val="single" w:color="auto" w:sz="4" w:space="0"/>
              <w:left w:val="single" w:color="auto" w:sz="4" w:space="0"/>
              <w:bottom w:val="single" w:color="auto" w:sz="4" w:space="0"/>
              <w:right w:val="single" w:color="auto" w:sz="4" w:space="0"/>
            </w:tcBorders>
            <w:vAlign w:val="center"/>
          </w:tcPr>
          <w:p w14:paraId="4689D71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1A96631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01" w:type="dxa"/>
            <w:vMerge w:val="continue"/>
            <w:tcBorders>
              <w:top w:val="single" w:color="auto" w:sz="4" w:space="0"/>
              <w:left w:val="single" w:color="auto" w:sz="4" w:space="0"/>
              <w:bottom w:val="single" w:color="auto" w:sz="4" w:space="0"/>
              <w:right w:val="single" w:color="auto" w:sz="4" w:space="0"/>
            </w:tcBorders>
            <w:vAlign w:val="center"/>
          </w:tcPr>
          <w:p w14:paraId="457EA79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14:paraId="5646C50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病死畜禽尸体的处理和处置</w:t>
            </w:r>
          </w:p>
        </w:tc>
        <w:tc>
          <w:tcPr>
            <w:tcW w:w="6237" w:type="dxa"/>
            <w:tcBorders>
              <w:top w:val="single" w:color="auto" w:sz="4" w:space="0"/>
              <w:left w:val="single" w:color="auto" w:sz="4" w:space="0"/>
              <w:bottom w:val="single" w:color="auto" w:sz="4" w:space="0"/>
              <w:right w:val="single" w:color="auto" w:sz="4" w:space="0"/>
            </w:tcBorders>
            <w:vAlign w:val="center"/>
          </w:tcPr>
          <w:p w14:paraId="78E2C39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病死畜禽尸体要及时处理，严禁随意丢弃，严禁出售或作为饲料再利用。</w:t>
            </w:r>
          </w:p>
        </w:tc>
        <w:tc>
          <w:tcPr>
            <w:tcW w:w="5386" w:type="dxa"/>
            <w:tcBorders>
              <w:top w:val="single" w:color="auto" w:sz="4" w:space="0"/>
              <w:left w:val="single" w:color="auto" w:sz="4" w:space="0"/>
              <w:bottom w:val="single" w:color="auto" w:sz="4" w:space="0"/>
              <w:right w:val="single" w:color="auto" w:sz="4" w:space="0"/>
            </w:tcBorders>
            <w:vAlign w:val="center"/>
          </w:tcPr>
          <w:p w14:paraId="45D7FAB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项目病死畜禽尸体不随意丢弃，不出售或作为饲料再利用，产生后及时</w:t>
            </w:r>
            <w:r>
              <w:rPr>
                <w:rFonts w:hint="default" w:ascii="Times New Roman" w:hAnsi="Times New Roman" w:eastAsia="宋体" w:cs="Times New Roman"/>
                <w:color w:val="0000FF"/>
                <w:sz w:val="21"/>
                <w:szCs w:val="21"/>
                <w:highlight w:val="none"/>
                <w:lang w:val="en-US" w:eastAsia="zh-CN"/>
              </w:rPr>
              <w:t>暂存于冷藏间内</w:t>
            </w:r>
            <w:r>
              <w:rPr>
                <w:rFonts w:hint="default" w:ascii="Times New Roman" w:hAnsi="Times New Roman" w:eastAsia="宋体" w:cs="Times New Roman"/>
                <w:color w:val="auto"/>
                <w:sz w:val="21"/>
                <w:szCs w:val="21"/>
                <w:highlight w:val="none"/>
              </w:rPr>
              <w:t>，交由巴彦淖尔市绿之源生物技术发展有限公司进行无害化处理</w:t>
            </w:r>
            <w:r>
              <w:rPr>
                <w:rFonts w:hint="default" w:ascii="Times New Roman" w:hAnsi="Times New Roman" w:eastAsia="宋体" w:cs="Times New Roman"/>
                <w:color w:val="auto"/>
                <w:sz w:val="21"/>
                <w:szCs w:val="21"/>
                <w:highlight w:val="none"/>
                <w:lang w:eastAsia="zh-CN"/>
              </w:rPr>
              <w:t>。</w:t>
            </w:r>
          </w:p>
        </w:tc>
        <w:tc>
          <w:tcPr>
            <w:tcW w:w="673" w:type="dxa"/>
            <w:tcBorders>
              <w:top w:val="single" w:color="auto" w:sz="4" w:space="0"/>
              <w:left w:val="single" w:color="auto" w:sz="4" w:space="0"/>
              <w:bottom w:val="single" w:color="auto" w:sz="4" w:space="0"/>
              <w:right w:val="single" w:color="auto" w:sz="4" w:space="0"/>
            </w:tcBorders>
            <w:vAlign w:val="center"/>
          </w:tcPr>
          <w:p w14:paraId="5583E49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4B2EE2B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01" w:type="dxa"/>
            <w:vMerge w:val="continue"/>
            <w:tcBorders>
              <w:top w:val="single" w:color="auto" w:sz="4" w:space="0"/>
              <w:left w:val="single" w:color="auto" w:sz="4" w:space="0"/>
              <w:bottom w:val="single" w:color="auto" w:sz="4" w:space="0"/>
              <w:right w:val="single" w:color="auto" w:sz="4" w:space="0"/>
            </w:tcBorders>
            <w:vAlign w:val="center"/>
          </w:tcPr>
          <w:p w14:paraId="5DA046F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14:paraId="3579E46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w:t>
            </w:r>
          </w:p>
        </w:tc>
        <w:tc>
          <w:tcPr>
            <w:tcW w:w="6237" w:type="dxa"/>
            <w:tcBorders>
              <w:top w:val="single" w:color="auto" w:sz="4" w:space="0"/>
              <w:left w:val="single" w:color="auto" w:sz="4" w:space="0"/>
              <w:bottom w:val="single" w:color="auto" w:sz="4" w:space="0"/>
              <w:right w:val="single" w:color="auto" w:sz="4" w:space="0"/>
            </w:tcBorders>
            <w:vAlign w:val="center"/>
          </w:tcPr>
          <w:p w14:paraId="38F87BE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养殖场防疫、化验等产生的危险废水和固体废弃物应按国家的有关规定进行处理。</w:t>
            </w:r>
          </w:p>
        </w:tc>
        <w:tc>
          <w:tcPr>
            <w:tcW w:w="5386" w:type="dxa"/>
            <w:tcBorders>
              <w:top w:val="single" w:color="auto" w:sz="4" w:space="0"/>
              <w:left w:val="single" w:color="auto" w:sz="4" w:space="0"/>
              <w:bottom w:val="single" w:color="auto" w:sz="4" w:space="0"/>
              <w:right w:val="single" w:color="auto" w:sz="4" w:space="0"/>
            </w:tcBorders>
            <w:vAlign w:val="center"/>
          </w:tcPr>
          <w:p w14:paraId="35CB81D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项目场址内设</w:t>
            </w:r>
            <w:r>
              <w:rPr>
                <w:rFonts w:hint="default" w:ascii="Times New Roman" w:hAnsi="Times New Roman" w:eastAsia="宋体" w:cs="Times New Roman"/>
                <w:color w:val="auto"/>
                <w:sz w:val="21"/>
                <w:szCs w:val="21"/>
                <w:highlight w:val="none"/>
                <w:lang w:eastAsia="zh-CN"/>
              </w:rPr>
              <w:t>有</w:t>
            </w:r>
            <w:r>
              <w:rPr>
                <w:rFonts w:hint="default" w:ascii="Times New Roman" w:hAnsi="Times New Roman" w:eastAsia="宋体" w:cs="Times New Roman"/>
                <w:color w:val="auto"/>
                <w:sz w:val="21"/>
                <w:szCs w:val="21"/>
                <w:highlight w:val="none"/>
              </w:rPr>
              <w:t>危废暂存间，产生的</w:t>
            </w:r>
            <w:r>
              <w:rPr>
                <w:rFonts w:hint="default" w:ascii="Times New Roman" w:hAnsi="Times New Roman" w:eastAsia="宋体" w:cs="Times New Roman"/>
                <w:color w:val="auto"/>
                <w:sz w:val="21"/>
                <w:szCs w:val="21"/>
                <w:highlight w:val="none"/>
                <w:lang w:eastAsia="zh-CN"/>
              </w:rPr>
              <w:t>医疗垃圾</w:t>
            </w:r>
            <w:r>
              <w:rPr>
                <w:rFonts w:hint="default" w:ascii="Times New Roman" w:hAnsi="Times New Roman" w:eastAsia="宋体" w:cs="Times New Roman"/>
                <w:color w:val="auto"/>
                <w:sz w:val="21"/>
                <w:szCs w:val="21"/>
                <w:highlight w:val="none"/>
              </w:rPr>
              <w:t>暂存后</w:t>
            </w:r>
            <w:r>
              <w:rPr>
                <w:rFonts w:hint="default" w:ascii="Times New Roman" w:hAnsi="Times New Roman" w:eastAsia="宋体" w:cs="Times New Roman"/>
                <w:color w:val="auto"/>
                <w:sz w:val="21"/>
                <w:szCs w:val="21"/>
                <w:highlight w:val="none"/>
                <w:lang w:val="en-US" w:eastAsia="zh-CN"/>
              </w:rPr>
              <w:t>委托</w:t>
            </w:r>
            <w:r>
              <w:rPr>
                <w:rFonts w:hint="default" w:ascii="Times New Roman" w:hAnsi="Times New Roman" w:eastAsia="宋体" w:cs="Times New Roman"/>
                <w:color w:val="auto"/>
                <w:sz w:val="21"/>
                <w:szCs w:val="21"/>
                <w:highlight w:val="none"/>
              </w:rPr>
              <w:t>有资质单位处理，养殖场不单独处理该类固体废物。</w:t>
            </w:r>
          </w:p>
        </w:tc>
        <w:tc>
          <w:tcPr>
            <w:tcW w:w="673" w:type="dxa"/>
            <w:tcBorders>
              <w:top w:val="single" w:color="auto" w:sz="4" w:space="0"/>
              <w:left w:val="single" w:color="auto" w:sz="4" w:space="0"/>
              <w:bottom w:val="single" w:color="auto" w:sz="4" w:space="0"/>
              <w:right w:val="single" w:color="auto" w:sz="4" w:space="0"/>
            </w:tcBorders>
            <w:vAlign w:val="center"/>
          </w:tcPr>
          <w:p w14:paraId="5AEF8A7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2B08317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093" w:type="dxa"/>
            <w:gridSpan w:val="2"/>
            <w:vMerge w:val="restart"/>
            <w:tcBorders>
              <w:top w:val="single" w:color="auto" w:sz="4" w:space="0"/>
              <w:left w:val="single" w:color="auto" w:sz="4" w:space="0"/>
              <w:bottom w:val="single" w:color="auto" w:sz="4" w:space="0"/>
              <w:right w:val="single" w:color="auto" w:sz="4" w:space="0"/>
            </w:tcBorders>
            <w:vAlign w:val="center"/>
          </w:tcPr>
          <w:p w14:paraId="68F6FC4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《畜禽规模化养殖场资源化利用设施建设规范（试行）》（农办牧</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2018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2号）</w:t>
            </w:r>
          </w:p>
        </w:tc>
        <w:tc>
          <w:tcPr>
            <w:tcW w:w="6237" w:type="dxa"/>
            <w:tcBorders>
              <w:top w:val="single" w:color="auto" w:sz="4" w:space="0"/>
              <w:left w:val="single" w:color="auto" w:sz="4" w:space="0"/>
              <w:bottom w:val="single" w:color="auto" w:sz="4" w:space="0"/>
              <w:right w:val="single" w:color="auto" w:sz="4" w:space="0"/>
            </w:tcBorders>
            <w:vAlign w:val="center"/>
          </w:tcPr>
          <w:p w14:paraId="77AA53E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畜禽规模养殖场粪污资源化利用应坚持农牧结合、种养平衡，按照资源化、减量化、无害化的原则，对源头减量、过程控制和末端利用各环节进行全程管理，提高粪污综合利用率和设施装备配套率。</w:t>
            </w:r>
          </w:p>
        </w:tc>
        <w:tc>
          <w:tcPr>
            <w:tcW w:w="5386" w:type="dxa"/>
            <w:tcBorders>
              <w:top w:val="single" w:color="auto" w:sz="4" w:space="0"/>
              <w:left w:val="single" w:color="auto" w:sz="4" w:space="0"/>
              <w:bottom w:val="single" w:color="auto" w:sz="4" w:space="0"/>
              <w:right w:val="single" w:color="auto" w:sz="4" w:space="0"/>
            </w:tcBorders>
            <w:vAlign w:val="center"/>
          </w:tcPr>
          <w:p w14:paraId="06CF63C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w:t>
            </w:r>
            <w:r>
              <w:rPr>
                <w:rFonts w:hint="default" w:ascii="Times New Roman" w:hAnsi="Times New Roman" w:eastAsia="宋体" w:cs="Times New Roman"/>
                <w:color w:val="auto"/>
                <w:sz w:val="21"/>
                <w:szCs w:val="21"/>
                <w:highlight w:val="none"/>
                <w:lang w:eastAsia="zh-CN"/>
              </w:rPr>
              <w:t>牛粪便</w:t>
            </w:r>
            <w:r>
              <w:rPr>
                <w:rFonts w:hint="default" w:ascii="Times New Roman" w:hAnsi="Times New Roman" w:eastAsia="宋体" w:cs="Times New Roman"/>
                <w:color w:val="auto"/>
                <w:sz w:val="21"/>
                <w:szCs w:val="21"/>
                <w:highlight w:val="none"/>
              </w:rPr>
              <w:t>经</w:t>
            </w:r>
            <w:r>
              <w:rPr>
                <w:rFonts w:hint="default" w:ascii="Times New Roman" w:hAnsi="Times New Roman" w:eastAsia="宋体" w:cs="Times New Roman"/>
                <w:color w:val="auto"/>
                <w:sz w:val="21"/>
                <w:szCs w:val="21"/>
                <w:highlight w:val="none"/>
                <w:lang w:eastAsia="zh-CN"/>
              </w:rPr>
              <w:t>粪污处理池储存并堆肥</w:t>
            </w:r>
            <w:r>
              <w:rPr>
                <w:rFonts w:hint="default" w:ascii="Times New Roman" w:hAnsi="Times New Roman" w:eastAsia="宋体" w:cs="Times New Roman"/>
                <w:color w:val="auto"/>
                <w:sz w:val="21"/>
                <w:szCs w:val="21"/>
                <w:highlight w:val="none"/>
              </w:rPr>
              <w:t>后，作为有机肥还田利用。</w:t>
            </w:r>
          </w:p>
        </w:tc>
        <w:tc>
          <w:tcPr>
            <w:tcW w:w="673" w:type="dxa"/>
            <w:tcBorders>
              <w:top w:val="single" w:color="auto" w:sz="4" w:space="0"/>
              <w:left w:val="single" w:color="auto" w:sz="4" w:space="0"/>
              <w:bottom w:val="single" w:color="auto" w:sz="4" w:space="0"/>
              <w:right w:val="single" w:color="auto" w:sz="4" w:space="0"/>
            </w:tcBorders>
            <w:vAlign w:val="center"/>
          </w:tcPr>
          <w:p w14:paraId="24A8998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3960657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093" w:type="dxa"/>
            <w:gridSpan w:val="2"/>
            <w:vMerge w:val="continue"/>
            <w:tcBorders>
              <w:top w:val="single" w:color="auto" w:sz="4" w:space="0"/>
              <w:left w:val="single" w:color="auto" w:sz="4" w:space="0"/>
              <w:bottom w:val="single" w:color="auto" w:sz="4" w:space="0"/>
              <w:right w:val="single" w:color="auto" w:sz="4" w:space="0"/>
            </w:tcBorders>
            <w:vAlign w:val="center"/>
          </w:tcPr>
          <w:p w14:paraId="4942A9D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6237" w:type="dxa"/>
            <w:tcBorders>
              <w:top w:val="single" w:color="auto" w:sz="4" w:space="0"/>
              <w:left w:val="single" w:color="auto" w:sz="4" w:space="0"/>
              <w:bottom w:val="single" w:color="auto" w:sz="4" w:space="0"/>
              <w:right w:val="single" w:color="auto" w:sz="4" w:space="0"/>
            </w:tcBorders>
            <w:vAlign w:val="center"/>
          </w:tcPr>
          <w:p w14:paraId="4B79D6D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畜禽规模养殖场应根据养殖污染防治要求，建设与养殖规模相配套的粪污资源化利用设施设备，并确保正常运行。</w:t>
            </w:r>
          </w:p>
        </w:tc>
        <w:tc>
          <w:tcPr>
            <w:tcW w:w="5386" w:type="dxa"/>
            <w:tcBorders>
              <w:top w:val="single" w:color="auto" w:sz="4" w:space="0"/>
              <w:left w:val="single" w:color="auto" w:sz="4" w:space="0"/>
              <w:bottom w:val="single" w:color="auto" w:sz="4" w:space="0"/>
              <w:right w:val="single" w:color="auto" w:sz="4" w:space="0"/>
            </w:tcBorders>
            <w:vAlign w:val="center"/>
          </w:tcPr>
          <w:p w14:paraId="1CC8736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项目建设了与养殖规模相配套的粪污资源化利用设施设备，主要是</w:t>
            </w:r>
            <w:r>
              <w:rPr>
                <w:rFonts w:hint="default" w:ascii="Times New Roman" w:hAnsi="Times New Roman" w:eastAsia="宋体" w:cs="Times New Roman"/>
                <w:color w:val="auto"/>
                <w:sz w:val="21"/>
                <w:szCs w:val="21"/>
                <w:highlight w:val="none"/>
                <w:lang w:eastAsia="zh-CN"/>
              </w:rPr>
              <w:t>粪污处理池，可</w:t>
            </w:r>
            <w:r>
              <w:rPr>
                <w:rFonts w:hint="default" w:ascii="Times New Roman" w:hAnsi="Times New Roman" w:eastAsia="宋体" w:cs="Times New Roman"/>
                <w:color w:val="auto"/>
                <w:sz w:val="21"/>
                <w:szCs w:val="21"/>
                <w:highlight w:val="none"/>
              </w:rPr>
              <w:t>正常运行。</w:t>
            </w:r>
          </w:p>
        </w:tc>
        <w:tc>
          <w:tcPr>
            <w:tcW w:w="673" w:type="dxa"/>
            <w:tcBorders>
              <w:top w:val="single" w:color="auto" w:sz="4" w:space="0"/>
              <w:left w:val="single" w:color="auto" w:sz="4" w:space="0"/>
              <w:bottom w:val="single" w:color="auto" w:sz="4" w:space="0"/>
              <w:right w:val="single" w:color="auto" w:sz="4" w:space="0"/>
            </w:tcBorders>
            <w:vAlign w:val="center"/>
          </w:tcPr>
          <w:p w14:paraId="2D52619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216181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093" w:type="dxa"/>
            <w:gridSpan w:val="2"/>
            <w:vMerge w:val="continue"/>
            <w:tcBorders>
              <w:top w:val="single" w:color="auto" w:sz="4" w:space="0"/>
              <w:left w:val="single" w:color="auto" w:sz="4" w:space="0"/>
              <w:bottom w:val="single" w:color="auto" w:sz="4" w:space="0"/>
              <w:right w:val="single" w:color="auto" w:sz="4" w:space="0"/>
            </w:tcBorders>
            <w:vAlign w:val="center"/>
          </w:tcPr>
          <w:p w14:paraId="4A4AEAE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6237" w:type="dxa"/>
            <w:tcBorders>
              <w:top w:val="single" w:color="auto" w:sz="4" w:space="0"/>
              <w:left w:val="single" w:color="auto" w:sz="4" w:space="0"/>
              <w:bottom w:val="single" w:color="auto" w:sz="4" w:space="0"/>
              <w:right w:val="single" w:color="auto" w:sz="4" w:space="0"/>
            </w:tcBorders>
            <w:vAlign w:val="center"/>
          </w:tcPr>
          <w:p w14:paraId="7136600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畜禽规模养殖场应建设雨污分离设施，污水宜采用暗沟或管道输送。</w:t>
            </w:r>
          </w:p>
        </w:tc>
        <w:tc>
          <w:tcPr>
            <w:tcW w:w="5386" w:type="dxa"/>
            <w:tcBorders>
              <w:top w:val="single" w:color="auto" w:sz="4" w:space="0"/>
              <w:left w:val="single" w:color="auto" w:sz="4" w:space="0"/>
              <w:bottom w:val="single" w:color="auto" w:sz="4" w:space="0"/>
              <w:right w:val="single" w:color="auto" w:sz="4" w:space="0"/>
            </w:tcBorders>
            <w:vAlign w:val="center"/>
          </w:tcPr>
          <w:p w14:paraId="3C6F92A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养殖废水主要为牛舍内收集的牛尿，本项目为肉牛养殖场项目，肉牛饮用水量较少，尿液排放量较少，在养殖区（牛舍、运动场）排放的尿液大部分由于当地气候干燥蒸发，剩余尿液与粪便完全黏结混合在一起，一起运往粪污处理池储存并堆肥，因此，没有尿液排放。</w:t>
            </w:r>
          </w:p>
          <w:p w14:paraId="6CCF13C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养殖区（牛舍、运动场）场地不采取水冲洗方式清理，采用生石灰或者消毒水每周喷洒消毒2～3次，因此，养殖区（牛舍、运动场）不产生冲洗废水。</w:t>
            </w:r>
          </w:p>
        </w:tc>
        <w:tc>
          <w:tcPr>
            <w:tcW w:w="673" w:type="dxa"/>
            <w:tcBorders>
              <w:top w:val="single" w:color="auto" w:sz="4" w:space="0"/>
              <w:left w:val="single" w:color="auto" w:sz="4" w:space="0"/>
              <w:bottom w:val="single" w:color="auto" w:sz="4" w:space="0"/>
              <w:right w:val="single" w:color="auto" w:sz="4" w:space="0"/>
            </w:tcBorders>
            <w:vAlign w:val="center"/>
          </w:tcPr>
          <w:p w14:paraId="21822DB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71AD12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093" w:type="dxa"/>
            <w:gridSpan w:val="2"/>
            <w:vMerge w:val="continue"/>
            <w:tcBorders>
              <w:top w:val="single" w:color="auto" w:sz="4" w:space="0"/>
              <w:left w:val="single" w:color="auto" w:sz="4" w:space="0"/>
              <w:bottom w:val="single" w:color="auto" w:sz="4" w:space="0"/>
              <w:right w:val="single" w:color="auto" w:sz="4" w:space="0"/>
            </w:tcBorders>
            <w:vAlign w:val="center"/>
          </w:tcPr>
          <w:p w14:paraId="3004228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6237" w:type="dxa"/>
            <w:tcBorders>
              <w:top w:val="single" w:color="auto" w:sz="4" w:space="0"/>
              <w:left w:val="single" w:color="auto" w:sz="4" w:space="0"/>
              <w:bottom w:val="single" w:color="auto" w:sz="4" w:space="0"/>
              <w:right w:val="single" w:color="auto" w:sz="4" w:space="0"/>
            </w:tcBorders>
            <w:vAlign w:val="center"/>
          </w:tcPr>
          <w:p w14:paraId="1B6078F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畜禽规模养殖场宜采用干清粪工艺。采用水泡粪工艺的，要控制用水量，减少粪污产生总量。鼓励水冲粪工艺改造为干清粪或水泡粪。不同畜种不同清粪工艺最高允许排水量按照GB18596执行。</w:t>
            </w:r>
          </w:p>
        </w:tc>
        <w:tc>
          <w:tcPr>
            <w:tcW w:w="5386" w:type="dxa"/>
            <w:tcBorders>
              <w:top w:val="single" w:color="auto" w:sz="4" w:space="0"/>
              <w:left w:val="single" w:color="auto" w:sz="4" w:space="0"/>
              <w:bottom w:val="single" w:color="auto" w:sz="4" w:space="0"/>
              <w:right w:val="single" w:color="auto" w:sz="4" w:space="0"/>
            </w:tcBorders>
            <w:vAlign w:val="center"/>
          </w:tcPr>
          <w:p w14:paraId="4CC88FE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项目采用干清粪工艺；</w:t>
            </w:r>
            <w:r>
              <w:rPr>
                <w:rFonts w:hint="default" w:ascii="Times New Roman" w:hAnsi="Times New Roman" w:eastAsia="宋体" w:cs="Times New Roman"/>
                <w:color w:val="auto"/>
                <w:sz w:val="21"/>
                <w:szCs w:val="21"/>
                <w:highlight w:val="none"/>
                <w:lang w:eastAsia="zh-CN"/>
              </w:rPr>
              <w:t>牛粪便</w:t>
            </w:r>
            <w:r>
              <w:rPr>
                <w:rFonts w:hint="default" w:ascii="Times New Roman" w:hAnsi="Times New Roman" w:eastAsia="宋体" w:cs="Times New Roman"/>
                <w:color w:val="auto"/>
                <w:sz w:val="21"/>
                <w:szCs w:val="21"/>
                <w:highlight w:val="none"/>
              </w:rPr>
              <w:t>经</w:t>
            </w:r>
            <w:r>
              <w:rPr>
                <w:rFonts w:hint="default" w:ascii="Times New Roman" w:hAnsi="Times New Roman" w:eastAsia="宋体" w:cs="Times New Roman"/>
                <w:color w:val="auto"/>
                <w:sz w:val="21"/>
                <w:szCs w:val="21"/>
                <w:highlight w:val="none"/>
                <w:lang w:eastAsia="zh-CN"/>
              </w:rPr>
              <w:t>粪污处理池储存并堆肥</w:t>
            </w:r>
            <w:r>
              <w:rPr>
                <w:rFonts w:hint="default" w:ascii="Times New Roman" w:hAnsi="Times New Roman" w:eastAsia="宋体" w:cs="Times New Roman"/>
                <w:color w:val="auto"/>
                <w:sz w:val="21"/>
                <w:szCs w:val="21"/>
                <w:highlight w:val="none"/>
              </w:rPr>
              <w:t>后，作为有机肥还田利用。</w:t>
            </w:r>
          </w:p>
        </w:tc>
        <w:tc>
          <w:tcPr>
            <w:tcW w:w="673" w:type="dxa"/>
            <w:tcBorders>
              <w:top w:val="single" w:color="auto" w:sz="4" w:space="0"/>
              <w:left w:val="single" w:color="auto" w:sz="4" w:space="0"/>
              <w:bottom w:val="single" w:color="auto" w:sz="4" w:space="0"/>
              <w:right w:val="single" w:color="auto" w:sz="4" w:space="0"/>
            </w:tcBorders>
            <w:vAlign w:val="center"/>
          </w:tcPr>
          <w:p w14:paraId="1576676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3559715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093" w:type="dxa"/>
            <w:gridSpan w:val="2"/>
            <w:vMerge w:val="continue"/>
            <w:tcBorders>
              <w:top w:val="single" w:color="auto" w:sz="4" w:space="0"/>
              <w:left w:val="single" w:color="auto" w:sz="4" w:space="0"/>
              <w:bottom w:val="single" w:color="auto" w:sz="4" w:space="0"/>
              <w:right w:val="single" w:color="auto" w:sz="4" w:space="0"/>
            </w:tcBorders>
            <w:vAlign w:val="center"/>
          </w:tcPr>
          <w:p w14:paraId="6A07537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6237" w:type="dxa"/>
            <w:tcBorders>
              <w:top w:val="single" w:color="auto" w:sz="4" w:space="0"/>
              <w:left w:val="single" w:color="auto" w:sz="4" w:space="0"/>
              <w:bottom w:val="single" w:color="auto" w:sz="4" w:space="0"/>
              <w:right w:val="single" w:color="auto" w:sz="4" w:space="0"/>
            </w:tcBorders>
            <w:vAlign w:val="center"/>
          </w:tcPr>
          <w:p w14:paraId="618049B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畜禽规模养殖场应及时对粪污进行收集、贮存，粪污暂存池（场）应满足防渗、防雨、防溢流等要求。固体粪便暂存池（场）的设计按照GB/T27622执行。污水暂存池的设计按照GB/T26624执行。</w:t>
            </w:r>
          </w:p>
        </w:tc>
        <w:tc>
          <w:tcPr>
            <w:tcW w:w="5386" w:type="dxa"/>
            <w:tcBorders>
              <w:top w:val="single" w:color="auto" w:sz="4" w:space="0"/>
              <w:left w:val="single" w:color="auto" w:sz="4" w:space="0"/>
              <w:bottom w:val="single" w:color="auto" w:sz="4" w:space="0"/>
              <w:right w:val="single" w:color="auto" w:sz="4" w:space="0"/>
            </w:tcBorders>
            <w:vAlign w:val="center"/>
          </w:tcPr>
          <w:p w14:paraId="1D9A161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本项目建设的</w:t>
            </w:r>
            <w:r>
              <w:rPr>
                <w:rFonts w:hint="default" w:ascii="Times New Roman" w:hAnsi="Times New Roman" w:eastAsia="宋体" w:cs="Times New Roman"/>
                <w:color w:val="auto"/>
                <w:sz w:val="21"/>
                <w:szCs w:val="21"/>
                <w:highlight w:val="none"/>
                <w:lang w:eastAsia="zh-CN"/>
              </w:rPr>
              <w:t>粪污处理池</w:t>
            </w:r>
            <w:r>
              <w:rPr>
                <w:rFonts w:hint="default" w:ascii="Times New Roman" w:hAnsi="Times New Roman" w:eastAsia="宋体" w:cs="Times New Roman"/>
                <w:color w:val="auto"/>
                <w:sz w:val="21"/>
                <w:szCs w:val="21"/>
                <w:highlight w:val="none"/>
              </w:rPr>
              <w:t>，采用了防雨、防渗、防溢流措施，设计均符合GB/T27622和GB/T26624相关要求。</w:t>
            </w:r>
          </w:p>
        </w:tc>
        <w:tc>
          <w:tcPr>
            <w:tcW w:w="673" w:type="dxa"/>
            <w:tcBorders>
              <w:top w:val="single" w:color="auto" w:sz="4" w:space="0"/>
              <w:left w:val="single" w:color="auto" w:sz="4" w:space="0"/>
              <w:bottom w:val="single" w:color="auto" w:sz="4" w:space="0"/>
              <w:right w:val="single" w:color="auto" w:sz="4" w:space="0"/>
            </w:tcBorders>
            <w:vAlign w:val="center"/>
          </w:tcPr>
          <w:p w14:paraId="66DFB9B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bl>
    <w:p w14:paraId="3232A83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p>
    <w:p w14:paraId="26CDF2D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p>
    <w:p w14:paraId="0970262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br w:type="page"/>
      </w:r>
    </w:p>
    <w:p w14:paraId="7C0BC133">
      <w:pPr>
        <w:pStyle w:val="7"/>
        <w:pageBreakBefore w:val="0"/>
        <w:kinsoku/>
        <w:wordWrap/>
        <w:bidi w:val="0"/>
        <w:snapToGrid w:val="0"/>
        <w:spacing w:line="360" w:lineRule="auto"/>
        <w:ind w:left="0" w:leftChars="0" w:right="0" w:rightChars="0"/>
        <w:outlineLvl w:val="2"/>
        <w:rPr>
          <w:rFonts w:hint="default" w:ascii="Times New Roman" w:hAnsi="Times New Roman" w:eastAsia="宋体" w:cs="Times New Roman"/>
          <w:color w:val="auto"/>
          <w:highlight w:val="none"/>
        </w:rPr>
      </w:pPr>
      <w:bookmarkStart w:id="189" w:name="_Toc30695"/>
      <w:bookmarkStart w:id="190" w:name="_Toc26146"/>
      <w:r>
        <w:rPr>
          <w:rFonts w:hint="default" w:ascii="Times New Roman" w:hAnsi="Times New Roman" w:eastAsia="宋体" w:cs="Times New Roman"/>
          <w:color w:val="auto"/>
          <w:highlight w:val="none"/>
        </w:rPr>
        <w:t>表2.7-3本项目与相关政策的符合性分析</w:t>
      </w:r>
      <w:bookmarkEnd w:id="189"/>
      <w:bookmarkEnd w:id="190"/>
    </w:p>
    <w:tbl>
      <w:tblPr>
        <w:tblStyle w:val="40"/>
        <w:tblW w:w="136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6"/>
        <w:gridCol w:w="6779"/>
        <w:gridCol w:w="4767"/>
        <w:gridCol w:w="604"/>
      </w:tblGrid>
      <w:tr w14:paraId="13EAF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1" w:type="dxa"/>
            <w:vAlign w:val="center"/>
          </w:tcPr>
          <w:p w14:paraId="5BC81A2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相关政策</w:t>
            </w:r>
          </w:p>
        </w:tc>
        <w:tc>
          <w:tcPr>
            <w:tcW w:w="8081" w:type="dxa"/>
            <w:vAlign w:val="center"/>
          </w:tcPr>
          <w:p w14:paraId="3D13934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相关条款及规定</w:t>
            </w:r>
          </w:p>
        </w:tc>
        <w:tc>
          <w:tcPr>
            <w:tcW w:w="5669" w:type="dxa"/>
            <w:vAlign w:val="center"/>
          </w:tcPr>
          <w:p w14:paraId="5B22C48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符合性分析</w:t>
            </w:r>
          </w:p>
        </w:tc>
        <w:tc>
          <w:tcPr>
            <w:tcW w:w="680" w:type="dxa"/>
            <w:vAlign w:val="center"/>
          </w:tcPr>
          <w:p w14:paraId="2772250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符合</w:t>
            </w:r>
          </w:p>
          <w:p w14:paraId="388887D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情况</w:t>
            </w:r>
          </w:p>
        </w:tc>
      </w:tr>
      <w:tr w14:paraId="65EBC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1" w:type="dxa"/>
            <w:vMerge w:val="restart"/>
            <w:vAlign w:val="center"/>
          </w:tcPr>
          <w:p w14:paraId="4470E9F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《关于做好畜禽规模养殖项目环境影响评价管理工作的通知》（环办环评</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2018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31号）</w:t>
            </w:r>
          </w:p>
        </w:tc>
        <w:tc>
          <w:tcPr>
            <w:tcW w:w="8081" w:type="dxa"/>
            <w:vAlign w:val="center"/>
          </w:tcPr>
          <w:p w14:paraId="5990094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项目环评应结合环境保护要求优化养殖场区内部布置。畜禽养殖区及畜禽粪污贮存、处理和畜禽尸体无害化处理等产生恶臭影响的设施，应位于养殖场区主导风向的下风向位置，并尽量远离周边环境保护目标。</w:t>
            </w:r>
          </w:p>
        </w:tc>
        <w:tc>
          <w:tcPr>
            <w:tcW w:w="5669" w:type="dxa"/>
            <w:vAlign w:val="center"/>
          </w:tcPr>
          <w:p w14:paraId="4B6EBDF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项目生活管理区与生产区、</w:t>
            </w:r>
            <w:r>
              <w:rPr>
                <w:rFonts w:hint="default" w:ascii="Times New Roman" w:hAnsi="Times New Roman" w:eastAsia="宋体" w:cs="Times New Roman"/>
                <w:color w:val="auto"/>
                <w:sz w:val="21"/>
                <w:szCs w:val="21"/>
                <w:highlight w:val="none"/>
                <w:lang w:eastAsia="zh-CN"/>
              </w:rPr>
              <w:t>粪污处理池</w:t>
            </w:r>
            <w:r>
              <w:rPr>
                <w:rFonts w:hint="default" w:ascii="Times New Roman" w:hAnsi="Times New Roman" w:eastAsia="宋体" w:cs="Times New Roman"/>
                <w:color w:val="auto"/>
                <w:sz w:val="21"/>
                <w:szCs w:val="21"/>
                <w:highlight w:val="none"/>
                <w:lang w:val="en-US" w:eastAsia="zh-CN"/>
              </w:rPr>
              <w:t>隔离</w:t>
            </w:r>
            <w:r>
              <w:rPr>
                <w:rFonts w:hint="default" w:ascii="Times New Roman" w:hAnsi="Times New Roman" w:eastAsia="宋体" w:cs="Times New Roman"/>
                <w:color w:val="auto"/>
                <w:sz w:val="21"/>
                <w:szCs w:val="21"/>
                <w:highlight w:val="none"/>
              </w:rPr>
              <w:t>设置</w:t>
            </w:r>
            <w:r>
              <w:rPr>
                <w:rFonts w:hint="default" w:ascii="Times New Roman" w:hAnsi="Times New Roman" w:eastAsia="宋体" w:cs="Times New Roman"/>
                <w:color w:val="auto"/>
                <w:sz w:val="21"/>
                <w:szCs w:val="21"/>
                <w:highlight w:val="none"/>
                <w:lang w:eastAsia="zh-CN"/>
              </w:rPr>
              <w:t>；</w:t>
            </w:r>
          </w:p>
          <w:p w14:paraId="5003A4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FF0000"/>
                <w:sz w:val="21"/>
                <w:szCs w:val="21"/>
                <w:highlight w:val="none"/>
              </w:rPr>
              <w:t>该地区年主导风向为SSE风</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0000FF"/>
                <w:sz w:val="21"/>
                <w:szCs w:val="21"/>
                <w:highlight w:val="none"/>
                <w:lang w:val="en-US" w:eastAsia="zh-CN"/>
              </w:rPr>
              <w:t>本项目粪污处理池位于养殖区及生活区西南侧，属于当地20年主导风向的侧风向</w:t>
            </w:r>
            <w:r>
              <w:rPr>
                <w:rFonts w:hint="default" w:ascii="Times New Roman" w:hAnsi="Times New Roman" w:eastAsia="宋体" w:cs="Times New Roman"/>
                <w:color w:val="0000FF"/>
                <w:sz w:val="21"/>
                <w:szCs w:val="21"/>
                <w:highlight w:val="none"/>
                <w:lang w:eastAsia="zh-CN"/>
              </w:rPr>
              <w:t>。</w:t>
            </w:r>
          </w:p>
        </w:tc>
        <w:tc>
          <w:tcPr>
            <w:tcW w:w="680" w:type="dxa"/>
            <w:vAlign w:val="center"/>
          </w:tcPr>
          <w:p w14:paraId="4915822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28F36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1" w:type="dxa"/>
            <w:vMerge w:val="continue"/>
            <w:vAlign w:val="center"/>
          </w:tcPr>
          <w:p w14:paraId="0EB6D85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rPr>
                <w:rFonts w:hint="default" w:ascii="Times New Roman" w:hAnsi="Times New Roman" w:eastAsia="宋体" w:cs="Times New Roman"/>
                <w:color w:val="auto"/>
                <w:sz w:val="21"/>
                <w:szCs w:val="21"/>
                <w:highlight w:val="none"/>
              </w:rPr>
            </w:pPr>
          </w:p>
        </w:tc>
        <w:tc>
          <w:tcPr>
            <w:tcW w:w="8081" w:type="dxa"/>
            <w:vAlign w:val="center"/>
          </w:tcPr>
          <w:p w14:paraId="22B4815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鼓励采取干清粪方式，采取水泡粪工艺的应最大限度降低用水量。场区应采取雨污分离措施，防止雨水进入粪污收集系统。</w:t>
            </w:r>
          </w:p>
        </w:tc>
        <w:tc>
          <w:tcPr>
            <w:tcW w:w="5669" w:type="dxa"/>
            <w:vAlign w:val="center"/>
          </w:tcPr>
          <w:p w14:paraId="718F73D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项目采用干清粪工艺</w:t>
            </w:r>
            <w:r>
              <w:rPr>
                <w:rFonts w:hint="default" w:ascii="Times New Roman" w:hAnsi="Times New Roman" w:eastAsia="宋体" w:cs="Times New Roman"/>
                <w:color w:val="auto"/>
                <w:sz w:val="21"/>
                <w:szCs w:val="21"/>
                <w:highlight w:val="none"/>
                <w:lang w:eastAsia="zh-CN"/>
              </w:rPr>
              <w:t>；</w:t>
            </w:r>
          </w:p>
          <w:p w14:paraId="3C9039C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粪污处理池</w:t>
            </w:r>
            <w:r>
              <w:rPr>
                <w:rFonts w:hint="default" w:ascii="Times New Roman" w:hAnsi="Times New Roman" w:eastAsia="宋体" w:cs="Times New Roman"/>
                <w:color w:val="auto"/>
                <w:sz w:val="21"/>
                <w:szCs w:val="21"/>
                <w:highlight w:val="none"/>
              </w:rPr>
              <w:t>设置挡水墙（坡道）及导流渠</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可防止降雨</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的进入。</w:t>
            </w:r>
          </w:p>
        </w:tc>
        <w:tc>
          <w:tcPr>
            <w:tcW w:w="680" w:type="dxa"/>
            <w:vAlign w:val="center"/>
          </w:tcPr>
          <w:p w14:paraId="5C4812E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13DD3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1" w:type="dxa"/>
            <w:vMerge w:val="continue"/>
            <w:vAlign w:val="center"/>
          </w:tcPr>
          <w:p w14:paraId="13EC81C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rPr>
                <w:rFonts w:hint="default" w:ascii="Times New Roman" w:hAnsi="Times New Roman" w:eastAsia="宋体" w:cs="Times New Roman"/>
                <w:color w:val="auto"/>
                <w:sz w:val="21"/>
                <w:szCs w:val="21"/>
                <w:highlight w:val="none"/>
              </w:rPr>
            </w:pPr>
          </w:p>
        </w:tc>
        <w:tc>
          <w:tcPr>
            <w:tcW w:w="8081" w:type="dxa"/>
            <w:vAlign w:val="center"/>
          </w:tcPr>
          <w:p w14:paraId="4095C68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采取粪污全量收集还田利用、污水肥料化利用、粪便垫料回用、异位发酵床、粪污专业化能源利用等模式处理利用畜禽粪污，促进畜禽规模养殖项目“种养结合”绿色发展。</w:t>
            </w:r>
          </w:p>
        </w:tc>
        <w:tc>
          <w:tcPr>
            <w:tcW w:w="5669" w:type="dxa"/>
            <w:vAlign w:val="center"/>
          </w:tcPr>
          <w:p w14:paraId="39FFEDF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项目牛粪便</w:t>
            </w:r>
            <w:r>
              <w:rPr>
                <w:rFonts w:hint="default" w:ascii="Times New Roman" w:hAnsi="Times New Roman" w:eastAsia="宋体" w:cs="Times New Roman"/>
                <w:color w:val="auto"/>
                <w:sz w:val="21"/>
                <w:szCs w:val="21"/>
                <w:highlight w:val="none"/>
              </w:rPr>
              <w:t>经</w:t>
            </w:r>
            <w:r>
              <w:rPr>
                <w:rFonts w:hint="default" w:ascii="Times New Roman" w:hAnsi="Times New Roman" w:eastAsia="宋体" w:cs="Times New Roman"/>
                <w:color w:val="auto"/>
                <w:sz w:val="21"/>
                <w:szCs w:val="21"/>
                <w:highlight w:val="none"/>
                <w:lang w:eastAsia="zh-CN"/>
              </w:rPr>
              <w:t>粪污处理池储存并堆肥</w:t>
            </w:r>
            <w:r>
              <w:rPr>
                <w:rFonts w:hint="default" w:ascii="Times New Roman" w:hAnsi="Times New Roman" w:eastAsia="宋体" w:cs="Times New Roman"/>
                <w:color w:val="auto"/>
                <w:sz w:val="21"/>
                <w:szCs w:val="21"/>
                <w:highlight w:val="none"/>
              </w:rPr>
              <w:t>后</w:t>
            </w:r>
            <w:r>
              <w:rPr>
                <w:rFonts w:hint="default" w:ascii="Times New Roman" w:hAnsi="Times New Roman" w:eastAsia="宋体" w:cs="Times New Roman"/>
                <w:color w:val="auto"/>
                <w:sz w:val="21"/>
                <w:szCs w:val="21"/>
                <w:highlight w:val="none"/>
                <w:lang w:eastAsia="zh-CN"/>
              </w:rPr>
              <w:t>，作为有机肥还田利用；</w:t>
            </w:r>
            <w:r>
              <w:rPr>
                <w:rFonts w:hint="default" w:ascii="Times New Roman" w:hAnsi="Times New Roman" w:eastAsia="宋体" w:cs="Times New Roman"/>
                <w:color w:val="0000FF"/>
                <w:sz w:val="21"/>
                <w:szCs w:val="21"/>
                <w:highlight w:val="none"/>
              </w:rPr>
              <w:t>牛舍及运动场垫料主要为碎秸秆和木屑</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带少量粪便</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采用清粪车将垫</w:t>
            </w:r>
            <w:r>
              <w:rPr>
                <w:rFonts w:hint="default" w:ascii="Times New Roman" w:hAnsi="Times New Roman" w:eastAsia="宋体" w:cs="Times New Roman"/>
                <w:color w:val="0000FF"/>
                <w:sz w:val="21"/>
                <w:szCs w:val="21"/>
                <w:highlight w:val="none"/>
                <w:lang w:val="en-US" w:eastAsia="zh-CN"/>
              </w:rPr>
              <w:t>料</w:t>
            </w:r>
            <w:r>
              <w:rPr>
                <w:rFonts w:hint="default" w:ascii="Times New Roman" w:hAnsi="Times New Roman" w:eastAsia="宋体" w:cs="Times New Roman"/>
                <w:color w:val="0000FF"/>
                <w:sz w:val="21"/>
                <w:szCs w:val="21"/>
                <w:highlight w:val="none"/>
              </w:rPr>
              <w:t>转运至</w:t>
            </w:r>
            <w:r>
              <w:rPr>
                <w:rFonts w:hint="default" w:ascii="Times New Roman" w:hAnsi="Times New Roman" w:eastAsia="宋体" w:cs="Times New Roman"/>
                <w:color w:val="0000FF"/>
                <w:sz w:val="21"/>
                <w:szCs w:val="21"/>
                <w:highlight w:val="none"/>
                <w:lang w:eastAsia="zh-CN"/>
              </w:rPr>
              <w:t>粪污处理池</w:t>
            </w:r>
            <w:r>
              <w:rPr>
                <w:rFonts w:hint="default" w:ascii="Times New Roman" w:hAnsi="Times New Roman" w:eastAsia="宋体" w:cs="Times New Roman"/>
                <w:color w:val="0000FF"/>
                <w:sz w:val="21"/>
                <w:szCs w:val="21"/>
                <w:highlight w:val="none"/>
                <w:lang w:val="en-US" w:eastAsia="zh-CN"/>
              </w:rPr>
              <w:t>与</w:t>
            </w:r>
            <w:r>
              <w:rPr>
                <w:rFonts w:hint="default" w:ascii="Times New Roman" w:hAnsi="Times New Roman" w:eastAsia="宋体" w:cs="Times New Roman"/>
                <w:color w:val="0000FF"/>
                <w:sz w:val="21"/>
                <w:szCs w:val="21"/>
                <w:highlight w:val="none"/>
                <w:lang w:eastAsia="zh-CN"/>
              </w:rPr>
              <w:t>牛粪便</w:t>
            </w:r>
            <w:r>
              <w:rPr>
                <w:rFonts w:hint="default" w:ascii="Times New Roman" w:hAnsi="Times New Roman" w:eastAsia="宋体" w:cs="Times New Roman"/>
                <w:color w:val="0000FF"/>
                <w:sz w:val="21"/>
                <w:szCs w:val="21"/>
                <w:highlight w:val="none"/>
                <w:lang w:val="en-US" w:eastAsia="zh-CN"/>
              </w:rPr>
              <w:t>一同发酵</w:t>
            </w:r>
            <w:r>
              <w:rPr>
                <w:rFonts w:hint="default" w:ascii="Times New Roman" w:hAnsi="Times New Roman" w:eastAsia="宋体" w:cs="Times New Roman"/>
                <w:color w:val="0000FF"/>
                <w:sz w:val="21"/>
                <w:szCs w:val="21"/>
                <w:highlight w:val="none"/>
                <w:lang w:eastAsia="zh-CN"/>
              </w:rPr>
              <w:t>，形成</w:t>
            </w:r>
            <w:r>
              <w:rPr>
                <w:rFonts w:hint="default" w:ascii="Times New Roman" w:hAnsi="Times New Roman" w:eastAsia="宋体" w:cs="Times New Roman"/>
                <w:color w:val="0000FF"/>
                <w:sz w:val="21"/>
                <w:szCs w:val="21"/>
                <w:highlight w:val="none"/>
              </w:rPr>
              <w:t>有机肥</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用于周边农田还田利用</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auto"/>
                <w:sz w:val="21"/>
                <w:szCs w:val="21"/>
                <w:highlight w:val="none"/>
                <w:lang w:bidi="en-US"/>
              </w:rPr>
              <w:t>项目采用“牛—肥—林</w:t>
            </w:r>
            <w:r>
              <w:rPr>
                <w:rFonts w:hint="default" w:ascii="Times New Roman" w:hAnsi="Times New Roman" w:eastAsia="宋体" w:cs="Times New Roman"/>
                <w:color w:val="auto"/>
                <w:sz w:val="21"/>
                <w:szCs w:val="21"/>
                <w:highlight w:val="none"/>
                <w:lang w:eastAsia="zh-CN" w:bidi="en-US"/>
              </w:rPr>
              <w:t>（</w:t>
            </w:r>
            <w:r>
              <w:rPr>
                <w:rFonts w:hint="default" w:ascii="Times New Roman" w:hAnsi="Times New Roman" w:eastAsia="宋体" w:cs="Times New Roman"/>
                <w:color w:val="auto"/>
                <w:sz w:val="21"/>
                <w:szCs w:val="21"/>
                <w:highlight w:val="none"/>
                <w:lang w:bidi="en-US"/>
              </w:rPr>
              <w:t>田</w:t>
            </w:r>
            <w:r>
              <w:rPr>
                <w:rFonts w:hint="default" w:ascii="Times New Roman" w:hAnsi="Times New Roman" w:eastAsia="宋体" w:cs="Times New Roman"/>
                <w:color w:val="auto"/>
                <w:sz w:val="21"/>
                <w:szCs w:val="21"/>
                <w:highlight w:val="none"/>
                <w:lang w:eastAsia="zh-CN" w:bidi="en-US"/>
              </w:rPr>
              <w:t>）</w:t>
            </w:r>
            <w:r>
              <w:rPr>
                <w:rFonts w:hint="default" w:ascii="Times New Roman" w:hAnsi="Times New Roman" w:eastAsia="宋体" w:cs="Times New Roman"/>
                <w:color w:val="auto"/>
                <w:sz w:val="21"/>
                <w:szCs w:val="21"/>
                <w:highlight w:val="none"/>
                <w:lang w:bidi="en-US"/>
              </w:rPr>
              <w:t>”的生态养殖工艺，产生的粪污全部还田。</w:t>
            </w:r>
          </w:p>
        </w:tc>
        <w:tc>
          <w:tcPr>
            <w:tcW w:w="680" w:type="dxa"/>
            <w:vAlign w:val="center"/>
          </w:tcPr>
          <w:p w14:paraId="3D94153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7AC23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1" w:type="dxa"/>
            <w:vMerge w:val="continue"/>
            <w:vAlign w:val="center"/>
          </w:tcPr>
          <w:p w14:paraId="46A37C4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rPr>
                <w:rFonts w:hint="default" w:ascii="Times New Roman" w:hAnsi="Times New Roman" w:eastAsia="宋体" w:cs="Times New Roman"/>
                <w:color w:val="auto"/>
                <w:sz w:val="21"/>
                <w:szCs w:val="21"/>
                <w:highlight w:val="none"/>
              </w:rPr>
            </w:pPr>
          </w:p>
        </w:tc>
        <w:tc>
          <w:tcPr>
            <w:tcW w:w="8081" w:type="dxa"/>
            <w:vAlign w:val="center"/>
          </w:tcPr>
          <w:p w14:paraId="3BC1768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畜禽规模养殖项目配套建设沼气工程的，应充分考虑沼气制备及贮存过程中的环境风险，制定环境风险防范措施及应急预案。</w:t>
            </w:r>
          </w:p>
        </w:tc>
        <w:tc>
          <w:tcPr>
            <w:tcW w:w="5669" w:type="dxa"/>
            <w:vAlign w:val="center"/>
          </w:tcPr>
          <w:p w14:paraId="3460B45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项目未建设沼气工程。</w:t>
            </w:r>
          </w:p>
        </w:tc>
        <w:tc>
          <w:tcPr>
            <w:tcW w:w="680" w:type="dxa"/>
            <w:vAlign w:val="center"/>
          </w:tcPr>
          <w:p w14:paraId="1604E59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6F46B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1" w:type="dxa"/>
            <w:vMerge w:val="continue"/>
            <w:vAlign w:val="center"/>
          </w:tcPr>
          <w:p w14:paraId="07285CB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rPr>
                <w:rFonts w:hint="default" w:ascii="Times New Roman" w:hAnsi="Times New Roman" w:eastAsia="宋体" w:cs="Times New Roman"/>
                <w:color w:val="auto"/>
                <w:sz w:val="21"/>
                <w:szCs w:val="21"/>
                <w:highlight w:val="none"/>
              </w:rPr>
            </w:pPr>
          </w:p>
        </w:tc>
        <w:tc>
          <w:tcPr>
            <w:tcW w:w="8081" w:type="dxa"/>
            <w:vAlign w:val="center"/>
          </w:tcPr>
          <w:p w14:paraId="03ACD2F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依据相关法律法规和技术规范，制定明确的病死畜禽处理、处置方案，及时处理病死畜禽。针对畜禽规模养殖项目的恶臭影响，可采取控制饲养密度、改善舍内通风、及时清粪、采用除臭剂、集中收集处理等措施，确保项目恶臭污染物达标排放。</w:t>
            </w:r>
          </w:p>
        </w:tc>
        <w:tc>
          <w:tcPr>
            <w:tcW w:w="5669" w:type="dxa"/>
            <w:vAlign w:val="center"/>
          </w:tcPr>
          <w:p w14:paraId="442952E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项目产生的病死牛尸体交由巴彦淖尔市绿之源生物技术发展有限公司进行无害化处理；养殖场拟采取</w:t>
            </w:r>
            <w:r>
              <w:rPr>
                <w:rFonts w:hint="default" w:ascii="Times New Roman" w:hAnsi="Times New Roman" w:eastAsia="宋体" w:cs="Times New Roman"/>
                <w:color w:val="auto"/>
                <w:sz w:val="21"/>
                <w:szCs w:val="21"/>
                <w:highlight w:val="none"/>
              </w:rPr>
              <w:t>控制饲养密度、改善舍内通风、及时清粪、定期喷洒除臭剂、集中收集处理等措施，确保项目恶臭污染物达标排放。</w:t>
            </w:r>
          </w:p>
        </w:tc>
        <w:tc>
          <w:tcPr>
            <w:tcW w:w="680" w:type="dxa"/>
            <w:vAlign w:val="center"/>
          </w:tcPr>
          <w:p w14:paraId="05AEF47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0EB09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1" w:type="dxa"/>
            <w:vAlign w:val="center"/>
          </w:tcPr>
          <w:p w14:paraId="3ABEEB0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《内蒙古自治区畜禽养殖主要污染物减排工程项目建设技术指南（试行）》</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2014</w:t>
            </w:r>
            <w:r>
              <w:rPr>
                <w:rFonts w:hint="default" w:ascii="Times New Roman" w:hAnsi="Times New Roman" w:eastAsia="宋体" w:cs="Times New Roman"/>
                <w:color w:val="auto"/>
                <w:sz w:val="21"/>
                <w:szCs w:val="21"/>
                <w:highlight w:val="none"/>
                <w:lang w:eastAsia="zh-CN"/>
              </w:rPr>
              <w:t>）</w:t>
            </w:r>
          </w:p>
        </w:tc>
        <w:tc>
          <w:tcPr>
            <w:tcW w:w="8081" w:type="dxa"/>
            <w:vAlign w:val="center"/>
          </w:tcPr>
          <w:p w14:paraId="06D2211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种养结合原则，养殖产生的污染物全部得到综合利用和土地利用；牧场需要采</w:t>
            </w:r>
            <w:r>
              <w:rPr>
                <w:rFonts w:hint="default" w:ascii="Times New Roman" w:hAnsi="Times New Roman" w:eastAsia="宋体" w:cs="Times New Roman"/>
                <w:color w:val="auto"/>
                <w:sz w:val="21"/>
                <w:szCs w:val="21"/>
                <w:highlight w:val="none"/>
                <w:lang w:eastAsia="zh-CN"/>
              </w:rPr>
              <w:t>取</w:t>
            </w:r>
            <w:r>
              <w:rPr>
                <w:rFonts w:hint="default" w:ascii="Times New Roman" w:hAnsi="Times New Roman" w:eastAsia="宋体" w:cs="Times New Roman"/>
                <w:color w:val="auto"/>
                <w:sz w:val="21"/>
                <w:szCs w:val="21"/>
                <w:highlight w:val="none"/>
              </w:rPr>
              <w:t>雨污分流制度；粪便和污水/尿液土地利用可采用农田利用、林地利用或土地改造利用，但必须保证有足够土地面积消纳，</w:t>
            </w:r>
            <w:r>
              <w:rPr>
                <w:rFonts w:hint="default" w:ascii="Times New Roman" w:hAnsi="Times New Roman" w:eastAsia="宋体" w:cs="Times New Roman"/>
                <w:color w:val="0000FF"/>
                <w:sz w:val="21"/>
                <w:szCs w:val="21"/>
                <w:highlight w:val="none"/>
              </w:rPr>
              <w:t>消纳土地面积要求每头</w:t>
            </w:r>
            <w:r>
              <w:rPr>
                <w:rFonts w:hint="default" w:ascii="Times New Roman" w:hAnsi="Times New Roman" w:eastAsia="宋体" w:cs="Times New Roman"/>
                <w:color w:val="0000FF"/>
                <w:sz w:val="21"/>
                <w:szCs w:val="21"/>
                <w:highlight w:val="none"/>
                <w:lang w:val="en-US" w:eastAsia="zh-CN"/>
              </w:rPr>
              <w:t>奶</w:t>
            </w:r>
            <w:r>
              <w:rPr>
                <w:rFonts w:hint="default" w:ascii="Times New Roman" w:hAnsi="Times New Roman" w:eastAsia="宋体" w:cs="Times New Roman"/>
                <w:color w:val="0000FF"/>
                <w:sz w:val="21"/>
                <w:szCs w:val="21"/>
                <w:highlight w:val="none"/>
                <w:lang w:eastAsia="zh-CN"/>
              </w:rPr>
              <w:t>牛（</w:t>
            </w:r>
            <w:r>
              <w:rPr>
                <w:rFonts w:hint="default" w:ascii="Times New Roman" w:hAnsi="Times New Roman" w:eastAsia="宋体" w:cs="Times New Roman"/>
                <w:color w:val="0000FF"/>
                <w:sz w:val="21"/>
                <w:szCs w:val="21"/>
                <w:highlight w:val="none"/>
                <w:lang w:val="en-US" w:eastAsia="zh-CN"/>
              </w:rPr>
              <w:t>0.5头肉牛</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不少于1.25亩土地；粪便采取干清粪工艺，粪便进行堆肥发酵后土地消纳，粪便堆场可使用容积要求每头</w:t>
            </w:r>
            <w:r>
              <w:rPr>
                <w:rFonts w:hint="default" w:ascii="Times New Roman" w:hAnsi="Times New Roman" w:eastAsia="宋体" w:cs="Times New Roman"/>
                <w:color w:val="0000FF"/>
                <w:sz w:val="21"/>
                <w:szCs w:val="21"/>
                <w:highlight w:val="none"/>
                <w:lang w:val="en-US" w:eastAsia="zh-CN"/>
              </w:rPr>
              <w:t>奶</w:t>
            </w:r>
            <w:r>
              <w:rPr>
                <w:rFonts w:hint="default" w:ascii="Times New Roman" w:hAnsi="Times New Roman" w:eastAsia="宋体" w:cs="Times New Roman"/>
                <w:color w:val="0000FF"/>
                <w:sz w:val="21"/>
                <w:szCs w:val="21"/>
                <w:highlight w:val="none"/>
                <w:lang w:eastAsia="zh-CN"/>
              </w:rPr>
              <w:t>牛（存栏）</w:t>
            </w:r>
            <w:r>
              <w:rPr>
                <w:rFonts w:hint="default" w:ascii="Times New Roman" w:hAnsi="Times New Roman" w:eastAsia="宋体" w:cs="Times New Roman"/>
                <w:color w:val="0000FF"/>
                <w:sz w:val="21"/>
                <w:szCs w:val="21"/>
                <w:highlight w:val="none"/>
              </w:rPr>
              <w:t>不低于0.25m</w:t>
            </w:r>
            <w:r>
              <w:rPr>
                <w:rFonts w:hint="default" w:ascii="Times New Roman" w:hAnsi="Times New Roman" w:eastAsia="宋体" w:cs="Times New Roman"/>
                <w:color w:val="0000FF"/>
                <w:sz w:val="21"/>
                <w:szCs w:val="21"/>
                <w:highlight w:val="none"/>
                <w:vertAlign w:val="superscript"/>
              </w:rPr>
              <w:t>3</w:t>
            </w:r>
            <w:r>
              <w:rPr>
                <w:rFonts w:hint="default" w:ascii="Times New Roman" w:hAnsi="Times New Roman" w:eastAsia="宋体" w:cs="Times New Roman"/>
                <w:color w:val="0000FF"/>
                <w:sz w:val="21"/>
                <w:szCs w:val="21"/>
                <w:highlight w:val="none"/>
                <w:lang w:eastAsia="zh-CN"/>
              </w:rPr>
              <w:t>，每头</w:t>
            </w:r>
            <w:r>
              <w:rPr>
                <w:rFonts w:hint="default" w:ascii="Times New Roman" w:hAnsi="Times New Roman" w:eastAsia="宋体" w:cs="Times New Roman"/>
                <w:color w:val="0000FF"/>
                <w:sz w:val="21"/>
                <w:szCs w:val="21"/>
                <w:highlight w:val="none"/>
                <w:lang w:val="en-US" w:eastAsia="zh-CN"/>
              </w:rPr>
              <w:t>肉</w:t>
            </w:r>
            <w:r>
              <w:rPr>
                <w:rFonts w:hint="default" w:ascii="Times New Roman" w:hAnsi="Times New Roman" w:eastAsia="宋体" w:cs="Times New Roman"/>
                <w:color w:val="0000FF"/>
                <w:sz w:val="21"/>
                <w:szCs w:val="21"/>
                <w:highlight w:val="none"/>
                <w:lang w:eastAsia="zh-CN"/>
              </w:rPr>
              <w:t>牛（出栏）</w:t>
            </w:r>
            <w:r>
              <w:rPr>
                <w:rFonts w:hint="default" w:ascii="Times New Roman" w:hAnsi="Times New Roman" w:eastAsia="宋体" w:cs="Times New Roman"/>
                <w:color w:val="0000FF"/>
                <w:sz w:val="21"/>
                <w:szCs w:val="21"/>
                <w:highlight w:val="none"/>
              </w:rPr>
              <w:t>不低于0.5m</w:t>
            </w:r>
            <w:r>
              <w:rPr>
                <w:rFonts w:hint="default" w:ascii="Times New Roman" w:hAnsi="Times New Roman" w:eastAsia="宋体" w:cs="Times New Roman"/>
                <w:color w:val="0000FF"/>
                <w:sz w:val="21"/>
                <w:szCs w:val="21"/>
                <w:highlight w:val="none"/>
                <w:vertAlign w:val="superscript"/>
              </w:rPr>
              <w:t>3</w:t>
            </w:r>
            <w:r>
              <w:rPr>
                <w:rFonts w:hint="default" w:ascii="Times New Roman" w:hAnsi="Times New Roman" w:eastAsia="宋体" w:cs="Times New Roman"/>
                <w:color w:val="0000FF"/>
                <w:sz w:val="21"/>
                <w:szCs w:val="21"/>
                <w:highlight w:val="none"/>
              </w:rPr>
              <w:t>。</w:t>
            </w:r>
            <w:r>
              <w:rPr>
                <w:rFonts w:hint="default" w:ascii="Times New Roman" w:hAnsi="Times New Roman" w:eastAsia="宋体" w:cs="Times New Roman"/>
                <w:color w:val="0000FF"/>
                <w:sz w:val="21"/>
                <w:szCs w:val="21"/>
                <w:highlight w:val="none"/>
                <w:lang w:eastAsia="zh-CN"/>
              </w:rPr>
              <w:t>粪污处理池</w:t>
            </w:r>
            <w:r>
              <w:rPr>
                <w:rFonts w:hint="default" w:ascii="Times New Roman" w:hAnsi="Times New Roman" w:eastAsia="宋体" w:cs="Times New Roman"/>
                <w:color w:val="0000FF"/>
                <w:sz w:val="21"/>
                <w:szCs w:val="21"/>
                <w:highlight w:val="none"/>
              </w:rPr>
              <w:t>需采取防雨防渗措施。</w:t>
            </w:r>
          </w:p>
        </w:tc>
        <w:tc>
          <w:tcPr>
            <w:tcW w:w="5669" w:type="dxa"/>
            <w:vAlign w:val="center"/>
          </w:tcPr>
          <w:p w14:paraId="20D88D8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项目牛粪便</w:t>
            </w:r>
            <w:r>
              <w:rPr>
                <w:rFonts w:hint="default" w:ascii="Times New Roman" w:hAnsi="Times New Roman" w:eastAsia="宋体" w:cs="Times New Roman"/>
                <w:color w:val="auto"/>
                <w:sz w:val="21"/>
                <w:szCs w:val="21"/>
                <w:highlight w:val="none"/>
              </w:rPr>
              <w:t>经</w:t>
            </w:r>
            <w:r>
              <w:rPr>
                <w:rFonts w:hint="default" w:ascii="Times New Roman" w:hAnsi="Times New Roman" w:eastAsia="宋体" w:cs="Times New Roman"/>
                <w:color w:val="auto"/>
                <w:sz w:val="21"/>
                <w:szCs w:val="21"/>
                <w:highlight w:val="none"/>
                <w:lang w:eastAsia="zh-CN"/>
              </w:rPr>
              <w:t>粪污处理池储存并堆肥</w:t>
            </w:r>
            <w:r>
              <w:rPr>
                <w:rFonts w:hint="default" w:ascii="Times New Roman" w:hAnsi="Times New Roman" w:eastAsia="宋体" w:cs="Times New Roman"/>
                <w:color w:val="auto"/>
                <w:sz w:val="21"/>
                <w:szCs w:val="21"/>
                <w:highlight w:val="none"/>
              </w:rPr>
              <w:t>后</w:t>
            </w:r>
            <w:r>
              <w:rPr>
                <w:rFonts w:hint="default" w:ascii="Times New Roman" w:hAnsi="Times New Roman" w:eastAsia="宋体" w:cs="Times New Roman"/>
                <w:color w:val="auto"/>
                <w:sz w:val="21"/>
                <w:szCs w:val="21"/>
                <w:highlight w:val="none"/>
                <w:lang w:eastAsia="zh-CN"/>
              </w:rPr>
              <w:t>，满足《粪便无害化卫生标准》的要求，作为有机肥还田利用。</w:t>
            </w:r>
          </w:p>
          <w:p w14:paraId="0AA3389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eastAsia="zh-CN"/>
              </w:rPr>
              <w:t>项目</w:t>
            </w:r>
            <w:r>
              <w:rPr>
                <w:rFonts w:hint="default" w:ascii="Times New Roman" w:hAnsi="Times New Roman" w:eastAsia="宋体" w:cs="Times New Roman"/>
                <w:color w:val="0000FF"/>
                <w:sz w:val="21"/>
                <w:szCs w:val="21"/>
                <w:highlight w:val="none"/>
                <w:lang w:val="en-US" w:eastAsia="zh-CN"/>
              </w:rPr>
              <w:t>年</w:t>
            </w:r>
            <w:r>
              <w:rPr>
                <w:rFonts w:hint="default" w:ascii="Times New Roman" w:hAnsi="Times New Roman" w:eastAsia="宋体" w:cs="Times New Roman"/>
                <w:color w:val="0000FF"/>
                <w:sz w:val="21"/>
                <w:szCs w:val="21"/>
                <w:highlight w:val="none"/>
                <w:lang w:eastAsia="zh-CN"/>
              </w:rPr>
              <w:t>出栏2500头肉牛</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lang w:val="en-US" w:eastAsia="zh-CN"/>
              </w:rPr>
              <w:t>根据要求</w:t>
            </w:r>
            <w:r>
              <w:rPr>
                <w:rFonts w:hint="default" w:ascii="Times New Roman" w:hAnsi="Times New Roman" w:eastAsia="宋体" w:cs="Times New Roman"/>
                <w:color w:val="0000FF"/>
                <w:sz w:val="21"/>
                <w:szCs w:val="21"/>
                <w:highlight w:val="none"/>
                <w:lang w:eastAsia="zh-CN"/>
              </w:rPr>
              <w:t>每</w:t>
            </w:r>
            <w:r>
              <w:rPr>
                <w:rFonts w:hint="default" w:ascii="Times New Roman" w:hAnsi="Times New Roman" w:eastAsia="宋体" w:cs="Times New Roman"/>
                <w:color w:val="0000FF"/>
                <w:sz w:val="21"/>
                <w:szCs w:val="21"/>
                <w:highlight w:val="none"/>
                <w:lang w:val="en-US" w:eastAsia="zh-CN"/>
              </w:rPr>
              <w:t>0.5</w:t>
            </w:r>
            <w:r>
              <w:rPr>
                <w:rFonts w:hint="default" w:ascii="Times New Roman" w:hAnsi="Times New Roman" w:eastAsia="宋体" w:cs="Times New Roman"/>
                <w:color w:val="0000FF"/>
                <w:sz w:val="21"/>
                <w:szCs w:val="21"/>
                <w:highlight w:val="none"/>
                <w:lang w:eastAsia="zh-CN"/>
              </w:rPr>
              <w:t>头</w:t>
            </w:r>
            <w:r>
              <w:rPr>
                <w:rFonts w:hint="default" w:ascii="Times New Roman" w:hAnsi="Times New Roman" w:eastAsia="宋体" w:cs="Times New Roman"/>
                <w:color w:val="0000FF"/>
                <w:sz w:val="21"/>
                <w:szCs w:val="21"/>
                <w:highlight w:val="none"/>
                <w:lang w:val="en-US" w:eastAsia="zh-CN"/>
              </w:rPr>
              <w:t>肉</w:t>
            </w:r>
            <w:r>
              <w:rPr>
                <w:rFonts w:hint="default" w:ascii="Times New Roman" w:hAnsi="Times New Roman" w:eastAsia="宋体" w:cs="Times New Roman"/>
                <w:color w:val="0000FF"/>
                <w:sz w:val="21"/>
                <w:szCs w:val="21"/>
                <w:highlight w:val="none"/>
                <w:lang w:eastAsia="zh-CN"/>
              </w:rPr>
              <w:t>牛不少于1.25亩土地</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lang w:val="en-US" w:eastAsia="zh-CN"/>
              </w:rPr>
              <w:t>则需要6250</w:t>
            </w:r>
            <w:r>
              <w:rPr>
                <w:rFonts w:hint="default" w:ascii="Times New Roman" w:hAnsi="Times New Roman" w:eastAsia="宋体" w:cs="Times New Roman"/>
                <w:color w:val="0000FF"/>
                <w:sz w:val="21"/>
                <w:szCs w:val="21"/>
                <w:highlight w:val="none"/>
                <w:lang w:eastAsia="zh-CN"/>
              </w:rPr>
              <w:t>亩消纳土地</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lang w:val="en-US" w:eastAsia="zh-CN"/>
              </w:rPr>
              <w:t>本项目</w:t>
            </w:r>
            <w:r>
              <w:rPr>
                <w:rFonts w:hint="default" w:ascii="Times New Roman" w:hAnsi="Times New Roman" w:eastAsia="宋体" w:cs="Times New Roman"/>
                <w:color w:val="0000FF"/>
                <w:sz w:val="21"/>
                <w:szCs w:val="21"/>
                <w:highlight w:val="none"/>
                <w:lang w:eastAsia="zh-CN"/>
              </w:rPr>
              <w:t>配套</w:t>
            </w:r>
            <w:r>
              <w:rPr>
                <w:rFonts w:hint="default" w:ascii="Times New Roman" w:hAnsi="Times New Roman" w:eastAsia="宋体" w:cs="Times New Roman"/>
                <w:color w:val="0000FF"/>
                <w:sz w:val="21"/>
                <w:szCs w:val="21"/>
                <w:highlight w:val="none"/>
                <w:lang w:val="en-US" w:eastAsia="zh-CN"/>
              </w:rPr>
              <w:t>有</w:t>
            </w:r>
            <w:r>
              <w:rPr>
                <w:rFonts w:hint="default" w:ascii="Times New Roman" w:hAnsi="Times New Roman" w:eastAsia="宋体" w:cs="Times New Roman"/>
                <w:color w:val="0000FF"/>
                <w:sz w:val="21"/>
                <w:szCs w:val="21"/>
                <w:highlight w:val="none"/>
                <w:lang w:eastAsia="zh-CN"/>
              </w:rPr>
              <w:t>6250</w:t>
            </w:r>
            <w:r>
              <w:rPr>
                <w:rFonts w:hint="default" w:ascii="Times New Roman" w:hAnsi="Times New Roman" w:eastAsia="宋体" w:cs="Times New Roman"/>
                <w:color w:val="0000FF"/>
                <w:sz w:val="21"/>
                <w:szCs w:val="21"/>
                <w:highlight w:val="none"/>
                <w:lang w:eastAsia="zh-CN"/>
              </w:rPr>
              <w:t>亩消纳土地</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lang w:val="en-US" w:eastAsia="zh-CN"/>
              </w:rPr>
              <w:t>因此，符合要求。</w:t>
            </w:r>
          </w:p>
          <w:p w14:paraId="4F81EE1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rPr>
              <w:t>项目采用干清粪工艺，</w:t>
            </w:r>
            <w:r>
              <w:rPr>
                <w:rFonts w:hint="default" w:ascii="Times New Roman" w:hAnsi="Times New Roman" w:eastAsia="宋体" w:cs="Times New Roman"/>
                <w:color w:val="0000FF"/>
                <w:sz w:val="21"/>
                <w:szCs w:val="21"/>
                <w:highlight w:val="none"/>
                <w:lang w:eastAsia="zh-CN"/>
              </w:rPr>
              <w:t>粪污处理池</w:t>
            </w:r>
            <w:r>
              <w:rPr>
                <w:rFonts w:hint="default" w:ascii="Times New Roman" w:hAnsi="Times New Roman" w:eastAsia="宋体" w:cs="Times New Roman"/>
                <w:color w:val="0000FF"/>
                <w:sz w:val="21"/>
                <w:szCs w:val="21"/>
                <w:highlight w:val="none"/>
                <w:lang w:val="en-US" w:eastAsia="zh-CN"/>
              </w:rPr>
              <w:t>容积</w:t>
            </w:r>
            <w:r>
              <w:rPr>
                <w:rFonts w:hint="default" w:ascii="Times New Roman" w:hAnsi="Times New Roman" w:eastAsia="宋体" w:cs="Times New Roman"/>
                <w:color w:val="0000FF"/>
                <w:sz w:val="21"/>
                <w:szCs w:val="21"/>
                <w:highlight w:val="none"/>
              </w:rPr>
              <w:t>为</w:t>
            </w:r>
            <w:r>
              <w:rPr>
                <w:rFonts w:hint="default" w:ascii="Times New Roman" w:hAnsi="Times New Roman" w:eastAsia="宋体" w:cs="Times New Roman"/>
                <w:color w:val="0000FF"/>
                <w:sz w:val="21"/>
                <w:szCs w:val="21"/>
                <w:highlight w:val="none"/>
                <w:lang w:val="en-US" w:eastAsia="zh-CN"/>
              </w:rPr>
              <w:t>270</w:t>
            </w:r>
            <w:r>
              <w:rPr>
                <w:rFonts w:hint="default" w:ascii="Times New Roman" w:hAnsi="Times New Roman" w:eastAsia="宋体" w:cs="Times New Roman"/>
                <w:color w:val="0000FF"/>
                <w:sz w:val="21"/>
                <w:szCs w:val="21"/>
                <w:highlight w:val="none"/>
                <w:lang w:eastAsia="zh-CN"/>
              </w:rPr>
              <w:t>0</w:t>
            </w:r>
            <w:r>
              <w:rPr>
                <w:rFonts w:hint="default" w:ascii="Times New Roman" w:hAnsi="Times New Roman" w:eastAsia="宋体" w:cs="Times New Roman"/>
                <w:color w:val="0000FF"/>
                <w:sz w:val="21"/>
                <w:szCs w:val="21"/>
                <w:highlight w:val="none"/>
              </w:rPr>
              <w:t>m</w:t>
            </w:r>
            <w:r>
              <w:rPr>
                <w:rFonts w:hint="default" w:ascii="Times New Roman" w:hAnsi="Times New Roman" w:eastAsia="宋体" w:cs="Times New Roman"/>
                <w:color w:val="0000FF"/>
                <w:sz w:val="21"/>
                <w:szCs w:val="21"/>
                <w:highlight w:val="none"/>
                <w:vertAlign w:val="superscript"/>
                <w:lang w:val="en-US" w:eastAsia="zh-CN"/>
              </w:rPr>
              <w:t>3</w:t>
            </w:r>
            <w:r>
              <w:rPr>
                <w:rFonts w:hint="default" w:ascii="Times New Roman" w:hAnsi="Times New Roman" w:eastAsia="宋体" w:cs="Times New Roman"/>
                <w:color w:val="0000FF"/>
                <w:sz w:val="21"/>
                <w:szCs w:val="21"/>
                <w:highlight w:val="none"/>
              </w:rPr>
              <w:t>，</w:t>
            </w:r>
            <w:r>
              <w:rPr>
                <w:rFonts w:hint="default" w:ascii="Times New Roman" w:hAnsi="Times New Roman" w:eastAsia="宋体" w:cs="Times New Roman"/>
                <w:color w:val="0000FF"/>
                <w:sz w:val="21"/>
                <w:szCs w:val="21"/>
                <w:highlight w:val="none"/>
                <w:lang w:val="en-US" w:eastAsia="zh-CN"/>
              </w:rPr>
              <w:t>年</w:t>
            </w:r>
            <w:r>
              <w:rPr>
                <w:rFonts w:hint="default" w:ascii="Times New Roman" w:hAnsi="Times New Roman" w:eastAsia="宋体" w:cs="Times New Roman"/>
                <w:color w:val="0000FF"/>
                <w:sz w:val="21"/>
                <w:szCs w:val="21"/>
                <w:highlight w:val="none"/>
                <w:lang w:eastAsia="zh-CN"/>
              </w:rPr>
              <w:t>出栏2500头肉牛</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lang w:val="en-US" w:eastAsia="zh-CN"/>
              </w:rPr>
              <w:t>根据</w:t>
            </w:r>
            <w:r>
              <w:rPr>
                <w:rFonts w:hint="default" w:ascii="Times New Roman" w:hAnsi="Times New Roman" w:eastAsia="宋体" w:cs="Times New Roman"/>
                <w:color w:val="0000FF"/>
                <w:sz w:val="21"/>
                <w:szCs w:val="21"/>
                <w:highlight w:val="none"/>
                <w:lang w:eastAsia="zh-CN"/>
              </w:rPr>
              <w:t>每头</w:t>
            </w:r>
            <w:r>
              <w:rPr>
                <w:rFonts w:hint="default" w:ascii="Times New Roman" w:hAnsi="Times New Roman" w:eastAsia="宋体" w:cs="Times New Roman"/>
                <w:color w:val="0000FF"/>
                <w:sz w:val="21"/>
                <w:szCs w:val="21"/>
                <w:highlight w:val="none"/>
                <w:lang w:val="en-US" w:eastAsia="zh-CN"/>
              </w:rPr>
              <w:t>肉</w:t>
            </w:r>
            <w:r>
              <w:rPr>
                <w:rFonts w:hint="default" w:ascii="Times New Roman" w:hAnsi="Times New Roman" w:eastAsia="宋体" w:cs="Times New Roman"/>
                <w:color w:val="0000FF"/>
                <w:sz w:val="21"/>
                <w:szCs w:val="21"/>
                <w:highlight w:val="none"/>
                <w:lang w:eastAsia="zh-CN"/>
              </w:rPr>
              <w:t>牛（出栏）</w:t>
            </w:r>
            <w:r>
              <w:rPr>
                <w:rFonts w:hint="default" w:ascii="Times New Roman" w:hAnsi="Times New Roman" w:eastAsia="宋体" w:cs="Times New Roman"/>
                <w:color w:val="0000FF"/>
                <w:sz w:val="21"/>
                <w:szCs w:val="21"/>
                <w:highlight w:val="none"/>
              </w:rPr>
              <w:t>不低于0.5m</w:t>
            </w:r>
            <w:r>
              <w:rPr>
                <w:rFonts w:hint="default" w:ascii="Times New Roman" w:hAnsi="Times New Roman" w:eastAsia="宋体" w:cs="Times New Roman"/>
                <w:color w:val="0000FF"/>
                <w:sz w:val="21"/>
                <w:szCs w:val="21"/>
                <w:highlight w:val="none"/>
                <w:vertAlign w:val="superscript"/>
              </w:rPr>
              <w:t>3</w:t>
            </w:r>
            <w:r>
              <w:rPr>
                <w:rFonts w:hint="default" w:ascii="Times New Roman" w:hAnsi="Times New Roman" w:eastAsia="宋体" w:cs="Times New Roman"/>
                <w:color w:val="0000FF"/>
                <w:sz w:val="21"/>
                <w:szCs w:val="21"/>
                <w:highlight w:val="none"/>
                <w:lang w:val="en-US" w:eastAsia="zh-CN"/>
              </w:rPr>
              <w:t>的要求，则需要1250</w:t>
            </w:r>
            <w:r>
              <w:rPr>
                <w:rFonts w:hint="default" w:ascii="Times New Roman" w:hAnsi="Times New Roman" w:eastAsia="宋体" w:cs="Times New Roman"/>
                <w:color w:val="0000FF"/>
                <w:sz w:val="21"/>
                <w:szCs w:val="21"/>
                <w:highlight w:val="none"/>
              </w:rPr>
              <w:t>m</w:t>
            </w:r>
            <w:r>
              <w:rPr>
                <w:rFonts w:hint="default" w:ascii="Times New Roman" w:hAnsi="Times New Roman" w:eastAsia="宋体" w:cs="Times New Roman"/>
                <w:color w:val="0000FF"/>
                <w:sz w:val="21"/>
                <w:szCs w:val="21"/>
                <w:highlight w:val="none"/>
                <w:vertAlign w:val="superscript"/>
              </w:rPr>
              <w:t>3</w:t>
            </w:r>
            <w:r>
              <w:rPr>
                <w:rFonts w:hint="default" w:ascii="Times New Roman" w:hAnsi="Times New Roman" w:eastAsia="宋体" w:cs="Times New Roman"/>
                <w:color w:val="0000FF"/>
                <w:sz w:val="21"/>
                <w:szCs w:val="21"/>
                <w:highlight w:val="none"/>
                <w:lang w:val="en-US" w:eastAsia="zh-CN"/>
              </w:rPr>
              <w:t>的</w:t>
            </w:r>
            <w:r>
              <w:rPr>
                <w:rFonts w:hint="default" w:ascii="Times New Roman" w:hAnsi="Times New Roman" w:eastAsia="宋体" w:cs="Times New Roman"/>
                <w:color w:val="0000FF"/>
                <w:sz w:val="21"/>
                <w:szCs w:val="21"/>
                <w:highlight w:val="none"/>
              </w:rPr>
              <w:t>粪便堆场</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lang w:val="en-US" w:eastAsia="zh-CN"/>
              </w:rPr>
              <w:t>因此，符合要求。</w:t>
            </w:r>
          </w:p>
          <w:p w14:paraId="4A731C0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0000FF"/>
                <w:sz w:val="21"/>
                <w:szCs w:val="21"/>
                <w:highlight w:val="none"/>
                <w:lang w:eastAsia="zh-CN"/>
              </w:rPr>
              <w:t>粪污处理池</w:t>
            </w:r>
            <w:r>
              <w:rPr>
                <w:rFonts w:hint="default" w:ascii="Times New Roman" w:hAnsi="Times New Roman" w:eastAsia="宋体" w:cs="Times New Roman"/>
                <w:color w:val="0000FF"/>
                <w:sz w:val="21"/>
                <w:szCs w:val="21"/>
                <w:highlight w:val="none"/>
                <w:lang w:val="en-US" w:eastAsia="zh-CN"/>
              </w:rPr>
              <w:t>屋顶设置防雨设施，采用彩钢顶棚</w:t>
            </w:r>
            <w:r>
              <w:rPr>
                <w:rFonts w:hint="default" w:ascii="Times New Roman" w:hAnsi="Times New Roman" w:eastAsia="宋体" w:cs="Times New Roman"/>
                <w:color w:val="0000FF"/>
                <w:sz w:val="21"/>
                <w:szCs w:val="21"/>
                <w:highlight w:val="none"/>
                <w:lang w:val="en-US" w:eastAsia="zh-CN"/>
              </w:rPr>
              <w:t>；四周</w:t>
            </w:r>
            <w:r>
              <w:rPr>
                <w:rFonts w:hint="default" w:ascii="Times New Roman" w:hAnsi="Times New Roman" w:eastAsia="宋体" w:cs="Times New Roman"/>
                <w:color w:val="0000FF"/>
                <w:sz w:val="21"/>
                <w:szCs w:val="21"/>
                <w:highlight w:val="none"/>
              </w:rPr>
              <w:t>设置1m高挡水墙（坡道）及导流渠</w:t>
            </w:r>
            <w:r>
              <w:rPr>
                <w:rFonts w:hint="default" w:ascii="Times New Roman" w:hAnsi="Times New Roman" w:eastAsia="宋体" w:cs="Times New Roman"/>
                <w:color w:val="0000FF"/>
                <w:sz w:val="21"/>
                <w:szCs w:val="21"/>
                <w:highlight w:val="none"/>
                <w:lang w:val="en-US" w:eastAsia="zh-CN"/>
              </w:rPr>
              <w:t>，</w:t>
            </w:r>
            <w:r>
              <w:rPr>
                <w:rFonts w:hint="default" w:ascii="Times New Roman" w:hAnsi="Times New Roman" w:eastAsia="宋体" w:cs="Times New Roman"/>
                <w:color w:val="0000FF"/>
                <w:sz w:val="21"/>
                <w:szCs w:val="21"/>
                <w:highlight w:val="none"/>
              </w:rPr>
              <w:t>可防止降雨</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水</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的进入</w:t>
            </w:r>
            <w:r>
              <w:rPr>
                <w:rFonts w:hint="default" w:ascii="Times New Roman" w:hAnsi="Times New Roman" w:eastAsia="宋体" w:cs="Times New Roman"/>
                <w:color w:val="0000FF"/>
                <w:sz w:val="21"/>
                <w:szCs w:val="21"/>
                <w:highlight w:val="none"/>
                <w:lang w:eastAsia="zh-CN"/>
              </w:rPr>
              <w:t>，地面</w:t>
            </w:r>
            <w:r>
              <w:rPr>
                <w:rFonts w:hint="default" w:ascii="Times New Roman" w:hAnsi="Times New Roman" w:eastAsia="宋体" w:cs="Times New Roman"/>
                <w:color w:val="0000FF"/>
                <w:sz w:val="21"/>
                <w:szCs w:val="21"/>
                <w:highlight w:val="none"/>
                <w:lang w:val="en-US" w:eastAsia="zh-CN"/>
              </w:rPr>
              <w:t>选用PE膜+C25防渗混凝土，抗渗等级不小于P6级，</w:t>
            </w:r>
            <w:r>
              <w:rPr>
                <w:rFonts w:hint="default" w:ascii="Times New Roman" w:hAnsi="Times New Roman" w:eastAsia="宋体" w:cs="Times New Roman"/>
                <w:color w:val="0000FF"/>
                <w:kern w:val="0"/>
                <w:sz w:val="21"/>
                <w:szCs w:val="21"/>
                <w:highlight w:val="none"/>
              </w:rPr>
              <w:t>渗透系数≤10</w:t>
            </w:r>
            <w:r>
              <w:rPr>
                <w:rFonts w:hint="default" w:ascii="Times New Roman" w:hAnsi="Times New Roman" w:eastAsia="宋体" w:cs="Times New Roman"/>
                <w:color w:val="0000FF"/>
                <w:kern w:val="0"/>
                <w:sz w:val="21"/>
                <w:szCs w:val="21"/>
                <w:highlight w:val="none"/>
                <w:vertAlign w:val="superscript"/>
              </w:rPr>
              <w:t>-</w:t>
            </w:r>
            <w:r>
              <w:rPr>
                <w:rFonts w:hint="default" w:ascii="Times New Roman" w:hAnsi="Times New Roman" w:eastAsia="宋体" w:cs="Times New Roman"/>
                <w:color w:val="0000FF"/>
                <w:kern w:val="0"/>
                <w:sz w:val="21"/>
                <w:szCs w:val="21"/>
                <w:highlight w:val="none"/>
                <w:vertAlign w:val="superscript"/>
                <w:lang w:val="en-US" w:eastAsia="zh-CN"/>
              </w:rPr>
              <w:t>7</w:t>
            </w:r>
            <w:r>
              <w:rPr>
                <w:rFonts w:hint="default" w:ascii="Times New Roman" w:hAnsi="Times New Roman" w:eastAsia="宋体" w:cs="Times New Roman"/>
                <w:color w:val="0000FF"/>
                <w:kern w:val="0"/>
                <w:sz w:val="21"/>
                <w:szCs w:val="21"/>
                <w:highlight w:val="none"/>
              </w:rPr>
              <w:t>cm/s</w:t>
            </w:r>
            <w:r>
              <w:rPr>
                <w:rFonts w:hint="default" w:ascii="Times New Roman" w:hAnsi="Times New Roman" w:eastAsia="宋体" w:cs="Times New Roman"/>
                <w:color w:val="0000FF"/>
                <w:sz w:val="21"/>
                <w:szCs w:val="21"/>
                <w:highlight w:val="none"/>
                <w:lang w:eastAsia="zh-CN"/>
              </w:rPr>
              <w:t>。</w:t>
            </w:r>
          </w:p>
        </w:tc>
        <w:tc>
          <w:tcPr>
            <w:tcW w:w="680" w:type="dxa"/>
            <w:vAlign w:val="center"/>
          </w:tcPr>
          <w:p w14:paraId="4E2579D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4BFC3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1" w:type="dxa"/>
            <w:vAlign w:val="center"/>
          </w:tcPr>
          <w:p w14:paraId="4AD6EFE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《农业农村部办公厅生态环境部办公厅关于印发</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畜禽养殖场（户）粪污处理设施建设技术指南</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的通知》（农办牧〔2022〕19号）</w:t>
            </w:r>
          </w:p>
        </w:tc>
        <w:tc>
          <w:tcPr>
            <w:tcW w:w="8081" w:type="dxa"/>
            <w:vAlign w:val="center"/>
          </w:tcPr>
          <w:p w14:paraId="4D082D1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5</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2圈舍及运动场粪污减量设施</w:t>
            </w:r>
          </w:p>
          <w:p w14:paraId="2879902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畜禽养殖场</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户</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宜采用干清粪、水泡粪、地面垫料、床</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网</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下垫料等清粪工艺</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逐步淘汰水冲粪工艺</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合理控制清粪环节用水量。新建养殖场采用干清粪工艺的</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鼓励进行机械干清粪。鼓励畜禽养殖场采用碗式或液位控制等防溢漏饮水器</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减少饮水漏水。新建猪、鸡等养殖场宜采取圈舍封闭半封闭管理</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鼓励有条件的现有畜禽养殖场开展圈舍封闭改造</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对恶臭气体进行收集处理。</w:t>
            </w:r>
          </w:p>
          <w:p w14:paraId="5F2C9B1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0000FF"/>
                <w:sz w:val="21"/>
                <w:szCs w:val="21"/>
                <w:highlight w:val="none"/>
                <w:lang w:eastAsia="zh-CN"/>
              </w:rPr>
            </w:pPr>
            <w:r>
              <w:rPr>
                <w:rFonts w:hint="default" w:ascii="Times New Roman" w:hAnsi="Times New Roman" w:eastAsia="宋体" w:cs="Times New Roman"/>
                <w:color w:val="0000FF"/>
                <w:sz w:val="21"/>
                <w:szCs w:val="21"/>
                <w:highlight w:val="none"/>
              </w:rPr>
              <w:t>畜禽养殖场</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户</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应保持合理的清粪频次</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及时收集圈舍和运动场的粪污。鼓励畜禽养殖场做好运动场的防雨、防渗和防溢流</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降低环境污染风险</w:t>
            </w:r>
            <w:r>
              <w:rPr>
                <w:rFonts w:hint="default" w:ascii="Times New Roman" w:hAnsi="Times New Roman" w:eastAsia="宋体" w:cs="Times New Roman"/>
                <w:color w:val="0000FF"/>
                <w:sz w:val="21"/>
                <w:szCs w:val="21"/>
                <w:highlight w:val="none"/>
                <w:lang w:eastAsia="zh-CN"/>
              </w:rPr>
              <w:t>。</w:t>
            </w:r>
          </w:p>
          <w:p w14:paraId="5B94A56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5</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7固体粪污发酵设施</w:t>
            </w:r>
          </w:p>
          <w:p w14:paraId="5DBD52B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0000FF"/>
                <w:sz w:val="21"/>
                <w:szCs w:val="21"/>
                <w:highlight w:val="none"/>
              </w:rPr>
              <w:t>畜禽养殖场</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户</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可采用堆肥、沤肥、生产垫料等方式处理固体粪污。堆肥宜采用条垛式、强制通风静态垛、槽式、发酵仓、反应器或覆膜堆肥等好氧工艺</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根据不同工艺配套必要的混合、输送、搅拌、供氧和除臭等设施设备。沤肥宜采用平地或半坑式糊泥静置等兼氧工艺。生产垫料宜采用密闭式滚筒好氧发酵工艺</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配套必要的固液分离、进料、混合、发酵、除臭或智能控制等设施设备</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分离出的液体粪污应参照5</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5液体粪污贮存发酵设施中的要求进行处理。堆</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沤</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肥设施发酵容积不小于单位畜禽固体粪污日产生量</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立方米/天·头、只、羽</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×发酵周期</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天</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×设计存栏量</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头、只、羽</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确保充分发酵腐熟</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处理后蛔虫卵、粪大肠杆菌、镉、汞、砷、铅、铬、铊和缩二脲等物质应达到《肥料中有毒有害物质的限量要求》。</w:t>
            </w:r>
          </w:p>
        </w:tc>
        <w:tc>
          <w:tcPr>
            <w:tcW w:w="5669" w:type="dxa"/>
            <w:vAlign w:val="center"/>
          </w:tcPr>
          <w:p w14:paraId="2041B89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0000FF"/>
                <w:sz w:val="21"/>
                <w:szCs w:val="21"/>
                <w:highlight w:val="none"/>
                <w:lang w:eastAsia="zh-CN"/>
              </w:rPr>
            </w:pPr>
            <w:r>
              <w:rPr>
                <w:rFonts w:hint="default" w:ascii="Times New Roman" w:hAnsi="Times New Roman" w:eastAsia="宋体" w:cs="Times New Roman"/>
                <w:color w:val="0000FF"/>
                <w:sz w:val="21"/>
                <w:szCs w:val="21"/>
                <w:highlight w:val="none"/>
                <w:lang w:eastAsia="zh-CN"/>
              </w:rPr>
              <w:t>本</w:t>
            </w:r>
            <w:r>
              <w:rPr>
                <w:rFonts w:hint="default" w:ascii="Times New Roman" w:hAnsi="Times New Roman" w:eastAsia="宋体" w:cs="Times New Roman"/>
                <w:color w:val="0000FF"/>
                <w:sz w:val="21"/>
                <w:szCs w:val="21"/>
                <w:highlight w:val="none"/>
                <w:lang w:eastAsia="zh-CN"/>
              </w:rPr>
              <w:t>项目清粪方式采用干清粪工艺，日产日清，采用清粪车将牛舍内粪污铲出，后由清粪车运至粪污处理池储存并堆肥</w:t>
            </w:r>
            <w:r>
              <w:rPr>
                <w:rFonts w:hint="default" w:ascii="Times New Roman" w:hAnsi="Times New Roman" w:eastAsia="宋体" w:cs="Times New Roman"/>
                <w:color w:val="0000FF"/>
                <w:sz w:val="21"/>
                <w:szCs w:val="21"/>
                <w:highlight w:val="none"/>
                <w:lang w:eastAsia="zh-CN"/>
              </w:rPr>
              <w:t>。牛舍及运动场垫料主要为碎秸秆和木屑，带少量粪便。采用清粪车将垫料转运至粪污处理池与牛粪便一同发酵，形成有机肥，用于周边农田还田利用</w:t>
            </w:r>
            <w:r>
              <w:rPr>
                <w:rFonts w:hint="default" w:ascii="Times New Roman" w:hAnsi="Times New Roman" w:eastAsia="宋体" w:cs="Times New Roman"/>
                <w:color w:val="0000FF"/>
                <w:sz w:val="21"/>
                <w:szCs w:val="21"/>
                <w:highlight w:val="none"/>
                <w:lang w:eastAsia="zh-CN"/>
              </w:rPr>
              <w:t>。</w:t>
            </w:r>
          </w:p>
          <w:p w14:paraId="0EE0BB5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00B0F0"/>
                <w:sz w:val="21"/>
                <w:szCs w:val="21"/>
                <w:highlight w:val="none"/>
                <w:lang w:eastAsia="zh-CN"/>
              </w:rPr>
            </w:pPr>
            <w:r>
              <w:rPr>
                <w:rFonts w:hint="default" w:ascii="Times New Roman" w:hAnsi="Times New Roman" w:eastAsia="宋体" w:cs="Times New Roman"/>
                <w:color w:val="0000FF"/>
                <w:sz w:val="21"/>
                <w:szCs w:val="21"/>
                <w:highlight w:val="none"/>
                <w:lang w:eastAsia="zh-CN"/>
              </w:rPr>
              <w:t>根据《畜禽养殖业污染治理工程技术规范》（HJ497-2009），本项目牛粪便的处理采用比较成熟的好氧堆肥发酵制作有机肥工艺。处理流程为预处理、发酵等工段。</w:t>
            </w:r>
          </w:p>
        </w:tc>
        <w:tc>
          <w:tcPr>
            <w:tcW w:w="680" w:type="dxa"/>
            <w:vAlign w:val="center"/>
          </w:tcPr>
          <w:p w14:paraId="7C95997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bl>
    <w:p w14:paraId="5A1FC5E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p>
    <w:p w14:paraId="45C19C6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br w:type="page"/>
      </w:r>
    </w:p>
    <w:p w14:paraId="29387882">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sectPr>
          <w:pgSz w:w="16838" w:h="11906" w:orient="landscape"/>
          <w:pgMar w:top="1440" w:right="1800" w:bottom="1440" w:left="1800" w:header="851" w:footer="1134" w:gutter="0"/>
          <w:pgBorders>
            <w:top w:val="none" w:sz="0" w:space="0"/>
            <w:left w:val="none" w:sz="0" w:space="0"/>
            <w:bottom w:val="none" w:sz="0" w:space="0"/>
            <w:right w:val="none" w:sz="0" w:space="0"/>
          </w:pgBorders>
          <w:pgNumType w:fmt="decimal"/>
          <w:cols w:space="425" w:num="1"/>
          <w:docGrid w:linePitch="326" w:charSpace="0"/>
        </w:sectPr>
      </w:pPr>
    </w:p>
    <w:p w14:paraId="6C65BDFE">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综上，本项目属于规模化、标准化</w:t>
      </w:r>
      <w:r>
        <w:rPr>
          <w:rFonts w:hint="default" w:ascii="Times New Roman" w:hAnsi="Times New Roman" w:eastAsia="宋体" w:cs="Times New Roman"/>
          <w:color w:val="auto"/>
          <w:highlight w:val="none"/>
          <w:lang w:eastAsia="zh-CN"/>
        </w:rPr>
        <w:t>肉</w:t>
      </w:r>
      <w:r>
        <w:rPr>
          <w:rFonts w:hint="default" w:ascii="Times New Roman" w:hAnsi="Times New Roman" w:eastAsia="宋体" w:cs="Times New Roman"/>
          <w:color w:val="auto"/>
          <w:highlight w:val="none"/>
        </w:rPr>
        <w:t>牛养殖项目，采用干清粪工艺，</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经</w:t>
      </w:r>
      <w:r>
        <w:rPr>
          <w:rFonts w:hint="default" w:ascii="Times New Roman" w:hAnsi="Times New Roman" w:eastAsia="宋体" w:cs="Times New Roman"/>
          <w:color w:val="auto"/>
          <w:highlight w:val="none"/>
          <w:lang w:eastAsia="zh-CN"/>
        </w:rPr>
        <w:t>粪污处理池储存并堆肥</w:t>
      </w:r>
      <w:r>
        <w:rPr>
          <w:rFonts w:hint="default" w:ascii="Times New Roman" w:hAnsi="Times New Roman" w:eastAsia="宋体" w:cs="Times New Roman"/>
          <w:color w:val="auto"/>
          <w:highlight w:val="none"/>
        </w:rPr>
        <w:t>后，作为有机肥还田利用；均</w:t>
      </w:r>
      <w:r>
        <w:rPr>
          <w:rFonts w:hint="default" w:ascii="Times New Roman" w:hAnsi="Times New Roman" w:eastAsia="宋体" w:cs="Times New Roman"/>
          <w:color w:val="auto"/>
          <w:highlight w:val="none"/>
          <w:lang w:eastAsia="zh-CN"/>
        </w:rPr>
        <w:t>无害化处理后还田综合利用</w:t>
      </w:r>
      <w:r>
        <w:rPr>
          <w:rFonts w:hint="default" w:ascii="Times New Roman" w:hAnsi="Times New Roman" w:eastAsia="宋体" w:cs="Times New Roman"/>
          <w:color w:val="auto"/>
          <w:highlight w:val="none"/>
        </w:rPr>
        <w:t>，畜禽粪便综合利用率达100%；本项目的建设符合相关规划及政策的导向要求。</w:t>
      </w:r>
    </w:p>
    <w:p w14:paraId="420E0825">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191" w:name="_Toc9597"/>
      <w:r>
        <w:rPr>
          <w:rFonts w:hint="default" w:ascii="Times New Roman" w:hAnsi="Times New Roman" w:eastAsia="宋体" w:cs="Times New Roman"/>
          <w:color w:val="auto"/>
          <w:highlight w:val="none"/>
        </w:rPr>
        <w:t>2.7.</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选址合理性分析</w:t>
      </w:r>
      <w:bookmarkEnd w:id="191"/>
    </w:p>
    <w:p w14:paraId="33F31F7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（1）用地符合性分析</w:t>
      </w:r>
    </w:p>
    <w:p w14:paraId="7AD21900">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促进规模化畜禽养殖有关用地政策的通知》中明确指出：“规模化畜禽养殖用地的规划布局和选址，应坚持鼓励利用废弃地和荒山荒坡等未利用地、尽可能不占或少占耕地的原则，禁止占用基本农田。各地在土地整理和新农村建设中，可以充分考虑规模化畜禽养殖的需要，预留用地空间，提供用地条件。任何地方不得以新农村建设或整治环境为由禁止或限制规模化畜禽养殖。积极推行标准化规模养殖，合理确定用地标准，节约集约用地。”</w:t>
      </w:r>
    </w:p>
    <w:p w14:paraId="020B225C">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本项目的建设地点为</w:t>
      </w:r>
      <w:r>
        <w:rPr>
          <w:rFonts w:hint="default" w:ascii="Times New Roman" w:hAnsi="Times New Roman" w:eastAsia="宋体" w:cs="Times New Roman"/>
          <w:color w:val="auto"/>
          <w:highlight w:val="none"/>
          <w:lang w:eastAsia="zh-CN"/>
        </w:rPr>
        <w:t>内蒙古自治区巴彦淖尔市乌拉特前旗大佘太镇马卜子村</w:t>
      </w:r>
      <w:r>
        <w:rPr>
          <w:rFonts w:hint="default" w:ascii="Times New Roman" w:hAnsi="Times New Roman" w:eastAsia="宋体" w:cs="Times New Roman"/>
          <w:color w:val="auto"/>
          <w:highlight w:val="none"/>
        </w:rPr>
        <w:t>，项目不占用基本农田</w:t>
      </w:r>
      <w:r>
        <w:rPr>
          <w:rFonts w:hint="default" w:ascii="Times New Roman" w:hAnsi="Times New Roman" w:eastAsia="宋体" w:cs="Times New Roman"/>
          <w:color w:val="auto"/>
          <w:highlight w:val="none"/>
          <w:lang w:eastAsia="zh-CN"/>
        </w:rPr>
        <w:t>、林地等</w:t>
      </w:r>
      <w:r>
        <w:rPr>
          <w:rFonts w:hint="default" w:ascii="Times New Roman" w:hAnsi="Times New Roman" w:eastAsia="宋体" w:cs="Times New Roman"/>
          <w:color w:val="auto"/>
          <w:highlight w:val="none"/>
        </w:rPr>
        <w:t>，本项目用地符合当地的土地利用规划。</w:t>
      </w:r>
    </w:p>
    <w:p w14:paraId="28292C5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（2）场址选择合理性分析</w:t>
      </w:r>
    </w:p>
    <w:p w14:paraId="3AF69F3C">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sectPr>
          <w:pgSz w:w="11906" w:h="16838"/>
          <w:pgMar w:top="1440" w:right="1800" w:bottom="1440" w:left="1800" w:header="851" w:footer="1134" w:gutter="0"/>
          <w:pgBorders>
            <w:top w:val="none" w:sz="0" w:space="0"/>
            <w:left w:val="none" w:sz="0" w:space="0"/>
            <w:bottom w:val="none" w:sz="0" w:space="0"/>
            <w:right w:val="none" w:sz="0" w:space="0"/>
          </w:pgBorders>
          <w:pgNumType w:fmt="decimal"/>
          <w:cols w:space="425" w:num="1"/>
          <w:docGrid w:linePitch="326" w:charSpace="0"/>
        </w:sectPr>
      </w:pPr>
      <w:r>
        <w:rPr>
          <w:rFonts w:hint="default" w:ascii="Times New Roman" w:hAnsi="Times New Roman" w:eastAsia="宋体" w:cs="Times New Roman"/>
          <w:color w:val="auto"/>
          <w:highlight w:val="none"/>
        </w:rPr>
        <w:t>项目与《畜禽养殖业污染防治条例</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畜禽养殖业污染防治技术规范</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关于做好畜禽规模养殖项目环境影响评价管理工作的通知》等法律法规和行业规范要求中规定符合性分析见下表。</w:t>
      </w:r>
    </w:p>
    <w:p w14:paraId="3A4F8BB0">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表2.7-</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项目选址合理性对照表</w:t>
      </w:r>
    </w:p>
    <w:tbl>
      <w:tblPr>
        <w:tblStyle w:val="40"/>
        <w:tblW w:w="1360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984"/>
        <w:gridCol w:w="6823"/>
        <w:gridCol w:w="4155"/>
        <w:gridCol w:w="644"/>
      </w:tblGrid>
      <w:tr w14:paraId="5090A12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84" w:type="dxa"/>
            <w:tcBorders>
              <w:top w:val="single" w:color="auto" w:sz="4" w:space="0"/>
              <w:left w:val="single" w:color="auto" w:sz="4" w:space="0"/>
              <w:bottom w:val="single" w:color="auto" w:sz="4" w:space="0"/>
              <w:right w:val="single" w:color="auto" w:sz="4" w:space="0"/>
            </w:tcBorders>
            <w:vAlign w:val="center"/>
          </w:tcPr>
          <w:p w14:paraId="3A0F635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名称</w:t>
            </w:r>
          </w:p>
        </w:tc>
        <w:tc>
          <w:tcPr>
            <w:tcW w:w="6823" w:type="dxa"/>
            <w:tcBorders>
              <w:top w:val="single" w:color="auto" w:sz="4" w:space="0"/>
              <w:left w:val="single" w:color="auto" w:sz="4" w:space="0"/>
              <w:bottom w:val="single" w:color="auto" w:sz="4" w:space="0"/>
              <w:right w:val="single" w:color="auto" w:sz="4" w:space="0"/>
            </w:tcBorders>
            <w:vAlign w:val="center"/>
          </w:tcPr>
          <w:p w14:paraId="2C657FD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相关条文</w:t>
            </w:r>
          </w:p>
        </w:tc>
        <w:tc>
          <w:tcPr>
            <w:tcW w:w="4155" w:type="dxa"/>
            <w:tcBorders>
              <w:top w:val="single" w:color="auto" w:sz="4" w:space="0"/>
              <w:left w:val="single" w:color="auto" w:sz="4" w:space="0"/>
              <w:bottom w:val="single" w:color="auto" w:sz="4" w:space="0"/>
              <w:right w:val="single" w:color="auto" w:sz="4" w:space="0"/>
            </w:tcBorders>
            <w:vAlign w:val="center"/>
          </w:tcPr>
          <w:p w14:paraId="1CF841B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项目情况</w:t>
            </w:r>
          </w:p>
        </w:tc>
        <w:tc>
          <w:tcPr>
            <w:tcW w:w="644" w:type="dxa"/>
            <w:tcBorders>
              <w:top w:val="single" w:color="auto" w:sz="4" w:space="0"/>
              <w:left w:val="single" w:color="auto" w:sz="4" w:space="0"/>
              <w:bottom w:val="single" w:color="auto" w:sz="4" w:space="0"/>
              <w:right w:val="single" w:color="auto" w:sz="4" w:space="0"/>
            </w:tcBorders>
            <w:vAlign w:val="center"/>
          </w:tcPr>
          <w:p w14:paraId="46BBBCC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符合</w:t>
            </w:r>
          </w:p>
          <w:p w14:paraId="6DA1C62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情况</w:t>
            </w:r>
          </w:p>
        </w:tc>
      </w:tr>
      <w:tr w14:paraId="5969CA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84" w:type="dxa"/>
            <w:tcBorders>
              <w:top w:val="single" w:color="auto" w:sz="4" w:space="0"/>
              <w:left w:val="single" w:color="auto" w:sz="4" w:space="0"/>
              <w:bottom w:val="single" w:color="auto" w:sz="4" w:space="0"/>
              <w:right w:val="single" w:color="auto" w:sz="4" w:space="0"/>
            </w:tcBorders>
            <w:vAlign w:val="center"/>
          </w:tcPr>
          <w:p w14:paraId="0486C7C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《畜禽规模养殖污染防治条例》（国务院令第643号，2014年1月1日施行）</w:t>
            </w:r>
          </w:p>
        </w:tc>
        <w:tc>
          <w:tcPr>
            <w:tcW w:w="6823" w:type="dxa"/>
            <w:tcBorders>
              <w:top w:val="single" w:color="auto" w:sz="4" w:space="0"/>
              <w:left w:val="single" w:color="auto" w:sz="4" w:space="0"/>
              <w:bottom w:val="single" w:color="auto" w:sz="4" w:space="0"/>
              <w:right w:val="single" w:color="auto" w:sz="4" w:space="0"/>
            </w:tcBorders>
            <w:vAlign w:val="center"/>
          </w:tcPr>
          <w:p w14:paraId="5D773AB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第十一条禁止在下列区域内建设畜禽养殖场、养殖小区：</w:t>
            </w:r>
          </w:p>
          <w:p w14:paraId="0EC9D1F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（一）饮用水水源保护区、风景名胜区；</w:t>
            </w:r>
          </w:p>
          <w:p w14:paraId="6C47EE6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（二）自然保护区的核心区和缓冲区；</w:t>
            </w:r>
          </w:p>
          <w:p w14:paraId="6C43FF0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（三）城镇居民区、文化教育科学研究区等人口集中区域；</w:t>
            </w:r>
          </w:p>
          <w:p w14:paraId="5F2412B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（四）法律、法规规定的其他禁止养殖区域。</w:t>
            </w:r>
          </w:p>
        </w:tc>
        <w:tc>
          <w:tcPr>
            <w:tcW w:w="4155" w:type="dxa"/>
            <w:tcBorders>
              <w:top w:val="single" w:color="auto" w:sz="4" w:space="0"/>
              <w:left w:val="single" w:color="auto" w:sz="4" w:space="0"/>
              <w:bottom w:val="single" w:color="auto" w:sz="4" w:space="0"/>
              <w:right w:val="single" w:color="auto" w:sz="4" w:space="0"/>
            </w:tcBorders>
            <w:vAlign w:val="center"/>
          </w:tcPr>
          <w:p w14:paraId="692472E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本项目不在饮用水水源保护区、风景名胜区、自然保护区的核心区和缓冲区，不在城镇居民区、文化教育科学研究区等人口集中区域，不在法律、法规规定的其他禁止养殖区域。</w:t>
            </w:r>
          </w:p>
        </w:tc>
        <w:tc>
          <w:tcPr>
            <w:tcW w:w="644" w:type="dxa"/>
            <w:tcBorders>
              <w:top w:val="single" w:color="auto" w:sz="4" w:space="0"/>
              <w:left w:val="single" w:color="auto" w:sz="4" w:space="0"/>
              <w:bottom w:val="single" w:color="auto" w:sz="4" w:space="0"/>
              <w:right w:val="single" w:color="auto" w:sz="4" w:space="0"/>
            </w:tcBorders>
            <w:vAlign w:val="center"/>
          </w:tcPr>
          <w:p w14:paraId="37D9C80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399E468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84" w:type="dxa"/>
            <w:tcBorders>
              <w:top w:val="single" w:color="auto" w:sz="4" w:space="0"/>
              <w:left w:val="single" w:color="auto" w:sz="4" w:space="0"/>
              <w:bottom w:val="single" w:color="auto" w:sz="4" w:space="0"/>
              <w:right w:val="single" w:color="auto" w:sz="4" w:space="0"/>
            </w:tcBorders>
            <w:vAlign w:val="center"/>
          </w:tcPr>
          <w:p w14:paraId="407FBAB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《畜禽养殖业污染防治技术规范》（HJ/T81-2001）</w:t>
            </w:r>
          </w:p>
        </w:tc>
        <w:tc>
          <w:tcPr>
            <w:tcW w:w="6823" w:type="dxa"/>
            <w:tcBorders>
              <w:top w:val="single" w:color="auto" w:sz="4" w:space="0"/>
              <w:left w:val="single" w:color="auto" w:sz="4" w:space="0"/>
              <w:bottom w:val="single" w:color="auto" w:sz="4" w:space="0"/>
              <w:right w:val="single" w:color="auto" w:sz="4" w:space="0"/>
            </w:tcBorders>
            <w:vAlign w:val="center"/>
          </w:tcPr>
          <w:p w14:paraId="7CD0D47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3选址要求</w:t>
            </w:r>
          </w:p>
          <w:p w14:paraId="5AD4646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3.1禁止在下列区域内建设畜禽养殖场：</w:t>
            </w:r>
          </w:p>
          <w:p w14:paraId="718242C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3.1.1生活饮用水水源保护区、风景名胜区、自然保护区的核心区及缓冲区；</w:t>
            </w:r>
          </w:p>
          <w:p w14:paraId="1A5215B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3.1.2城市和城镇居民区，包括文教科研区、医疗区、商业区、工业区、游览区等人口集中地区；</w:t>
            </w:r>
          </w:p>
          <w:p w14:paraId="79437F8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3.1.3县级人民政府划定的禁养区域；</w:t>
            </w:r>
          </w:p>
          <w:p w14:paraId="5B11449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3.1.4国家或地方法律、法规规定需特殊保护的其他区域。</w:t>
            </w:r>
          </w:p>
          <w:p w14:paraId="0149604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3.2新建、扩建、改建的畜禽养殖场应避开3.1规定的禁建区域，在禁建区域附近建设的，应设在3.1规定的禁建区域常年主导风向的下风向或侧风向处，场界与禁建区域边界的最小距离不得小于500m。</w:t>
            </w:r>
          </w:p>
          <w:p w14:paraId="7E1F20D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5畜禽粪便的贮存</w:t>
            </w:r>
          </w:p>
          <w:p w14:paraId="7ED4033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5.2贮存设施的位置必须远离各种功能地表水体（距离不得小于400m），并应设在其下风向或侧风向处。</w:t>
            </w:r>
          </w:p>
        </w:tc>
        <w:tc>
          <w:tcPr>
            <w:tcW w:w="4155" w:type="dxa"/>
            <w:tcBorders>
              <w:top w:val="single" w:color="auto" w:sz="4" w:space="0"/>
              <w:left w:val="single" w:color="auto" w:sz="4" w:space="0"/>
              <w:bottom w:val="single" w:color="auto" w:sz="4" w:space="0"/>
              <w:right w:val="single" w:color="auto" w:sz="4" w:space="0"/>
            </w:tcBorders>
            <w:vAlign w:val="center"/>
          </w:tcPr>
          <w:p w14:paraId="4580558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①项目不在生活饮用水水源保护区、风景名胜区、自然保护区的核心区和缓冲区；</w:t>
            </w:r>
          </w:p>
          <w:p w14:paraId="1599A54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②项目位于农村地区，不在城市和城镇居民区，包括文教科研区、医疗区、商业区、工业区等人口集中地区；</w:t>
            </w:r>
          </w:p>
          <w:p w14:paraId="4BCCDE1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③项目所在区域无县级人民政府划定的禁养区域；</w:t>
            </w:r>
          </w:p>
          <w:p w14:paraId="635637E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④项目所在区域无国家或地方法律、法规规定需特殊保护</w:t>
            </w:r>
            <w:r>
              <w:rPr>
                <w:rFonts w:hint="default" w:ascii="Times New Roman" w:hAnsi="Times New Roman" w:eastAsia="宋体" w:cs="Times New Roman"/>
                <w:color w:val="auto"/>
                <w:sz w:val="21"/>
                <w:szCs w:val="21"/>
                <w:highlight w:val="none"/>
                <w:lang w:eastAsia="zh-CN"/>
              </w:rPr>
              <w:t>的其他</w:t>
            </w:r>
            <w:r>
              <w:rPr>
                <w:rFonts w:hint="default" w:ascii="Times New Roman" w:hAnsi="Times New Roman" w:eastAsia="宋体" w:cs="Times New Roman"/>
                <w:color w:val="auto"/>
                <w:sz w:val="21"/>
                <w:szCs w:val="21"/>
                <w:highlight w:val="none"/>
              </w:rPr>
              <w:t>区域。</w:t>
            </w:r>
          </w:p>
          <w:p w14:paraId="3DCCB01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FF0000"/>
                <w:sz w:val="21"/>
                <w:szCs w:val="21"/>
                <w:highlight w:val="none"/>
              </w:rPr>
              <w:t>⑤</w:t>
            </w:r>
            <w:r>
              <w:rPr>
                <w:rFonts w:hint="default" w:ascii="Times New Roman" w:hAnsi="Times New Roman" w:eastAsia="宋体" w:cs="Times New Roman"/>
                <w:color w:val="FF0000"/>
                <w:sz w:val="21"/>
                <w:szCs w:val="21"/>
                <w:highlight w:val="none"/>
                <w:lang w:eastAsia="zh-CN"/>
              </w:rPr>
              <w:t>乌梁素海湿地水禽自然保护区位于本项目粪污处理池南侧</w:t>
            </w:r>
            <w:r>
              <w:rPr>
                <w:rFonts w:hint="default" w:ascii="Times New Roman" w:hAnsi="Times New Roman" w:eastAsia="宋体" w:cs="Times New Roman"/>
                <w:color w:val="FF0000"/>
                <w:sz w:val="21"/>
                <w:szCs w:val="21"/>
                <w:highlight w:val="none"/>
                <w:lang w:val="en-US" w:eastAsia="zh-CN"/>
              </w:rPr>
              <w:t>2.4km，</w:t>
            </w:r>
            <w:r>
              <w:rPr>
                <w:rFonts w:hint="default" w:ascii="Times New Roman" w:hAnsi="Times New Roman" w:eastAsia="宋体" w:cs="Times New Roman"/>
                <w:color w:val="FF0000"/>
                <w:sz w:val="21"/>
                <w:szCs w:val="21"/>
                <w:highlight w:val="none"/>
                <w:lang w:val="en-US" w:eastAsia="zh-CN"/>
              </w:rPr>
              <w:t>大于500m；</w:t>
            </w:r>
            <w:r>
              <w:rPr>
                <w:rFonts w:hint="default" w:ascii="Times New Roman" w:hAnsi="Times New Roman" w:eastAsia="宋体" w:cs="Times New Roman"/>
                <w:color w:val="FF0000"/>
                <w:sz w:val="21"/>
                <w:szCs w:val="21"/>
                <w:highlight w:val="none"/>
              </w:rPr>
              <w:t>该地区年主导风向为SSE风</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lang w:eastAsia="zh-CN"/>
              </w:rPr>
              <w:t>乌梁素海湿地水禽自然保护区</w:t>
            </w:r>
            <w:r>
              <w:rPr>
                <w:rFonts w:hint="default" w:ascii="Times New Roman" w:hAnsi="Times New Roman" w:eastAsia="宋体" w:cs="Times New Roman"/>
                <w:color w:val="FF0000"/>
                <w:sz w:val="21"/>
                <w:szCs w:val="21"/>
                <w:highlight w:val="none"/>
                <w:lang w:val="en-US" w:eastAsia="zh-CN"/>
              </w:rPr>
              <w:t>位于本</w:t>
            </w:r>
            <w:r>
              <w:rPr>
                <w:rFonts w:hint="default" w:ascii="Times New Roman" w:hAnsi="Times New Roman" w:eastAsia="宋体" w:cs="Times New Roman"/>
                <w:color w:val="FF0000"/>
                <w:sz w:val="21"/>
                <w:szCs w:val="21"/>
                <w:highlight w:val="none"/>
              </w:rPr>
              <w:t>项目</w:t>
            </w:r>
            <w:r>
              <w:rPr>
                <w:rFonts w:hint="default" w:ascii="Times New Roman" w:hAnsi="Times New Roman" w:eastAsia="宋体" w:cs="Times New Roman"/>
                <w:color w:val="FF0000"/>
                <w:sz w:val="21"/>
                <w:szCs w:val="21"/>
                <w:highlight w:val="none"/>
                <w:lang w:eastAsia="zh-CN"/>
              </w:rPr>
              <w:t>粪污处理池</w:t>
            </w:r>
            <w:r>
              <w:rPr>
                <w:rFonts w:hint="default" w:ascii="Times New Roman" w:hAnsi="Times New Roman" w:eastAsia="宋体" w:cs="Times New Roman"/>
                <w:color w:val="FF0000"/>
                <w:sz w:val="21"/>
                <w:szCs w:val="21"/>
                <w:highlight w:val="none"/>
                <w:lang w:val="en-US" w:eastAsia="zh-CN"/>
              </w:rPr>
              <w:t>南侧，属于</w:t>
            </w:r>
            <w:r>
              <w:rPr>
                <w:rFonts w:hint="default" w:ascii="Times New Roman" w:hAnsi="Times New Roman" w:eastAsia="宋体" w:cs="Times New Roman"/>
                <w:color w:val="FF0000"/>
                <w:sz w:val="21"/>
                <w:szCs w:val="21"/>
                <w:highlight w:val="none"/>
                <w:lang w:val="en-US" w:eastAsia="zh-CN"/>
              </w:rPr>
              <w:t>当地</w:t>
            </w:r>
            <w:r>
              <w:rPr>
                <w:rFonts w:hint="default" w:ascii="Times New Roman" w:hAnsi="Times New Roman" w:eastAsia="宋体" w:cs="Times New Roman"/>
                <w:color w:val="FF0000"/>
                <w:sz w:val="21"/>
                <w:szCs w:val="21"/>
                <w:highlight w:val="none"/>
              </w:rPr>
              <w:t>20年主</w:t>
            </w:r>
            <w:r>
              <w:rPr>
                <w:rFonts w:hint="default" w:ascii="Times New Roman" w:hAnsi="Times New Roman" w:eastAsia="宋体" w:cs="Times New Roman"/>
                <w:color w:val="FF0000"/>
                <w:sz w:val="21"/>
                <w:szCs w:val="21"/>
                <w:highlight w:val="none"/>
                <w:lang w:eastAsia="zh-CN"/>
              </w:rPr>
              <w:t>导</w:t>
            </w:r>
            <w:r>
              <w:rPr>
                <w:rFonts w:hint="default" w:ascii="Times New Roman" w:hAnsi="Times New Roman" w:eastAsia="宋体" w:cs="Times New Roman"/>
                <w:color w:val="FF0000"/>
                <w:sz w:val="21"/>
                <w:szCs w:val="21"/>
                <w:highlight w:val="none"/>
              </w:rPr>
              <w:t>风向的</w:t>
            </w:r>
            <w:r>
              <w:rPr>
                <w:rFonts w:hint="default" w:ascii="Times New Roman" w:hAnsi="Times New Roman" w:eastAsia="宋体" w:cs="Times New Roman"/>
                <w:color w:val="FF0000"/>
                <w:sz w:val="21"/>
                <w:szCs w:val="21"/>
                <w:highlight w:val="none"/>
                <w:lang w:val="en-US" w:eastAsia="zh-CN"/>
              </w:rPr>
              <w:t>上</w:t>
            </w:r>
            <w:r>
              <w:rPr>
                <w:rFonts w:hint="default" w:ascii="Times New Roman" w:hAnsi="Times New Roman" w:eastAsia="宋体" w:cs="Times New Roman"/>
                <w:color w:val="FF0000"/>
                <w:sz w:val="21"/>
                <w:szCs w:val="21"/>
                <w:highlight w:val="none"/>
              </w:rPr>
              <w:t>风向</w:t>
            </w:r>
            <w:r>
              <w:rPr>
                <w:rFonts w:hint="default" w:ascii="Times New Roman" w:hAnsi="Times New Roman" w:eastAsia="宋体" w:cs="Times New Roman"/>
                <w:color w:val="FF0000"/>
                <w:sz w:val="21"/>
                <w:szCs w:val="21"/>
                <w:highlight w:val="none"/>
                <w:lang w:eastAsia="zh-CN"/>
              </w:rPr>
              <w:t>。</w:t>
            </w:r>
          </w:p>
        </w:tc>
        <w:tc>
          <w:tcPr>
            <w:tcW w:w="644" w:type="dxa"/>
            <w:tcBorders>
              <w:top w:val="single" w:color="auto" w:sz="4" w:space="0"/>
              <w:left w:val="single" w:color="auto" w:sz="4" w:space="0"/>
              <w:bottom w:val="single" w:color="auto" w:sz="4" w:space="0"/>
              <w:right w:val="single" w:color="auto" w:sz="4" w:space="0"/>
            </w:tcBorders>
            <w:vAlign w:val="center"/>
          </w:tcPr>
          <w:p w14:paraId="7115B33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66743C4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84" w:type="dxa"/>
            <w:tcBorders>
              <w:top w:val="single" w:color="auto" w:sz="4" w:space="0"/>
              <w:left w:val="single" w:color="auto" w:sz="4" w:space="0"/>
              <w:bottom w:val="single" w:color="auto" w:sz="4" w:space="0"/>
              <w:right w:val="single" w:color="auto" w:sz="4" w:space="0"/>
            </w:tcBorders>
            <w:vAlign w:val="center"/>
          </w:tcPr>
          <w:p w14:paraId="3B408C7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《畜禽场区设计技术规范》（NY/T682-2003）</w:t>
            </w:r>
          </w:p>
        </w:tc>
        <w:tc>
          <w:tcPr>
            <w:tcW w:w="6823" w:type="dxa"/>
            <w:tcBorders>
              <w:top w:val="single" w:color="auto" w:sz="4" w:space="0"/>
              <w:left w:val="single" w:color="auto" w:sz="4" w:space="0"/>
              <w:bottom w:val="single" w:color="auto" w:sz="4" w:space="0"/>
              <w:right w:val="single" w:color="auto" w:sz="4" w:space="0"/>
            </w:tcBorders>
            <w:vAlign w:val="center"/>
          </w:tcPr>
          <w:p w14:paraId="74CE803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4.1场址选择</w:t>
            </w:r>
          </w:p>
          <w:p w14:paraId="479E35F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4.1.1选择场址应符合本地区农牧业生产发展总体规划、土地利用发展规划、城乡建设发展规划和环境保护规划的要求。</w:t>
            </w:r>
          </w:p>
          <w:p w14:paraId="0595AC1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4.1.2新建场址周围应具备就地无害化处理粪尿、污水的足够场地和排污条件，并通过畜禽场建设环境影响评价。</w:t>
            </w:r>
          </w:p>
          <w:p w14:paraId="7385E00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4.1.3选择场址应遵守十分珍惜和合理利用土地的原则，不应占用基本农田，尽量利用荒地建场，分期建设时，选址应按总体规划需要次完成，土地随用随征，预留远期工程建设用地。</w:t>
            </w:r>
          </w:p>
          <w:p w14:paraId="564DB38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4.1.4场址应水源充足，水质应符合NY5027要求，排水通畅，供电可靠，交通便利，地质条件能满足工程建设要求。</w:t>
            </w:r>
          </w:p>
          <w:p w14:paraId="7111EF5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4.1.5以下地区或地段不应建场。</w:t>
            </w:r>
          </w:p>
          <w:p w14:paraId="445D084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4.1.1规定的自然保护区、水源保护区、风景旅游区。</w:t>
            </w:r>
          </w:p>
          <w:p w14:paraId="1682E6A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4.1.5.2受洪水或山洪威胁及泥石流、滑坡等自然灾害多发地带。</w:t>
            </w:r>
          </w:p>
          <w:p w14:paraId="14185E0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4.1.5.3自然环境污染严重的地区。</w:t>
            </w:r>
          </w:p>
        </w:tc>
        <w:tc>
          <w:tcPr>
            <w:tcW w:w="4155" w:type="dxa"/>
            <w:tcBorders>
              <w:top w:val="single" w:color="auto" w:sz="4" w:space="0"/>
              <w:left w:val="single" w:color="auto" w:sz="4" w:space="0"/>
              <w:bottom w:val="single" w:color="auto" w:sz="4" w:space="0"/>
              <w:right w:val="single" w:color="auto" w:sz="4" w:space="0"/>
            </w:tcBorders>
            <w:vAlign w:val="center"/>
          </w:tcPr>
          <w:p w14:paraId="3BCF4F9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0000FF"/>
                <w:sz w:val="21"/>
                <w:szCs w:val="21"/>
                <w:highlight w:val="none"/>
                <w:lang w:eastAsia="zh-CN"/>
              </w:rPr>
            </w:pPr>
            <w:r>
              <w:rPr>
                <w:rFonts w:hint="default" w:ascii="Times New Roman" w:hAnsi="Times New Roman" w:eastAsia="宋体" w:cs="Times New Roman"/>
                <w:color w:val="0000FF"/>
                <w:sz w:val="21"/>
                <w:szCs w:val="21"/>
                <w:highlight w:val="none"/>
              </w:rPr>
              <w:t>①项目周边土地性质主要为其他草地、耕地和设施农用地，根据巴彦淖尔市生态环境局乌拉特前旗分局于2023年8月8日出具的《关于核实乌拉特前旗大佘太中海禾牧养殖专业合作社新建肉牛养殖项目是否位于禁养区的复函》（乌环字</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2023</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196号），本项目不在乌拉特前旗已调整的禁养区内；根据乌拉特前旗自然资源局于2022年10月14日出具的《关于核查大佘太中海禾牧养殖专业合作社新建肉牛养殖项目是否位于生态保护红线的复函》（乌自然资函发〔2022〕291号），本项目用地不在乌拉特前旗生态保护红线范围内；根据巴彦淖尔市生态环境局乌拉特前旗分局于2022年10月11日出具的《关于核实乌拉特前旗大佘太中海禾牧养殖专业合作社新建肉牛养殖项目是否位于饮用水水源保护区的复函》（乌环字</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2022</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329号），本项目选址范围不在乌拉特前旗已批复的饮用水水源保护区内；下风向1000m范围内无学校、医院、行政办公室等敏感目标；本项目评价范围内无饮用水水源地、自然保护区、风景名胜区等特殊环境敏感区，不涉及重要生态功能区、生态敏感脆弱区、禁止开发区域以及其他各类保护地；项目选址符合《关于做好畜禽规模养殖项目环境影响评价管理工作的通知》（环办环评〔2018〕31号）、《畜禽规模养殖污染防治条例》国务院令第643号、《畜禽养殖业污染防治技术规范》（HJ-T81-2001）、《畜禽场场区设计技术规范》（NY-T682-2003）等法律法规和行业规范的选址要求</w:t>
            </w:r>
            <w:r>
              <w:rPr>
                <w:rFonts w:hint="default" w:ascii="Times New Roman" w:hAnsi="Times New Roman" w:eastAsia="宋体" w:cs="Times New Roman"/>
                <w:color w:val="0000FF"/>
                <w:sz w:val="21"/>
                <w:szCs w:val="21"/>
                <w:highlight w:val="none"/>
                <w:lang w:eastAsia="zh-CN"/>
              </w:rPr>
              <w:t>。</w:t>
            </w:r>
          </w:p>
          <w:p w14:paraId="264A5DA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②项目场地具备就地无害化处理</w:t>
            </w:r>
            <w:r>
              <w:rPr>
                <w:rFonts w:hint="default" w:ascii="Times New Roman" w:hAnsi="Times New Roman" w:eastAsia="宋体" w:cs="Times New Roman"/>
                <w:color w:val="auto"/>
                <w:sz w:val="21"/>
                <w:szCs w:val="21"/>
                <w:highlight w:val="none"/>
                <w:lang w:eastAsia="zh-CN"/>
              </w:rPr>
              <w:t>牛粪便</w:t>
            </w:r>
            <w:r>
              <w:rPr>
                <w:rFonts w:hint="default" w:ascii="Times New Roman" w:hAnsi="Times New Roman" w:eastAsia="宋体" w:cs="Times New Roman"/>
                <w:color w:val="auto"/>
                <w:sz w:val="21"/>
                <w:szCs w:val="21"/>
                <w:highlight w:val="none"/>
              </w:rPr>
              <w:t>的足够场地和排污条件；</w:t>
            </w:r>
          </w:p>
          <w:p w14:paraId="2AE34CF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③项目建设不占用基本农田</w:t>
            </w:r>
            <w:r>
              <w:rPr>
                <w:rFonts w:hint="default" w:ascii="Times New Roman" w:hAnsi="Times New Roman" w:eastAsia="宋体" w:cs="Times New Roman"/>
                <w:color w:val="auto"/>
                <w:sz w:val="21"/>
                <w:szCs w:val="21"/>
                <w:highlight w:val="none"/>
                <w:lang w:val="en-US" w:eastAsia="zh-CN"/>
              </w:rPr>
              <w:t>、林地等</w:t>
            </w:r>
            <w:r>
              <w:rPr>
                <w:rFonts w:hint="default" w:ascii="Times New Roman" w:hAnsi="Times New Roman" w:eastAsia="宋体" w:cs="Times New Roman"/>
                <w:color w:val="auto"/>
                <w:sz w:val="21"/>
                <w:szCs w:val="21"/>
                <w:highlight w:val="none"/>
              </w:rPr>
              <w:t>；</w:t>
            </w:r>
          </w:p>
          <w:p w14:paraId="6BF05B6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④项目厂址不在洪水或山洪威胁及泥石流、滑坡等自然灾害多发地带以及自然环境污染严重的地区。</w:t>
            </w:r>
          </w:p>
        </w:tc>
        <w:tc>
          <w:tcPr>
            <w:tcW w:w="644" w:type="dxa"/>
            <w:tcBorders>
              <w:top w:val="single" w:color="auto" w:sz="4" w:space="0"/>
              <w:left w:val="single" w:color="auto" w:sz="4" w:space="0"/>
              <w:bottom w:val="single" w:color="auto" w:sz="4" w:space="0"/>
              <w:right w:val="single" w:color="auto" w:sz="4" w:space="0"/>
            </w:tcBorders>
            <w:vAlign w:val="center"/>
          </w:tcPr>
          <w:p w14:paraId="34FEE08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64C009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84" w:type="dxa"/>
            <w:tcBorders>
              <w:top w:val="single" w:color="auto" w:sz="4" w:space="0"/>
              <w:left w:val="single" w:color="auto" w:sz="4" w:space="0"/>
              <w:bottom w:val="single" w:color="auto" w:sz="4" w:space="0"/>
              <w:right w:val="single" w:color="auto" w:sz="4" w:space="0"/>
            </w:tcBorders>
            <w:vAlign w:val="center"/>
          </w:tcPr>
          <w:p w14:paraId="214A142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《畜禽粪便无害化处理技术规范》</w:t>
            </w:r>
          </w:p>
          <w:p w14:paraId="2556D69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（NY/T1168-2006）</w:t>
            </w:r>
          </w:p>
        </w:tc>
        <w:tc>
          <w:tcPr>
            <w:tcW w:w="6823" w:type="dxa"/>
            <w:tcBorders>
              <w:top w:val="single" w:color="auto" w:sz="4" w:space="0"/>
              <w:left w:val="single" w:color="auto" w:sz="4" w:space="0"/>
              <w:bottom w:val="single" w:color="auto" w:sz="4" w:space="0"/>
              <w:right w:val="single" w:color="auto" w:sz="4" w:space="0"/>
            </w:tcBorders>
            <w:vAlign w:val="center"/>
          </w:tcPr>
          <w:p w14:paraId="7D221AC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5处理场地的要求</w:t>
            </w:r>
          </w:p>
          <w:p w14:paraId="393C94B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5.1新建、扩建和改建畜禽养殖场或养殖小区必须配置畜禽粪便处理设施或畜禽粪便处理场。已建的畜禽场没有设施或处理场的，应及时补上。畜禽养殖场的选址禁止在下列区域内建设畜禽粪便处理场：</w:t>
            </w:r>
          </w:p>
          <w:p w14:paraId="7AC25BD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5.1.1生活饮用水水源保护区、风景名胜区、自然保护区的核心区及缓冲区。</w:t>
            </w:r>
          </w:p>
          <w:p w14:paraId="046D4A7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5.1.2城市和城镇居民区，包括文教科研区、医疗区、商业区、工业区游览区等人口集中地区。</w:t>
            </w:r>
          </w:p>
          <w:p w14:paraId="77F2234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5.1.3县级人民政府依法划定的禁养区域。</w:t>
            </w:r>
          </w:p>
          <w:p w14:paraId="1AB028B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5.1.4国家或地方法律、法规规定需特殊保护的其他区域。</w:t>
            </w:r>
          </w:p>
          <w:p w14:paraId="30303BB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5.2在禁建区域附近建设畜禽粪便处理设施和单独建设的畜禽粪便处理处，应设在5.1规定的禁建区域常年主导风向的下风向或侧风向处，场界与禁建区域边界的最小距离不得小于500m</w:t>
            </w:r>
            <w:r>
              <w:rPr>
                <w:rFonts w:hint="default" w:ascii="Times New Roman" w:hAnsi="Times New Roman" w:eastAsia="宋体" w:cs="Times New Roman"/>
                <w:color w:val="auto"/>
                <w:sz w:val="21"/>
                <w:szCs w:val="21"/>
                <w:highlight w:val="none"/>
                <w:lang w:eastAsia="zh-CN"/>
              </w:rPr>
              <w:t>。</w:t>
            </w:r>
          </w:p>
          <w:p w14:paraId="756D7DD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8.2畜禽养殖场、养殖小区或畜禽粪便处理场应分别设置液体和固体废弃物贮存设施，畜禽粪便贮存设施位置必须距离地表水体400m以上。</w:t>
            </w:r>
          </w:p>
        </w:tc>
        <w:tc>
          <w:tcPr>
            <w:tcW w:w="4155" w:type="dxa"/>
            <w:tcBorders>
              <w:top w:val="single" w:color="auto" w:sz="4" w:space="0"/>
              <w:left w:val="single" w:color="auto" w:sz="4" w:space="0"/>
              <w:bottom w:val="single" w:color="auto" w:sz="4" w:space="0"/>
              <w:right w:val="single" w:color="auto" w:sz="4" w:space="0"/>
            </w:tcBorders>
            <w:vAlign w:val="center"/>
          </w:tcPr>
          <w:p w14:paraId="0E3569E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①项目采用干清粪工艺，并配套建设</w:t>
            </w:r>
            <w:r>
              <w:rPr>
                <w:rFonts w:hint="default" w:ascii="Times New Roman" w:hAnsi="Times New Roman" w:eastAsia="宋体" w:cs="Times New Roman"/>
                <w:color w:val="auto"/>
                <w:sz w:val="21"/>
                <w:szCs w:val="21"/>
                <w:highlight w:val="none"/>
                <w:lang w:eastAsia="zh-CN"/>
              </w:rPr>
              <w:t>粪污处理池</w:t>
            </w:r>
            <w:r>
              <w:rPr>
                <w:rFonts w:hint="default" w:ascii="Times New Roman" w:hAnsi="Times New Roman" w:eastAsia="宋体" w:cs="Times New Roman"/>
                <w:color w:val="auto"/>
                <w:sz w:val="21"/>
                <w:szCs w:val="21"/>
                <w:highlight w:val="none"/>
              </w:rPr>
              <w:t>；</w:t>
            </w:r>
          </w:p>
          <w:p w14:paraId="67C1010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②项目不在生活饮用水水源保护区、风景名胜区、自然保护区的核心区及缓冲区；</w:t>
            </w:r>
          </w:p>
          <w:p w14:paraId="0E5D549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③项目位于农村地区，不在城市和城镇居民区，包括文教科研区、医疗区、商业区、工业区等人口集中地区；</w:t>
            </w:r>
          </w:p>
          <w:p w14:paraId="322E862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④项目不在县级人民政府划定的禁养区域；</w:t>
            </w:r>
          </w:p>
          <w:p w14:paraId="1844122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⑤项目所在区域无国家或地方法律、法规规定需特殊保护</w:t>
            </w:r>
            <w:r>
              <w:rPr>
                <w:rFonts w:hint="default" w:ascii="Times New Roman" w:hAnsi="Times New Roman" w:eastAsia="宋体" w:cs="Times New Roman"/>
                <w:color w:val="auto"/>
                <w:sz w:val="21"/>
                <w:szCs w:val="21"/>
                <w:highlight w:val="none"/>
                <w:lang w:eastAsia="zh-CN"/>
              </w:rPr>
              <w:t>的其他</w:t>
            </w:r>
            <w:r>
              <w:rPr>
                <w:rFonts w:hint="default" w:ascii="Times New Roman" w:hAnsi="Times New Roman" w:eastAsia="宋体" w:cs="Times New Roman"/>
                <w:color w:val="auto"/>
                <w:sz w:val="21"/>
                <w:szCs w:val="21"/>
                <w:highlight w:val="none"/>
              </w:rPr>
              <w:t>区域；</w:t>
            </w:r>
          </w:p>
          <w:p w14:paraId="5B7DF4A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⑥项目畜禽粪便处与禁建区</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城市及城镇居民区</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的距离均大于500m，符合粪便处理设施与禁建区边界的最小距离不得小于500m的要求；</w:t>
            </w:r>
          </w:p>
          <w:p w14:paraId="21A356C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⑦</w:t>
            </w:r>
            <w:r>
              <w:rPr>
                <w:rFonts w:hint="default" w:ascii="Times New Roman" w:hAnsi="Times New Roman" w:eastAsia="宋体" w:cs="Times New Roman"/>
                <w:color w:val="FF0000"/>
                <w:sz w:val="21"/>
                <w:szCs w:val="21"/>
                <w:highlight w:val="none"/>
                <w:lang w:eastAsia="zh-CN"/>
              </w:rPr>
              <w:t>乌梁素海湿地水禽自然保护区位于本项目粪污处理池南侧</w:t>
            </w:r>
            <w:r>
              <w:rPr>
                <w:rFonts w:hint="default" w:ascii="Times New Roman" w:hAnsi="Times New Roman" w:eastAsia="宋体" w:cs="Times New Roman"/>
                <w:color w:val="FF0000"/>
                <w:sz w:val="21"/>
                <w:szCs w:val="21"/>
                <w:highlight w:val="none"/>
                <w:lang w:val="en-US" w:eastAsia="zh-CN"/>
              </w:rPr>
              <w:t>2.4km，</w:t>
            </w:r>
            <w:r>
              <w:rPr>
                <w:rFonts w:hint="default" w:ascii="Times New Roman" w:hAnsi="Times New Roman" w:eastAsia="宋体" w:cs="Times New Roman"/>
                <w:color w:val="FF0000"/>
                <w:sz w:val="21"/>
                <w:szCs w:val="21"/>
                <w:highlight w:val="none"/>
                <w:lang w:val="en-US" w:eastAsia="zh-CN"/>
              </w:rPr>
              <w:t>大于500m；</w:t>
            </w:r>
            <w:r>
              <w:rPr>
                <w:rFonts w:hint="default" w:ascii="Times New Roman" w:hAnsi="Times New Roman" w:eastAsia="宋体" w:cs="Times New Roman"/>
                <w:color w:val="FF0000"/>
                <w:sz w:val="21"/>
                <w:szCs w:val="21"/>
                <w:highlight w:val="none"/>
              </w:rPr>
              <w:t>该地区年主导风向为SSE风</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lang w:eastAsia="zh-CN"/>
              </w:rPr>
              <w:t>乌梁素海湿地水禽自然保护区</w:t>
            </w:r>
            <w:r>
              <w:rPr>
                <w:rFonts w:hint="default" w:ascii="Times New Roman" w:hAnsi="Times New Roman" w:eastAsia="宋体" w:cs="Times New Roman"/>
                <w:color w:val="FF0000"/>
                <w:sz w:val="21"/>
                <w:szCs w:val="21"/>
                <w:highlight w:val="none"/>
                <w:lang w:val="en-US" w:eastAsia="zh-CN"/>
              </w:rPr>
              <w:t>位于本</w:t>
            </w:r>
            <w:r>
              <w:rPr>
                <w:rFonts w:hint="default" w:ascii="Times New Roman" w:hAnsi="Times New Roman" w:eastAsia="宋体" w:cs="Times New Roman"/>
                <w:color w:val="FF0000"/>
                <w:sz w:val="21"/>
                <w:szCs w:val="21"/>
                <w:highlight w:val="none"/>
              </w:rPr>
              <w:t>项目</w:t>
            </w:r>
            <w:r>
              <w:rPr>
                <w:rFonts w:hint="default" w:ascii="Times New Roman" w:hAnsi="Times New Roman" w:eastAsia="宋体" w:cs="Times New Roman"/>
                <w:color w:val="FF0000"/>
                <w:sz w:val="21"/>
                <w:szCs w:val="21"/>
                <w:highlight w:val="none"/>
                <w:lang w:eastAsia="zh-CN"/>
              </w:rPr>
              <w:t>粪污处理池</w:t>
            </w:r>
            <w:r>
              <w:rPr>
                <w:rFonts w:hint="default" w:ascii="Times New Roman" w:hAnsi="Times New Roman" w:eastAsia="宋体" w:cs="Times New Roman"/>
                <w:color w:val="FF0000"/>
                <w:sz w:val="21"/>
                <w:szCs w:val="21"/>
                <w:highlight w:val="none"/>
                <w:lang w:val="en-US" w:eastAsia="zh-CN"/>
              </w:rPr>
              <w:t>南侧，属于</w:t>
            </w:r>
            <w:r>
              <w:rPr>
                <w:rFonts w:hint="default" w:ascii="Times New Roman" w:hAnsi="Times New Roman" w:eastAsia="宋体" w:cs="Times New Roman"/>
                <w:color w:val="FF0000"/>
                <w:sz w:val="21"/>
                <w:szCs w:val="21"/>
                <w:highlight w:val="none"/>
                <w:lang w:val="en-US" w:eastAsia="zh-CN"/>
              </w:rPr>
              <w:t>当地</w:t>
            </w:r>
            <w:r>
              <w:rPr>
                <w:rFonts w:hint="default" w:ascii="Times New Roman" w:hAnsi="Times New Roman" w:eastAsia="宋体" w:cs="Times New Roman"/>
                <w:color w:val="FF0000"/>
                <w:sz w:val="21"/>
                <w:szCs w:val="21"/>
                <w:highlight w:val="none"/>
              </w:rPr>
              <w:t>20年主</w:t>
            </w:r>
            <w:r>
              <w:rPr>
                <w:rFonts w:hint="default" w:ascii="Times New Roman" w:hAnsi="Times New Roman" w:eastAsia="宋体" w:cs="Times New Roman"/>
                <w:color w:val="FF0000"/>
                <w:sz w:val="21"/>
                <w:szCs w:val="21"/>
                <w:highlight w:val="none"/>
                <w:lang w:eastAsia="zh-CN"/>
              </w:rPr>
              <w:t>导</w:t>
            </w:r>
            <w:r>
              <w:rPr>
                <w:rFonts w:hint="default" w:ascii="Times New Roman" w:hAnsi="Times New Roman" w:eastAsia="宋体" w:cs="Times New Roman"/>
                <w:color w:val="FF0000"/>
                <w:sz w:val="21"/>
                <w:szCs w:val="21"/>
                <w:highlight w:val="none"/>
              </w:rPr>
              <w:t>风向的</w:t>
            </w:r>
            <w:r>
              <w:rPr>
                <w:rFonts w:hint="default" w:ascii="Times New Roman" w:hAnsi="Times New Roman" w:eastAsia="宋体" w:cs="Times New Roman"/>
                <w:color w:val="FF0000"/>
                <w:sz w:val="21"/>
                <w:szCs w:val="21"/>
                <w:highlight w:val="none"/>
                <w:lang w:val="en-US" w:eastAsia="zh-CN"/>
              </w:rPr>
              <w:t>上</w:t>
            </w:r>
            <w:r>
              <w:rPr>
                <w:rFonts w:hint="default" w:ascii="Times New Roman" w:hAnsi="Times New Roman" w:eastAsia="宋体" w:cs="Times New Roman"/>
                <w:color w:val="FF0000"/>
                <w:sz w:val="21"/>
                <w:szCs w:val="21"/>
                <w:highlight w:val="none"/>
              </w:rPr>
              <w:t>风向</w:t>
            </w:r>
            <w:r>
              <w:rPr>
                <w:rFonts w:hint="default" w:ascii="Times New Roman" w:hAnsi="Times New Roman" w:eastAsia="宋体" w:cs="Times New Roman"/>
                <w:color w:val="FF0000"/>
                <w:sz w:val="21"/>
                <w:szCs w:val="21"/>
                <w:highlight w:val="none"/>
                <w:lang w:eastAsia="zh-CN"/>
              </w:rPr>
              <w:t>。</w:t>
            </w:r>
          </w:p>
        </w:tc>
        <w:tc>
          <w:tcPr>
            <w:tcW w:w="644" w:type="dxa"/>
            <w:tcBorders>
              <w:top w:val="single" w:color="auto" w:sz="4" w:space="0"/>
              <w:left w:val="single" w:color="auto" w:sz="4" w:space="0"/>
              <w:bottom w:val="single" w:color="auto" w:sz="4" w:space="0"/>
              <w:right w:val="single" w:color="auto" w:sz="4" w:space="0"/>
            </w:tcBorders>
            <w:vAlign w:val="center"/>
          </w:tcPr>
          <w:p w14:paraId="7DF3FC3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38B2AD8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84" w:type="dxa"/>
            <w:tcBorders>
              <w:top w:val="single" w:color="auto" w:sz="4" w:space="0"/>
              <w:left w:val="single" w:color="auto" w:sz="4" w:space="0"/>
              <w:bottom w:val="single" w:color="auto" w:sz="4" w:space="0"/>
              <w:right w:val="single" w:color="auto" w:sz="4" w:space="0"/>
            </w:tcBorders>
            <w:vAlign w:val="center"/>
          </w:tcPr>
          <w:p w14:paraId="05D6CD3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bookmarkStart w:id="192" w:name="_Hlk48159452"/>
            <w:r>
              <w:rPr>
                <w:rFonts w:hint="default" w:ascii="Times New Roman" w:hAnsi="Times New Roman" w:eastAsia="宋体" w:cs="Times New Roman"/>
                <w:color w:val="auto"/>
                <w:sz w:val="21"/>
                <w:szCs w:val="21"/>
                <w:highlight w:val="none"/>
              </w:rPr>
              <w:t>《关于做好畜禽规模养殖项目环境影响评价管理工作的通知》（环办环评</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2018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31号）</w:t>
            </w:r>
            <w:bookmarkEnd w:id="192"/>
          </w:p>
        </w:tc>
        <w:tc>
          <w:tcPr>
            <w:tcW w:w="6823" w:type="dxa"/>
            <w:tcBorders>
              <w:top w:val="single" w:color="auto" w:sz="4" w:space="0"/>
              <w:left w:val="single" w:color="auto" w:sz="4" w:space="0"/>
              <w:bottom w:val="single" w:color="auto" w:sz="4" w:space="0"/>
              <w:right w:val="single" w:color="auto" w:sz="4" w:space="0"/>
            </w:tcBorders>
            <w:vAlign w:val="center"/>
          </w:tcPr>
          <w:p w14:paraId="47AE805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环评应充分论证选址的环境合理性，选址应避开当地划定的禁止养殖区域，并与区域主体功能区规划、环境功能区划、土地利用规划、城乡规划、畜牧业发展规划、畜禽养殖污染防治规划等规划相协调。当地未划定禁止养殖区域的，应避开饮用水水源保护区、风景名胜区、自然保护区的核心区和缓冲区、村镇人口集中区域，以及法律、法规规定的禁止养殖区域。</w:t>
            </w:r>
          </w:p>
        </w:tc>
        <w:tc>
          <w:tcPr>
            <w:tcW w:w="4155" w:type="dxa"/>
            <w:tcBorders>
              <w:top w:val="single" w:color="auto" w:sz="4" w:space="0"/>
              <w:left w:val="single" w:color="auto" w:sz="4" w:space="0"/>
              <w:bottom w:val="single" w:color="auto" w:sz="4" w:space="0"/>
              <w:right w:val="single" w:color="auto" w:sz="4" w:space="0"/>
            </w:tcBorders>
            <w:vAlign w:val="center"/>
          </w:tcPr>
          <w:p w14:paraId="0444AF6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项目建设区域</w:t>
            </w:r>
            <w:r>
              <w:rPr>
                <w:rFonts w:hint="default" w:ascii="Times New Roman" w:hAnsi="Times New Roman" w:eastAsia="宋体" w:cs="Times New Roman"/>
                <w:color w:val="auto"/>
                <w:kern w:val="0"/>
                <w:sz w:val="21"/>
                <w:szCs w:val="21"/>
                <w:highlight w:val="none"/>
                <w:lang w:eastAsia="zh-CN"/>
              </w:rPr>
              <w:t>无</w:t>
            </w:r>
            <w:r>
              <w:rPr>
                <w:rFonts w:hint="default" w:ascii="Times New Roman" w:hAnsi="Times New Roman" w:eastAsia="宋体" w:cs="Times New Roman"/>
                <w:color w:val="auto"/>
                <w:kern w:val="0"/>
                <w:sz w:val="21"/>
                <w:szCs w:val="21"/>
                <w:highlight w:val="none"/>
              </w:rPr>
              <w:t>风景名胜区、世界文化和自然遗产地，也不在饮用水水源保护区以及</w:t>
            </w:r>
            <w:r>
              <w:rPr>
                <w:rFonts w:hint="default" w:ascii="Times New Roman" w:hAnsi="Times New Roman" w:eastAsia="宋体" w:cs="Times New Roman"/>
                <w:color w:val="auto"/>
                <w:sz w:val="21"/>
                <w:szCs w:val="21"/>
                <w:highlight w:val="none"/>
              </w:rPr>
              <w:t>自然保护区</w:t>
            </w:r>
            <w:r>
              <w:rPr>
                <w:rFonts w:hint="default" w:ascii="Times New Roman" w:hAnsi="Times New Roman" w:eastAsia="宋体" w:cs="Times New Roman"/>
                <w:color w:val="auto"/>
                <w:kern w:val="0"/>
                <w:sz w:val="21"/>
                <w:szCs w:val="21"/>
                <w:highlight w:val="none"/>
              </w:rPr>
              <w:t>。本项目位于农村地区，也不在城镇居民区、文化教育科学研究区等人口集中区域，不在</w:t>
            </w:r>
            <w:r>
              <w:rPr>
                <w:rFonts w:hint="default" w:ascii="Times New Roman" w:hAnsi="Times New Roman" w:eastAsia="宋体" w:cs="Times New Roman"/>
                <w:color w:val="auto"/>
                <w:kern w:val="0"/>
                <w:sz w:val="21"/>
                <w:szCs w:val="21"/>
                <w:highlight w:val="none"/>
                <w:lang w:eastAsia="zh-CN"/>
              </w:rPr>
              <w:t>乌拉特前旗</w:t>
            </w:r>
            <w:r>
              <w:rPr>
                <w:rFonts w:hint="default" w:ascii="Times New Roman" w:hAnsi="Times New Roman" w:eastAsia="宋体" w:cs="Times New Roman"/>
                <w:color w:val="auto"/>
                <w:kern w:val="0"/>
                <w:sz w:val="21"/>
                <w:szCs w:val="21"/>
                <w:highlight w:val="none"/>
              </w:rPr>
              <w:t>禁养区范围内。</w:t>
            </w:r>
          </w:p>
        </w:tc>
        <w:tc>
          <w:tcPr>
            <w:tcW w:w="644" w:type="dxa"/>
            <w:tcBorders>
              <w:top w:val="single" w:color="auto" w:sz="4" w:space="0"/>
              <w:left w:val="single" w:color="auto" w:sz="4" w:space="0"/>
              <w:bottom w:val="single" w:color="auto" w:sz="4" w:space="0"/>
              <w:right w:val="single" w:color="auto" w:sz="4" w:space="0"/>
            </w:tcBorders>
            <w:vAlign w:val="center"/>
          </w:tcPr>
          <w:p w14:paraId="6141BEE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bl>
    <w:p w14:paraId="643D528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sectPr>
          <w:pgSz w:w="16838" w:h="11906" w:orient="landscape"/>
          <w:pgMar w:top="1440" w:right="1800" w:bottom="1440" w:left="1800" w:header="851" w:footer="1134" w:gutter="0"/>
          <w:pgBorders>
            <w:top w:val="none" w:sz="0" w:space="0"/>
            <w:left w:val="none" w:sz="0" w:space="0"/>
            <w:bottom w:val="none" w:sz="0" w:space="0"/>
            <w:right w:val="none" w:sz="0" w:space="0"/>
          </w:pgBorders>
          <w:pgNumType w:fmt="decimal"/>
          <w:cols w:space="425" w:num="1"/>
          <w:docGrid w:linePitch="326" w:charSpace="0"/>
        </w:sectPr>
      </w:pPr>
      <w:bookmarkStart w:id="193" w:name="_Toc19560908"/>
    </w:p>
    <w:p w14:paraId="17F497A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综上，本项目选址符合相关法律、法规及相关行业规范要求，项目选址合理。</w:t>
      </w:r>
    </w:p>
    <w:p w14:paraId="224FA3D3">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（3）其他相关符合性分析</w:t>
      </w:r>
    </w:p>
    <w:p w14:paraId="45BCD55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各产污环节污染物排放在采取评价中提出的防治措施后对环境影响在可接受范围内，在各项环保措施得以落实、杜绝事故排放的情况下，项目排放的各种污染物满足达标排放和总量控制的要求，预测结果表明，工程建成后不会对当地大气、地表水、地下水、声环境、生态环境带来明显危害，项目对环境的影响可以接受。</w:t>
      </w:r>
    </w:p>
    <w:p w14:paraId="6A24C94F">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公众参与调查结果表明，未收到反对项目建设的意见。综上，本项目在严格执行环评规定的各项措施并确保其正常稳定运行且在严格管理的情况下，项目场址从环境角度分析是可行的。</w:t>
      </w:r>
    </w:p>
    <w:bookmarkEnd w:id="193"/>
    <w:p w14:paraId="411C1C99">
      <w:pPr>
        <w:pStyle w:val="3"/>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0"/>
        <w:rPr>
          <w:rFonts w:hint="default" w:ascii="Times New Roman" w:hAnsi="Times New Roman" w:eastAsia="宋体" w:cs="Times New Roman"/>
          <w:color w:val="auto"/>
          <w:highlight w:val="none"/>
        </w:rPr>
      </w:pPr>
      <w:bookmarkStart w:id="194" w:name="_Toc18765"/>
      <w:r>
        <w:rPr>
          <w:rFonts w:hint="default" w:ascii="Times New Roman" w:hAnsi="Times New Roman" w:eastAsia="宋体" w:cs="Times New Roman"/>
          <w:color w:val="auto"/>
          <w:highlight w:val="none"/>
        </w:rPr>
        <w:t>2.8环境功能区符合性分析</w:t>
      </w:r>
      <w:bookmarkEnd w:id="194"/>
    </w:p>
    <w:p w14:paraId="06C4656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项目所在区域环境空气为二类功能区，执行《环境空气质量标准》（GB3095-2012）二级标准；</w:t>
      </w:r>
      <w:r>
        <w:rPr>
          <w:rFonts w:hint="default" w:ascii="Times New Roman" w:hAnsi="Times New Roman" w:eastAsia="宋体" w:cs="Times New Roman"/>
          <w:color w:val="FFC000"/>
          <w:highlight w:val="none"/>
        </w:rPr>
        <w:t>区域声环境为</w:t>
      </w:r>
      <w:r>
        <w:rPr>
          <w:rFonts w:hint="default" w:ascii="Times New Roman" w:hAnsi="Times New Roman" w:eastAsia="宋体" w:cs="Times New Roman"/>
          <w:color w:val="FFC000"/>
          <w:highlight w:val="none"/>
          <w:lang w:val="en-US" w:eastAsia="zh-CN"/>
        </w:rPr>
        <w:t>1</w:t>
      </w:r>
      <w:r>
        <w:rPr>
          <w:rFonts w:hint="default" w:ascii="Times New Roman" w:hAnsi="Times New Roman" w:eastAsia="宋体" w:cs="Times New Roman"/>
          <w:color w:val="FFC000"/>
          <w:highlight w:val="none"/>
        </w:rPr>
        <w:t>类功能区域，执行《声环境质量标准》（GB3096-2008）</w:t>
      </w:r>
      <w:r>
        <w:rPr>
          <w:rFonts w:hint="default" w:ascii="Times New Roman" w:hAnsi="Times New Roman" w:eastAsia="宋体" w:cs="Times New Roman"/>
          <w:color w:val="FFC000"/>
          <w:highlight w:val="none"/>
          <w:lang w:val="en-US" w:eastAsia="zh-CN"/>
        </w:rPr>
        <w:t>1</w:t>
      </w:r>
      <w:r>
        <w:rPr>
          <w:rFonts w:hint="default" w:ascii="Times New Roman" w:hAnsi="Times New Roman" w:eastAsia="宋体" w:cs="Times New Roman"/>
          <w:color w:val="FFC000"/>
          <w:highlight w:val="none"/>
        </w:rPr>
        <w:t>类标准</w:t>
      </w:r>
      <w:r>
        <w:rPr>
          <w:rFonts w:hint="default" w:ascii="Times New Roman" w:hAnsi="Times New Roman" w:eastAsia="宋体" w:cs="Times New Roman"/>
          <w:color w:val="auto"/>
          <w:highlight w:val="none"/>
        </w:rPr>
        <w:t>；区域地下水质为Ⅲ类，执行《地下水质量标准》（GB/T14848-2017）Ⅲ类标准。本项目所在区域空气环境质量、地表水环境质量、地下水及声环境质量良好，有一定的环境容量。</w:t>
      </w:r>
    </w:p>
    <w:p w14:paraId="6ACAE42B">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建成后，废气污染物可达标排放，对环境空气影响较小。项目无废水和固废直接排放，各噪声源通过采取降噪措施和距离衰减，厂界噪声可满足相应标准要求。根据环境影响预测评价，本项目正常生产时所排放的污染物经治理达标后，对周围环境不会产生明显影响，环境质量基本维持现有水平。不会加大对环境的不利影响，环境可以接受。</w:t>
      </w:r>
    </w:p>
    <w:p w14:paraId="4174E086">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p>
    <w:p w14:paraId="0EF2171B">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p>
    <w:p w14:paraId="60210FE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p>
    <w:p w14:paraId="2B92183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sectPr>
          <w:pgSz w:w="11906" w:h="16838"/>
          <w:pgMar w:top="1440" w:right="1800" w:bottom="1440" w:left="1800" w:header="851" w:footer="1134" w:gutter="0"/>
          <w:pgBorders>
            <w:top w:val="none" w:sz="0" w:space="0"/>
            <w:left w:val="none" w:sz="0" w:space="0"/>
            <w:bottom w:val="none" w:sz="0" w:space="0"/>
            <w:right w:val="none" w:sz="0" w:space="0"/>
          </w:pgBorders>
          <w:pgNumType w:fmt="decimal"/>
          <w:cols w:space="425" w:num="1"/>
          <w:docGrid w:linePitch="326" w:charSpace="0"/>
        </w:sectPr>
      </w:pPr>
    </w:p>
    <w:p w14:paraId="7E818EBE">
      <w:pPr>
        <w:pStyle w:val="2"/>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bookmarkStart w:id="195" w:name="_Toc30996"/>
      <w:r>
        <w:rPr>
          <w:rFonts w:hint="default" w:ascii="Times New Roman" w:hAnsi="Times New Roman" w:eastAsia="宋体" w:cs="Times New Roman"/>
          <w:color w:val="auto"/>
          <w:highlight w:val="none"/>
        </w:rPr>
        <w:t>3工程分析</w:t>
      </w:r>
      <w:bookmarkEnd w:id="195"/>
    </w:p>
    <w:p w14:paraId="54D04472">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196" w:name="_Toc30029"/>
      <w:r>
        <w:rPr>
          <w:rFonts w:hint="default" w:ascii="Times New Roman" w:hAnsi="Times New Roman" w:eastAsia="宋体" w:cs="Times New Roman"/>
          <w:color w:val="auto"/>
          <w:highlight w:val="none"/>
        </w:rPr>
        <w:t>3.1项目基本情况</w:t>
      </w:r>
      <w:bookmarkEnd w:id="196"/>
    </w:p>
    <w:p w14:paraId="32A1AF8C">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197" w:name="_Toc420051509"/>
      <w:bookmarkStart w:id="198" w:name="_Toc18206"/>
      <w:bookmarkStart w:id="199" w:name="_Toc344087173"/>
      <w:bookmarkStart w:id="200" w:name="_Toc416447544"/>
      <w:bookmarkStart w:id="201" w:name="_Toc1636"/>
      <w:r>
        <w:rPr>
          <w:rFonts w:hint="default" w:ascii="Times New Roman" w:hAnsi="Times New Roman" w:eastAsia="宋体" w:cs="Times New Roman"/>
          <w:color w:val="auto"/>
          <w:highlight w:val="none"/>
        </w:rPr>
        <w:t>3.1.1</w:t>
      </w:r>
      <w:bookmarkEnd w:id="197"/>
      <w:bookmarkEnd w:id="198"/>
      <w:bookmarkEnd w:id="199"/>
      <w:bookmarkEnd w:id="200"/>
      <w:r>
        <w:rPr>
          <w:rFonts w:hint="default" w:ascii="Times New Roman" w:hAnsi="Times New Roman" w:eastAsia="宋体" w:cs="Times New Roman"/>
          <w:color w:val="auto"/>
          <w:highlight w:val="none"/>
        </w:rPr>
        <w:t>项目基本概况</w:t>
      </w:r>
      <w:bookmarkEnd w:id="201"/>
    </w:p>
    <w:p w14:paraId="129A7E0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项目基本情况见表3.1-1。</w:t>
      </w:r>
    </w:p>
    <w:p w14:paraId="3245740C">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表3.1-1项目基本情况表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7"/>
        <w:gridCol w:w="6920"/>
      </w:tblGrid>
      <w:tr w14:paraId="0C2E7E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2" w:type="dxa"/>
            <w:tcBorders>
              <w:top w:val="single" w:color="auto" w:sz="4" w:space="0"/>
              <w:left w:val="single" w:color="auto" w:sz="4" w:space="0"/>
            </w:tcBorders>
            <w:vAlign w:val="center"/>
          </w:tcPr>
          <w:p w14:paraId="3DF89AC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项目名称</w:t>
            </w:r>
          </w:p>
        </w:tc>
        <w:tc>
          <w:tcPr>
            <w:tcW w:w="7541" w:type="dxa"/>
            <w:tcBorders>
              <w:top w:val="single" w:color="auto" w:sz="4" w:space="0"/>
              <w:right w:val="single" w:color="auto" w:sz="4" w:space="0"/>
            </w:tcBorders>
            <w:vAlign w:val="center"/>
          </w:tcPr>
          <w:p w14:paraId="3D39B06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乌拉特前旗大佘太中海禾牧养殖专业合作社新建肉牛养殖项目</w:t>
            </w:r>
          </w:p>
        </w:tc>
      </w:tr>
      <w:tr w14:paraId="405D8B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2" w:type="dxa"/>
            <w:tcBorders>
              <w:left w:val="single" w:color="auto" w:sz="4" w:space="0"/>
            </w:tcBorders>
            <w:vAlign w:val="center"/>
          </w:tcPr>
          <w:p w14:paraId="782CC59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建设单位</w:t>
            </w:r>
          </w:p>
        </w:tc>
        <w:tc>
          <w:tcPr>
            <w:tcW w:w="7541" w:type="dxa"/>
            <w:tcBorders>
              <w:right w:val="single" w:color="auto" w:sz="4" w:space="0"/>
            </w:tcBorders>
            <w:vAlign w:val="center"/>
          </w:tcPr>
          <w:p w14:paraId="46E67E6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乌拉特前旗大佘太中海禾牧养殖专业合作社</w:t>
            </w:r>
          </w:p>
        </w:tc>
      </w:tr>
      <w:tr w14:paraId="078DB9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2" w:type="dxa"/>
            <w:tcBorders>
              <w:left w:val="single" w:color="auto" w:sz="4" w:space="0"/>
            </w:tcBorders>
            <w:vAlign w:val="center"/>
          </w:tcPr>
          <w:p w14:paraId="0E3F742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建设性质</w:t>
            </w:r>
          </w:p>
        </w:tc>
        <w:tc>
          <w:tcPr>
            <w:tcW w:w="7541" w:type="dxa"/>
            <w:tcBorders>
              <w:right w:val="single" w:color="auto" w:sz="4" w:space="0"/>
            </w:tcBorders>
            <w:vAlign w:val="center"/>
          </w:tcPr>
          <w:p w14:paraId="2871D6D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14:paraId="01E455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2" w:type="dxa"/>
            <w:tcBorders>
              <w:left w:val="single" w:color="auto" w:sz="4" w:space="0"/>
            </w:tcBorders>
            <w:vAlign w:val="center"/>
          </w:tcPr>
          <w:p w14:paraId="55CD4B0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建设地点</w:t>
            </w:r>
          </w:p>
        </w:tc>
        <w:tc>
          <w:tcPr>
            <w:tcW w:w="7541" w:type="dxa"/>
            <w:tcBorders>
              <w:right w:val="single" w:color="auto" w:sz="4" w:space="0"/>
            </w:tcBorders>
            <w:vAlign w:val="center"/>
          </w:tcPr>
          <w:p w14:paraId="11B3BDF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eastAsia="zh-CN"/>
              </w:rPr>
              <w:t>内蒙古自治区巴彦淖尔市乌拉特前旗大佘太镇马卜子村</w:t>
            </w:r>
          </w:p>
          <w:p w14:paraId="75F7AC2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场区中心坐标N</w:t>
            </w:r>
            <w:r>
              <w:rPr>
                <w:rFonts w:hint="default" w:ascii="Times New Roman" w:hAnsi="Times New Roman" w:eastAsia="宋体" w:cs="Times New Roman"/>
                <w:color w:val="FF0000"/>
                <w:sz w:val="21"/>
                <w:szCs w:val="21"/>
                <w:highlight w:val="none"/>
                <w:lang w:val="en-US" w:eastAsia="zh-CN"/>
              </w:rPr>
              <w:t>41°07'07"</w:t>
            </w:r>
            <w:r>
              <w:rPr>
                <w:rFonts w:hint="default" w:ascii="Times New Roman" w:hAnsi="Times New Roman" w:eastAsia="宋体" w:cs="Times New Roman"/>
                <w:color w:val="FF0000"/>
                <w:sz w:val="21"/>
                <w:szCs w:val="21"/>
                <w:highlight w:val="none"/>
                <w:lang w:val="en-US" w:eastAsia="zh-CN"/>
              </w:rPr>
              <w:t>、E</w:t>
            </w:r>
            <w:r>
              <w:rPr>
                <w:rFonts w:hint="default" w:ascii="Times New Roman" w:hAnsi="Times New Roman" w:eastAsia="宋体" w:cs="Times New Roman"/>
                <w:color w:val="FF0000"/>
                <w:sz w:val="21"/>
                <w:szCs w:val="21"/>
                <w:highlight w:val="none"/>
                <w:lang w:val="en-US" w:eastAsia="zh-CN"/>
              </w:rPr>
              <w:t>108°56'2"</w:t>
            </w:r>
          </w:p>
        </w:tc>
      </w:tr>
      <w:tr w14:paraId="66AA8E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2" w:type="dxa"/>
            <w:tcBorders>
              <w:left w:val="single" w:color="auto" w:sz="4" w:space="0"/>
            </w:tcBorders>
            <w:vAlign w:val="center"/>
          </w:tcPr>
          <w:p w14:paraId="7D9A396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占地面积</w:t>
            </w:r>
          </w:p>
        </w:tc>
        <w:tc>
          <w:tcPr>
            <w:tcW w:w="7541" w:type="dxa"/>
            <w:tcBorders>
              <w:right w:val="single" w:color="auto" w:sz="4" w:space="0"/>
            </w:tcBorders>
            <w:vAlign w:val="center"/>
          </w:tcPr>
          <w:p w14:paraId="13F5EBF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161555.36</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p>
        </w:tc>
      </w:tr>
      <w:tr w14:paraId="3B4E9B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2" w:type="dxa"/>
            <w:tcBorders>
              <w:left w:val="single" w:color="auto" w:sz="4" w:space="0"/>
            </w:tcBorders>
            <w:vAlign w:val="center"/>
          </w:tcPr>
          <w:p w14:paraId="5DF73B6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工程投资</w:t>
            </w:r>
          </w:p>
        </w:tc>
        <w:tc>
          <w:tcPr>
            <w:tcW w:w="7541" w:type="dxa"/>
            <w:tcBorders>
              <w:right w:val="single" w:color="auto" w:sz="4" w:space="0"/>
            </w:tcBorders>
            <w:vAlign w:val="center"/>
          </w:tcPr>
          <w:p w14:paraId="26A20A9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总投资</w:t>
            </w:r>
            <w:r>
              <w:rPr>
                <w:rFonts w:hint="default" w:ascii="Times New Roman" w:hAnsi="Times New Roman" w:eastAsia="宋体" w:cs="Times New Roman"/>
                <w:color w:val="auto"/>
                <w:sz w:val="21"/>
                <w:szCs w:val="21"/>
                <w:highlight w:val="none"/>
                <w:lang w:val="en-US" w:eastAsia="zh-CN"/>
              </w:rPr>
              <w:t>7000万元</w:t>
            </w:r>
            <w:r>
              <w:rPr>
                <w:rFonts w:hint="default" w:ascii="Times New Roman" w:hAnsi="Times New Roman" w:eastAsia="宋体" w:cs="Times New Roman"/>
                <w:color w:val="auto"/>
                <w:sz w:val="21"/>
                <w:szCs w:val="21"/>
                <w:highlight w:val="none"/>
              </w:rPr>
              <w:t>，环保投资</w:t>
            </w:r>
            <w:r>
              <w:rPr>
                <w:rFonts w:hint="default" w:ascii="Times New Roman" w:hAnsi="Times New Roman" w:eastAsia="宋体" w:cs="Times New Roman"/>
                <w:color w:val="auto"/>
                <w:sz w:val="21"/>
                <w:szCs w:val="21"/>
                <w:highlight w:val="none"/>
                <w:lang w:eastAsia="zh-CN"/>
              </w:rPr>
              <w:t>128.1</w:t>
            </w:r>
            <w:r>
              <w:rPr>
                <w:rFonts w:hint="default" w:ascii="Times New Roman" w:hAnsi="Times New Roman" w:eastAsia="宋体" w:cs="Times New Roman"/>
                <w:color w:val="auto"/>
                <w:sz w:val="21"/>
                <w:szCs w:val="21"/>
                <w:highlight w:val="none"/>
              </w:rPr>
              <w:t>万元，占总投资比例为</w:t>
            </w:r>
            <w:r>
              <w:rPr>
                <w:rFonts w:hint="default" w:ascii="Times New Roman" w:hAnsi="Times New Roman" w:eastAsia="宋体" w:cs="Times New Roman"/>
                <w:color w:val="auto"/>
                <w:sz w:val="21"/>
                <w:szCs w:val="21"/>
                <w:highlight w:val="none"/>
                <w:lang w:val="en-US" w:eastAsia="zh-CN"/>
              </w:rPr>
              <w:t>1.83</w:t>
            </w:r>
            <w:r>
              <w:rPr>
                <w:rFonts w:hint="default" w:ascii="Times New Roman" w:hAnsi="Times New Roman" w:eastAsia="宋体" w:cs="Times New Roman"/>
                <w:color w:val="auto"/>
                <w:sz w:val="21"/>
                <w:szCs w:val="21"/>
                <w:highlight w:val="none"/>
              </w:rPr>
              <w:t>%</w:t>
            </w:r>
          </w:p>
        </w:tc>
      </w:tr>
      <w:tr w14:paraId="51C7A9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2" w:type="dxa"/>
            <w:tcBorders>
              <w:left w:val="single" w:color="auto" w:sz="4" w:space="0"/>
            </w:tcBorders>
            <w:vAlign w:val="center"/>
          </w:tcPr>
          <w:p w14:paraId="7EB9E03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项目规模</w:t>
            </w:r>
          </w:p>
        </w:tc>
        <w:tc>
          <w:tcPr>
            <w:tcW w:w="7541" w:type="dxa"/>
            <w:tcBorders>
              <w:right w:val="single" w:color="auto" w:sz="4" w:space="0"/>
            </w:tcBorders>
            <w:vAlign w:val="center"/>
          </w:tcPr>
          <w:p w14:paraId="784B735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存栏肉牛</w:t>
            </w:r>
            <w:r>
              <w:rPr>
                <w:rFonts w:hint="default" w:ascii="Times New Roman" w:hAnsi="Times New Roman" w:eastAsia="宋体" w:cs="Times New Roman"/>
                <w:color w:val="auto"/>
                <w:sz w:val="21"/>
                <w:szCs w:val="21"/>
                <w:highlight w:val="none"/>
                <w:lang w:val="en-US" w:eastAsia="zh-CN"/>
              </w:rPr>
              <w:t>2500头</w:t>
            </w:r>
            <w:r>
              <w:rPr>
                <w:rFonts w:hint="default" w:ascii="Times New Roman" w:hAnsi="Times New Roman" w:eastAsia="宋体" w:cs="Times New Roman"/>
                <w:color w:val="auto"/>
                <w:sz w:val="21"/>
                <w:szCs w:val="21"/>
                <w:highlight w:val="none"/>
              </w:rPr>
              <w:t>，出栏</w:t>
            </w:r>
            <w:r>
              <w:rPr>
                <w:rFonts w:hint="default" w:ascii="Times New Roman" w:hAnsi="Times New Roman" w:eastAsia="宋体" w:cs="Times New Roman"/>
                <w:color w:val="auto"/>
                <w:sz w:val="21"/>
                <w:szCs w:val="21"/>
                <w:highlight w:val="none"/>
                <w:lang w:val="en-US" w:eastAsia="zh-CN"/>
              </w:rPr>
              <w:t>25</w:t>
            </w:r>
            <w:r>
              <w:rPr>
                <w:rFonts w:hint="default" w:ascii="Times New Roman" w:hAnsi="Times New Roman" w:eastAsia="宋体" w:cs="Times New Roman"/>
                <w:color w:val="auto"/>
                <w:sz w:val="21"/>
                <w:szCs w:val="21"/>
                <w:highlight w:val="none"/>
              </w:rPr>
              <w:t>00头肉牛</w:t>
            </w:r>
          </w:p>
        </w:tc>
      </w:tr>
      <w:tr w14:paraId="55EA9D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2" w:type="dxa"/>
            <w:tcBorders>
              <w:left w:val="single" w:color="auto" w:sz="4" w:space="0"/>
            </w:tcBorders>
            <w:vAlign w:val="center"/>
          </w:tcPr>
          <w:p w14:paraId="31C39B2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行业类别</w:t>
            </w:r>
          </w:p>
        </w:tc>
        <w:tc>
          <w:tcPr>
            <w:tcW w:w="7541" w:type="dxa"/>
            <w:tcBorders>
              <w:right w:val="single" w:color="auto" w:sz="4" w:space="0"/>
            </w:tcBorders>
            <w:vAlign w:val="center"/>
          </w:tcPr>
          <w:p w14:paraId="3D09088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A0313牛的饲养</w:t>
            </w:r>
          </w:p>
        </w:tc>
      </w:tr>
      <w:tr w14:paraId="1548C9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2" w:type="dxa"/>
            <w:tcBorders>
              <w:left w:val="single" w:color="auto" w:sz="4" w:space="0"/>
            </w:tcBorders>
            <w:vAlign w:val="center"/>
          </w:tcPr>
          <w:p w14:paraId="7ECFC82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劳动定员</w:t>
            </w:r>
          </w:p>
        </w:tc>
        <w:tc>
          <w:tcPr>
            <w:tcW w:w="7541" w:type="dxa"/>
            <w:tcBorders>
              <w:right w:val="single" w:color="auto" w:sz="4" w:space="0"/>
            </w:tcBorders>
            <w:vAlign w:val="center"/>
          </w:tcPr>
          <w:p w14:paraId="0CE6EA5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劳动定员</w:t>
            </w:r>
            <w:r>
              <w:rPr>
                <w:rFonts w:hint="default" w:ascii="Times New Roman" w:hAnsi="Times New Roman" w:eastAsia="宋体"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rPr>
              <w:t>人</w:t>
            </w:r>
          </w:p>
        </w:tc>
      </w:tr>
      <w:tr w14:paraId="662E56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2" w:type="dxa"/>
            <w:tcBorders>
              <w:left w:val="single" w:color="auto" w:sz="4" w:space="0"/>
              <w:bottom w:val="single" w:color="auto" w:sz="4" w:space="0"/>
            </w:tcBorders>
            <w:vAlign w:val="center"/>
          </w:tcPr>
          <w:p w14:paraId="627FD69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工作制度</w:t>
            </w:r>
          </w:p>
        </w:tc>
        <w:tc>
          <w:tcPr>
            <w:tcW w:w="7541" w:type="dxa"/>
            <w:tcBorders>
              <w:bottom w:val="single" w:color="auto" w:sz="4" w:space="0"/>
              <w:right w:val="single" w:color="auto" w:sz="4" w:space="0"/>
            </w:tcBorders>
            <w:vAlign w:val="center"/>
          </w:tcPr>
          <w:p w14:paraId="48D3CE4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全年有效生产天数为365天，实行</w:t>
            </w:r>
            <w:r>
              <w:rPr>
                <w:rFonts w:hint="default" w:ascii="Times New Roman" w:hAnsi="Times New Roman" w:eastAsia="宋体" w:cs="Times New Roman"/>
                <w:color w:val="auto"/>
                <w:sz w:val="21"/>
                <w:szCs w:val="21"/>
                <w:highlight w:val="none"/>
                <w:lang w:eastAsia="zh-CN"/>
              </w:rPr>
              <w:t>两</w:t>
            </w:r>
            <w:r>
              <w:rPr>
                <w:rFonts w:hint="default" w:ascii="Times New Roman" w:hAnsi="Times New Roman" w:eastAsia="宋体" w:cs="Times New Roman"/>
                <w:color w:val="auto"/>
                <w:sz w:val="21"/>
                <w:szCs w:val="21"/>
                <w:highlight w:val="none"/>
              </w:rPr>
              <w:t>班制，每班</w:t>
            </w:r>
            <w:r>
              <w:rPr>
                <w:rFonts w:hint="default" w:ascii="Times New Roman" w:hAnsi="Times New Roman" w:eastAsia="宋体" w:cs="Times New Roman"/>
                <w:color w:val="auto"/>
                <w:sz w:val="21"/>
                <w:szCs w:val="21"/>
                <w:highlight w:val="none"/>
                <w:lang w:val="en-US" w:eastAsia="zh-CN"/>
              </w:rPr>
              <w:t>12</w:t>
            </w:r>
            <w:r>
              <w:rPr>
                <w:rFonts w:hint="default" w:ascii="Times New Roman" w:hAnsi="Times New Roman" w:eastAsia="宋体" w:cs="Times New Roman"/>
                <w:color w:val="auto"/>
                <w:sz w:val="21"/>
                <w:szCs w:val="21"/>
                <w:highlight w:val="none"/>
              </w:rPr>
              <w:t>小时工作制度；</w:t>
            </w:r>
          </w:p>
        </w:tc>
      </w:tr>
    </w:tbl>
    <w:p w14:paraId="5B7283F5">
      <w:pPr>
        <w:keepNext w:val="0"/>
        <w:keepLines w:val="0"/>
        <w:pageBreakBefore w:val="0"/>
        <w:widowControl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highlight w:val="none"/>
        </w:rPr>
        <w:t>建设地点：</w:t>
      </w:r>
      <w:r>
        <w:rPr>
          <w:rFonts w:hint="default" w:ascii="Times New Roman" w:hAnsi="Times New Roman" w:eastAsia="宋体" w:cs="Times New Roman"/>
          <w:color w:val="auto"/>
          <w:highlight w:val="none"/>
          <w:lang w:eastAsia="zh-CN"/>
        </w:rPr>
        <w:t>内蒙古自治区巴彦淖尔市乌拉特前旗大佘太镇马卜子村</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FF0000"/>
          <w:highlight w:val="none"/>
        </w:rPr>
        <w:t>场区中心坐标</w:t>
      </w:r>
      <w:r>
        <w:rPr>
          <w:rFonts w:hint="default" w:ascii="Times New Roman" w:hAnsi="Times New Roman" w:eastAsia="宋体" w:cs="Times New Roman"/>
          <w:color w:val="FF0000"/>
          <w:highlight w:val="none"/>
          <w:lang w:val="en-US" w:eastAsia="zh-CN"/>
        </w:rPr>
        <w:t>N</w:t>
      </w:r>
      <w:r>
        <w:rPr>
          <w:rFonts w:hint="default" w:ascii="Times New Roman" w:hAnsi="Times New Roman" w:eastAsia="宋体" w:cs="Times New Roman"/>
          <w:color w:val="FF0000"/>
          <w:highlight w:val="none"/>
          <w:lang w:val="en-US" w:eastAsia="zh-CN"/>
        </w:rPr>
        <w:t>41°07'07"</w:t>
      </w:r>
      <w:r>
        <w:rPr>
          <w:rFonts w:hint="default" w:ascii="Times New Roman" w:hAnsi="Times New Roman" w:eastAsia="宋体" w:cs="Times New Roman"/>
          <w:color w:val="FF0000"/>
          <w:highlight w:val="none"/>
          <w:lang w:val="en-US" w:eastAsia="zh-CN"/>
        </w:rPr>
        <w:t>、E</w:t>
      </w:r>
      <w:r>
        <w:rPr>
          <w:rFonts w:hint="default" w:ascii="Times New Roman" w:hAnsi="Times New Roman" w:eastAsia="宋体" w:cs="Times New Roman"/>
          <w:color w:val="FF0000"/>
          <w:highlight w:val="none"/>
          <w:lang w:val="en-US" w:eastAsia="zh-CN"/>
        </w:rPr>
        <w:t>108°56'2"</w:t>
      </w:r>
      <w:r>
        <w:rPr>
          <w:rFonts w:hint="default" w:ascii="Times New Roman" w:hAnsi="Times New Roman" w:eastAsia="宋体" w:cs="Times New Roman"/>
          <w:color w:val="FF0000"/>
          <w:szCs w:val="24"/>
          <w:highlight w:val="none"/>
        </w:rPr>
        <w:t>。</w:t>
      </w:r>
    </w:p>
    <w:p w14:paraId="6C4B9B2D">
      <w:pPr>
        <w:keepNext w:val="0"/>
        <w:keepLines w:val="0"/>
        <w:pageBreakBefore w:val="0"/>
        <w:widowControl w:val="0"/>
        <w:kinsoku/>
        <w:wordWrap/>
        <w:overflowPunct/>
        <w:topLinePunct w:val="0"/>
        <w:autoSpaceDE/>
        <w:autoSpaceDN/>
        <w:bidi w:val="0"/>
        <w:adjustRightInd/>
        <w:snapToGrid w:val="0"/>
        <w:spacing w:line="360" w:lineRule="auto"/>
        <w:ind w:left="0" w:leftChars="0" w:right="0" w:right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表3.1-2界址点坐标表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52"/>
        <w:gridCol w:w="1654"/>
        <w:gridCol w:w="1657"/>
        <w:gridCol w:w="1657"/>
        <w:gridCol w:w="1657"/>
      </w:tblGrid>
      <w:tr w14:paraId="150EDC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8" w:type="dxa"/>
            <w:tcBorders>
              <w:top w:val="single" w:color="auto" w:sz="4" w:space="0"/>
              <w:left w:val="single" w:color="auto" w:sz="4" w:space="0"/>
            </w:tcBorders>
            <w:vAlign w:val="center"/>
          </w:tcPr>
          <w:p w14:paraId="7FED64E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点号</w:t>
            </w:r>
          </w:p>
        </w:tc>
        <w:tc>
          <w:tcPr>
            <w:tcW w:w="1799" w:type="dxa"/>
            <w:tcBorders>
              <w:top w:val="single" w:color="auto" w:sz="4" w:space="0"/>
            </w:tcBorders>
            <w:vAlign w:val="center"/>
          </w:tcPr>
          <w:p w14:paraId="3A41E2B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X</w:t>
            </w:r>
          </w:p>
        </w:tc>
        <w:tc>
          <w:tcPr>
            <w:tcW w:w="1802" w:type="dxa"/>
            <w:tcBorders>
              <w:top w:val="single" w:color="auto" w:sz="4" w:space="0"/>
            </w:tcBorders>
            <w:vAlign w:val="center"/>
          </w:tcPr>
          <w:p w14:paraId="303B71C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Y</w:t>
            </w:r>
          </w:p>
        </w:tc>
        <w:tc>
          <w:tcPr>
            <w:tcW w:w="1802" w:type="dxa"/>
            <w:tcBorders>
              <w:top w:val="single" w:color="auto" w:sz="4" w:space="0"/>
            </w:tcBorders>
            <w:vAlign w:val="center"/>
          </w:tcPr>
          <w:p w14:paraId="7227806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经度</w:t>
            </w:r>
          </w:p>
        </w:tc>
        <w:tc>
          <w:tcPr>
            <w:tcW w:w="1802" w:type="dxa"/>
            <w:tcBorders>
              <w:top w:val="single" w:color="auto" w:sz="4" w:space="0"/>
              <w:right w:val="single" w:color="auto" w:sz="4" w:space="0"/>
            </w:tcBorders>
            <w:vAlign w:val="center"/>
          </w:tcPr>
          <w:p w14:paraId="7CB5109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纬度</w:t>
            </w:r>
          </w:p>
        </w:tc>
      </w:tr>
      <w:tr w14:paraId="0B378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8" w:type="dxa"/>
            <w:tcBorders>
              <w:left w:val="single" w:color="auto" w:sz="4" w:space="0"/>
            </w:tcBorders>
            <w:vAlign w:val="center"/>
          </w:tcPr>
          <w:p w14:paraId="6F14B609">
            <w:pPr>
              <w:keepNext w:val="0"/>
              <w:keepLines w:val="0"/>
              <w:pageBreakBefore w:val="0"/>
              <w:widowControl/>
              <w:suppressLineNumbers w:val="0"/>
              <w:kinsoku/>
              <w:wordWrap/>
              <w:overflowPunct/>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J1</w:t>
            </w:r>
          </w:p>
        </w:tc>
        <w:tc>
          <w:tcPr>
            <w:tcW w:w="1799" w:type="dxa"/>
            <w:vAlign w:val="center"/>
          </w:tcPr>
          <w:p w14:paraId="7977940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36578638.298</w:t>
            </w:r>
          </w:p>
        </w:tc>
        <w:tc>
          <w:tcPr>
            <w:tcW w:w="1802" w:type="dxa"/>
            <w:vAlign w:val="center"/>
          </w:tcPr>
          <w:p w14:paraId="3DDBD423">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4554213.623</w:t>
            </w:r>
          </w:p>
        </w:tc>
        <w:tc>
          <w:tcPr>
            <w:tcW w:w="1802" w:type="dxa"/>
            <w:vAlign w:val="center"/>
          </w:tcPr>
          <w:p w14:paraId="08ED6ABD">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108°56′10.848″</w:t>
            </w:r>
          </w:p>
        </w:tc>
        <w:tc>
          <w:tcPr>
            <w:tcW w:w="1802" w:type="dxa"/>
            <w:tcBorders>
              <w:right w:val="single" w:color="auto" w:sz="4" w:space="0"/>
            </w:tcBorders>
            <w:vAlign w:val="center"/>
          </w:tcPr>
          <w:p w14:paraId="631C4CB5">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41°7′8.471″</w:t>
            </w:r>
          </w:p>
        </w:tc>
      </w:tr>
      <w:tr w14:paraId="620CAA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8" w:type="dxa"/>
            <w:tcBorders>
              <w:left w:val="single" w:color="auto" w:sz="4" w:space="0"/>
            </w:tcBorders>
            <w:vAlign w:val="center"/>
          </w:tcPr>
          <w:p w14:paraId="1761008D">
            <w:pPr>
              <w:keepNext w:val="0"/>
              <w:keepLines w:val="0"/>
              <w:pageBreakBefore w:val="0"/>
              <w:widowControl/>
              <w:suppressLineNumbers w:val="0"/>
              <w:kinsoku/>
              <w:wordWrap/>
              <w:overflowPunct/>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J2</w:t>
            </w:r>
          </w:p>
        </w:tc>
        <w:tc>
          <w:tcPr>
            <w:tcW w:w="1799" w:type="dxa"/>
            <w:vAlign w:val="center"/>
          </w:tcPr>
          <w:p w14:paraId="244FC919">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36578506.004</w:t>
            </w:r>
          </w:p>
        </w:tc>
        <w:tc>
          <w:tcPr>
            <w:tcW w:w="1802" w:type="dxa"/>
            <w:vAlign w:val="center"/>
          </w:tcPr>
          <w:p w14:paraId="72B5210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4554007.130</w:t>
            </w:r>
          </w:p>
        </w:tc>
        <w:tc>
          <w:tcPr>
            <w:tcW w:w="1802" w:type="dxa"/>
            <w:vAlign w:val="center"/>
          </w:tcPr>
          <w:p w14:paraId="578E0BDC">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108°56′5.083″</w:t>
            </w:r>
          </w:p>
        </w:tc>
        <w:tc>
          <w:tcPr>
            <w:tcW w:w="1802" w:type="dxa"/>
            <w:tcBorders>
              <w:right w:val="single" w:color="auto" w:sz="4" w:space="0"/>
            </w:tcBorders>
            <w:vAlign w:val="center"/>
          </w:tcPr>
          <w:p w14:paraId="72E9228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41°7′1.824″</w:t>
            </w:r>
          </w:p>
        </w:tc>
      </w:tr>
      <w:tr w14:paraId="223196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8" w:type="dxa"/>
            <w:tcBorders>
              <w:left w:val="single" w:color="auto" w:sz="4" w:space="0"/>
            </w:tcBorders>
            <w:vAlign w:val="center"/>
          </w:tcPr>
          <w:p w14:paraId="7F9E52B0">
            <w:pPr>
              <w:keepNext w:val="0"/>
              <w:keepLines w:val="0"/>
              <w:pageBreakBefore w:val="0"/>
              <w:widowControl/>
              <w:suppressLineNumbers w:val="0"/>
              <w:kinsoku/>
              <w:wordWrap/>
              <w:overflowPunct/>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J3</w:t>
            </w:r>
          </w:p>
        </w:tc>
        <w:tc>
          <w:tcPr>
            <w:tcW w:w="1799" w:type="dxa"/>
            <w:vAlign w:val="center"/>
          </w:tcPr>
          <w:p w14:paraId="699FE6B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36578220.335</w:t>
            </w:r>
          </w:p>
        </w:tc>
        <w:tc>
          <w:tcPr>
            <w:tcW w:w="1802" w:type="dxa"/>
            <w:vAlign w:val="center"/>
          </w:tcPr>
          <w:p w14:paraId="4A5B1CE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4554042.761</w:t>
            </w:r>
          </w:p>
        </w:tc>
        <w:tc>
          <w:tcPr>
            <w:tcW w:w="1802" w:type="dxa"/>
            <w:vAlign w:val="center"/>
          </w:tcPr>
          <w:p w14:paraId="518AFD1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108°55′52.856″</w:t>
            </w:r>
          </w:p>
        </w:tc>
        <w:tc>
          <w:tcPr>
            <w:tcW w:w="1802" w:type="dxa"/>
            <w:tcBorders>
              <w:right w:val="single" w:color="auto" w:sz="4" w:space="0"/>
            </w:tcBorders>
            <w:vAlign w:val="center"/>
          </w:tcPr>
          <w:p w14:paraId="1A5CEEFB">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41°7′3.078″</w:t>
            </w:r>
          </w:p>
        </w:tc>
      </w:tr>
      <w:tr w14:paraId="0A8518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8" w:type="dxa"/>
            <w:tcBorders>
              <w:left w:val="single" w:color="auto" w:sz="4" w:space="0"/>
            </w:tcBorders>
            <w:vAlign w:val="center"/>
          </w:tcPr>
          <w:p w14:paraId="3FC29F41">
            <w:pPr>
              <w:keepNext w:val="0"/>
              <w:keepLines w:val="0"/>
              <w:pageBreakBefore w:val="0"/>
              <w:widowControl/>
              <w:suppressLineNumbers w:val="0"/>
              <w:kinsoku/>
              <w:wordWrap/>
              <w:overflowPunct/>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J4</w:t>
            </w:r>
          </w:p>
        </w:tc>
        <w:tc>
          <w:tcPr>
            <w:tcW w:w="1799" w:type="dxa"/>
            <w:vAlign w:val="center"/>
          </w:tcPr>
          <w:p w14:paraId="42757E7B">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36578231.173</w:t>
            </w:r>
          </w:p>
        </w:tc>
        <w:tc>
          <w:tcPr>
            <w:tcW w:w="1802" w:type="dxa"/>
            <w:vAlign w:val="center"/>
          </w:tcPr>
          <w:p w14:paraId="45D49F27">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4554151.776</w:t>
            </w:r>
          </w:p>
        </w:tc>
        <w:tc>
          <w:tcPr>
            <w:tcW w:w="1802" w:type="dxa"/>
            <w:vAlign w:val="center"/>
          </w:tcPr>
          <w:p w14:paraId="6743E2C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108°55′53.370″</w:t>
            </w:r>
          </w:p>
        </w:tc>
        <w:tc>
          <w:tcPr>
            <w:tcW w:w="1802" w:type="dxa"/>
            <w:tcBorders>
              <w:right w:val="single" w:color="auto" w:sz="4" w:space="0"/>
            </w:tcBorders>
            <w:vAlign w:val="center"/>
          </w:tcPr>
          <w:p w14:paraId="1F5F8363">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41°7′6.608″</w:t>
            </w:r>
          </w:p>
        </w:tc>
      </w:tr>
      <w:tr w14:paraId="02528B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8" w:type="dxa"/>
            <w:tcBorders>
              <w:left w:val="single" w:color="auto" w:sz="4" w:space="0"/>
            </w:tcBorders>
            <w:vAlign w:val="center"/>
          </w:tcPr>
          <w:p w14:paraId="2C94729D">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J5</w:t>
            </w:r>
          </w:p>
        </w:tc>
        <w:tc>
          <w:tcPr>
            <w:tcW w:w="1799" w:type="dxa"/>
            <w:vAlign w:val="center"/>
          </w:tcPr>
          <w:p w14:paraId="6DB57827">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36578134.177</w:t>
            </w:r>
          </w:p>
        </w:tc>
        <w:tc>
          <w:tcPr>
            <w:tcW w:w="1802" w:type="dxa"/>
            <w:vAlign w:val="center"/>
          </w:tcPr>
          <w:p w14:paraId="1EB1ADA5">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4554165.508</w:t>
            </w:r>
          </w:p>
        </w:tc>
        <w:tc>
          <w:tcPr>
            <w:tcW w:w="1802" w:type="dxa"/>
            <w:vAlign w:val="center"/>
          </w:tcPr>
          <w:p w14:paraId="7A639019">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108°55′49.220″</w:t>
            </w:r>
          </w:p>
        </w:tc>
        <w:tc>
          <w:tcPr>
            <w:tcW w:w="1802" w:type="dxa"/>
            <w:tcBorders>
              <w:right w:val="single" w:color="auto" w:sz="4" w:space="0"/>
            </w:tcBorders>
            <w:vAlign w:val="center"/>
          </w:tcPr>
          <w:p w14:paraId="7C33A9C5">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41°7′7.087″</w:t>
            </w:r>
          </w:p>
        </w:tc>
      </w:tr>
      <w:tr w14:paraId="360FA6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8" w:type="dxa"/>
            <w:tcBorders>
              <w:left w:val="single" w:color="auto" w:sz="4" w:space="0"/>
            </w:tcBorders>
            <w:vAlign w:val="center"/>
          </w:tcPr>
          <w:p w14:paraId="172A36E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J6</w:t>
            </w:r>
          </w:p>
        </w:tc>
        <w:tc>
          <w:tcPr>
            <w:tcW w:w="1799" w:type="dxa"/>
            <w:vAlign w:val="center"/>
          </w:tcPr>
          <w:p w14:paraId="5BC84BD6">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36578131.337</w:t>
            </w:r>
          </w:p>
        </w:tc>
        <w:tc>
          <w:tcPr>
            <w:tcW w:w="1802" w:type="dxa"/>
            <w:vAlign w:val="center"/>
          </w:tcPr>
          <w:p w14:paraId="200BC11B">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4554198.674</w:t>
            </w:r>
          </w:p>
        </w:tc>
        <w:tc>
          <w:tcPr>
            <w:tcW w:w="1802" w:type="dxa"/>
            <w:vAlign w:val="center"/>
          </w:tcPr>
          <w:p w14:paraId="693C781B">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108°55′49.113″</w:t>
            </w:r>
          </w:p>
        </w:tc>
        <w:tc>
          <w:tcPr>
            <w:tcW w:w="1802" w:type="dxa"/>
            <w:tcBorders>
              <w:right w:val="single" w:color="auto" w:sz="4" w:space="0"/>
            </w:tcBorders>
            <w:vAlign w:val="center"/>
          </w:tcPr>
          <w:p w14:paraId="344FF21A">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41°7′8.163″</w:t>
            </w:r>
          </w:p>
        </w:tc>
      </w:tr>
      <w:tr w14:paraId="604BB1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8" w:type="dxa"/>
            <w:tcBorders>
              <w:left w:val="single" w:color="auto" w:sz="4" w:space="0"/>
            </w:tcBorders>
            <w:vAlign w:val="center"/>
          </w:tcPr>
          <w:p w14:paraId="618761F3">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J7</w:t>
            </w:r>
          </w:p>
        </w:tc>
        <w:tc>
          <w:tcPr>
            <w:tcW w:w="1799" w:type="dxa"/>
            <w:vAlign w:val="center"/>
          </w:tcPr>
          <w:p w14:paraId="06D4042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36578121.177</w:t>
            </w:r>
          </w:p>
        </w:tc>
        <w:tc>
          <w:tcPr>
            <w:tcW w:w="1802" w:type="dxa"/>
            <w:vAlign w:val="center"/>
          </w:tcPr>
          <w:p w14:paraId="751B887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4554218.782</w:t>
            </w:r>
          </w:p>
        </w:tc>
        <w:tc>
          <w:tcPr>
            <w:tcW w:w="1802" w:type="dxa"/>
            <w:vAlign w:val="center"/>
          </w:tcPr>
          <w:p w14:paraId="11AC243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108°55′48.687″</w:t>
            </w:r>
          </w:p>
        </w:tc>
        <w:tc>
          <w:tcPr>
            <w:tcW w:w="1802" w:type="dxa"/>
            <w:tcBorders>
              <w:right w:val="single" w:color="auto" w:sz="4" w:space="0"/>
            </w:tcBorders>
            <w:vAlign w:val="center"/>
          </w:tcPr>
          <w:p w14:paraId="46226DCD">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41°7′8.818″</w:t>
            </w:r>
          </w:p>
        </w:tc>
      </w:tr>
      <w:tr w14:paraId="1BF47E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8" w:type="dxa"/>
            <w:tcBorders>
              <w:left w:val="single" w:color="auto" w:sz="4" w:space="0"/>
            </w:tcBorders>
            <w:vAlign w:val="center"/>
          </w:tcPr>
          <w:p w14:paraId="0B503E9F">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J8</w:t>
            </w:r>
          </w:p>
        </w:tc>
        <w:tc>
          <w:tcPr>
            <w:tcW w:w="1799" w:type="dxa"/>
            <w:vAlign w:val="center"/>
          </w:tcPr>
          <w:p w14:paraId="6FCA901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36578130.067</w:t>
            </w:r>
          </w:p>
        </w:tc>
        <w:tc>
          <w:tcPr>
            <w:tcW w:w="1802" w:type="dxa"/>
            <w:vAlign w:val="center"/>
          </w:tcPr>
          <w:p w14:paraId="7A880F2B">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4554269.794</w:t>
            </w:r>
          </w:p>
        </w:tc>
        <w:tc>
          <w:tcPr>
            <w:tcW w:w="1802" w:type="dxa"/>
            <w:vAlign w:val="center"/>
          </w:tcPr>
          <w:p w14:paraId="6C4C5DF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108°55′49.091″</w:t>
            </w:r>
          </w:p>
        </w:tc>
        <w:tc>
          <w:tcPr>
            <w:tcW w:w="1802" w:type="dxa"/>
            <w:tcBorders>
              <w:right w:val="single" w:color="auto" w:sz="4" w:space="0"/>
            </w:tcBorders>
            <w:vAlign w:val="center"/>
          </w:tcPr>
          <w:p w14:paraId="2AF6F97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41°7′10.468″</w:t>
            </w:r>
          </w:p>
        </w:tc>
      </w:tr>
      <w:tr w14:paraId="24FC7F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8" w:type="dxa"/>
            <w:tcBorders>
              <w:left w:val="single" w:color="auto" w:sz="4" w:space="0"/>
            </w:tcBorders>
            <w:vAlign w:val="center"/>
          </w:tcPr>
          <w:p w14:paraId="16BBF13D">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J9</w:t>
            </w:r>
          </w:p>
        </w:tc>
        <w:tc>
          <w:tcPr>
            <w:tcW w:w="1799" w:type="dxa"/>
            <w:vAlign w:val="center"/>
          </w:tcPr>
          <w:p w14:paraId="1D532ED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36578179.153</w:t>
            </w:r>
          </w:p>
        </w:tc>
        <w:tc>
          <w:tcPr>
            <w:tcW w:w="1802" w:type="dxa"/>
            <w:vAlign w:val="center"/>
          </w:tcPr>
          <w:p w14:paraId="5901299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4554357.424</w:t>
            </w:r>
          </w:p>
        </w:tc>
        <w:tc>
          <w:tcPr>
            <w:tcW w:w="1802" w:type="dxa"/>
            <w:vAlign w:val="center"/>
          </w:tcPr>
          <w:p w14:paraId="196A83F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108°55′51.235″</w:t>
            </w:r>
          </w:p>
        </w:tc>
        <w:tc>
          <w:tcPr>
            <w:tcW w:w="1802" w:type="dxa"/>
            <w:tcBorders>
              <w:right w:val="single" w:color="auto" w:sz="4" w:space="0"/>
            </w:tcBorders>
            <w:vAlign w:val="center"/>
          </w:tcPr>
          <w:p w14:paraId="5C8E45A5">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41°7′13.291″</w:t>
            </w:r>
          </w:p>
        </w:tc>
      </w:tr>
      <w:tr w14:paraId="3BA624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8" w:type="dxa"/>
            <w:tcBorders>
              <w:left w:val="single" w:color="auto" w:sz="4" w:space="0"/>
            </w:tcBorders>
            <w:vAlign w:val="center"/>
          </w:tcPr>
          <w:p w14:paraId="37B8670A">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J10</w:t>
            </w:r>
          </w:p>
        </w:tc>
        <w:tc>
          <w:tcPr>
            <w:tcW w:w="1799" w:type="dxa"/>
            <w:vAlign w:val="center"/>
          </w:tcPr>
          <w:p w14:paraId="723C700C">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36578195.028</w:t>
            </w:r>
          </w:p>
        </w:tc>
        <w:tc>
          <w:tcPr>
            <w:tcW w:w="1802" w:type="dxa"/>
            <w:vAlign w:val="center"/>
          </w:tcPr>
          <w:p w14:paraId="6B97DBFA">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4554402.403</w:t>
            </w:r>
          </w:p>
        </w:tc>
        <w:tc>
          <w:tcPr>
            <w:tcW w:w="1802" w:type="dxa"/>
            <w:vAlign w:val="center"/>
          </w:tcPr>
          <w:p w14:paraId="5BF23599">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108°55′51.936″</w:t>
            </w:r>
          </w:p>
        </w:tc>
        <w:tc>
          <w:tcPr>
            <w:tcW w:w="1802" w:type="dxa"/>
            <w:tcBorders>
              <w:right w:val="single" w:color="auto" w:sz="4" w:space="0"/>
            </w:tcBorders>
            <w:vAlign w:val="center"/>
          </w:tcPr>
          <w:p w14:paraId="29F9758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41°7′14.744″</w:t>
            </w:r>
          </w:p>
        </w:tc>
      </w:tr>
      <w:tr w14:paraId="27203D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8" w:type="dxa"/>
            <w:tcBorders>
              <w:left w:val="single" w:color="auto" w:sz="4" w:space="0"/>
            </w:tcBorders>
            <w:vAlign w:val="center"/>
          </w:tcPr>
          <w:p w14:paraId="338756B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J11</w:t>
            </w:r>
          </w:p>
        </w:tc>
        <w:tc>
          <w:tcPr>
            <w:tcW w:w="1799" w:type="dxa"/>
            <w:vAlign w:val="center"/>
          </w:tcPr>
          <w:p w14:paraId="2A37862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36578202.436</w:t>
            </w:r>
          </w:p>
        </w:tc>
        <w:tc>
          <w:tcPr>
            <w:tcW w:w="1802" w:type="dxa"/>
            <w:vAlign w:val="center"/>
          </w:tcPr>
          <w:p w14:paraId="7F58707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4554436.270</w:t>
            </w:r>
          </w:p>
        </w:tc>
        <w:tc>
          <w:tcPr>
            <w:tcW w:w="1802" w:type="dxa"/>
            <w:vAlign w:val="center"/>
          </w:tcPr>
          <w:p w14:paraId="3E8236E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108°55′52.269″</w:t>
            </w:r>
          </w:p>
        </w:tc>
        <w:tc>
          <w:tcPr>
            <w:tcW w:w="1802" w:type="dxa"/>
            <w:tcBorders>
              <w:right w:val="single" w:color="auto" w:sz="4" w:space="0"/>
            </w:tcBorders>
            <w:vAlign w:val="center"/>
          </w:tcPr>
          <w:p w14:paraId="0C02DDC7">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41°7′15.839″</w:t>
            </w:r>
          </w:p>
        </w:tc>
      </w:tr>
      <w:tr w14:paraId="2AD7D0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8" w:type="dxa"/>
            <w:tcBorders>
              <w:left w:val="single" w:color="auto" w:sz="4" w:space="0"/>
            </w:tcBorders>
            <w:vAlign w:val="center"/>
          </w:tcPr>
          <w:p w14:paraId="17F5EB3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J12</w:t>
            </w:r>
          </w:p>
        </w:tc>
        <w:tc>
          <w:tcPr>
            <w:tcW w:w="1799" w:type="dxa"/>
            <w:vAlign w:val="center"/>
          </w:tcPr>
          <w:p w14:paraId="1752B00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36578265.407</w:t>
            </w:r>
          </w:p>
        </w:tc>
        <w:tc>
          <w:tcPr>
            <w:tcW w:w="1802" w:type="dxa"/>
            <w:vAlign w:val="center"/>
          </w:tcPr>
          <w:p w14:paraId="2441E77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4554550.570</w:t>
            </w:r>
          </w:p>
        </w:tc>
        <w:tc>
          <w:tcPr>
            <w:tcW w:w="1802" w:type="dxa"/>
            <w:vAlign w:val="center"/>
          </w:tcPr>
          <w:p w14:paraId="5DACCC1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108°55′55.021″</w:t>
            </w:r>
          </w:p>
        </w:tc>
        <w:tc>
          <w:tcPr>
            <w:tcW w:w="1802" w:type="dxa"/>
            <w:tcBorders>
              <w:right w:val="single" w:color="auto" w:sz="4" w:space="0"/>
            </w:tcBorders>
            <w:vAlign w:val="center"/>
          </w:tcPr>
          <w:p w14:paraId="44350CF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41°7′19.522″</w:t>
            </w:r>
          </w:p>
        </w:tc>
      </w:tr>
      <w:tr w14:paraId="1C46EE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99" w:type="dxa"/>
            <w:gridSpan w:val="3"/>
            <w:tcBorders>
              <w:left w:val="single" w:color="auto" w:sz="4" w:space="0"/>
              <w:bottom w:val="single" w:color="auto" w:sz="4" w:space="0"/>
            </w:tcBorders>
            <w:vAlign w:val="center"/>
          </w:tcPr>
          <w:p w14:paraId="25163B6B">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vertAlign w:val="baseline"/>
                <w:lang w:val="en-US" w:eastAsia="zh-CN"/>
              </w:rPr>
              <w:t>注：大地2000坐标系</w:t>
            </w:r>
          </w:p>
        </w:tc>
        <w:tc>
          <w:tcPr>
            <w:tcW w:w="3604" w:type="dxa"/>
            <w:gridSpan w:val="2"/>
            <w:tcBorders>
              <w:bottom w:val="single" w:color="auto" w:sz="4" w:space="0"/>
              <w:right w:val="single" w:color="auto" w:sz="4" w:space="0"/>
            </w:tcBorders>
            <w:vAlign w:val="center"/>
          </w:tcPr>
          <w:p w14:paraId="46FEC53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经纬度</w:t>
            </w:r>
          </w:p>
        </w:tc>
      </w:tr>
    </w:tbl>
    <w:p w14:paraId="1788AFD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0000"/>
          <w:szCs w:val="24"/>
          <w:highlight w:val="none"/>
          <w:lang w:eastAsia="zh-CN"/>
        </w:rPr>
      </w:pPr>
      <w:r>
        <w:rPr>
          <w:rFonts w:hint="default" w:ascii="Times New Roman" w:hAnsi="Times New Roman" w:eastAsia="宋体" w:cs="Times New Roman"/>
          <w:color w:val="FF0000"/>
          <w:highlight w:val="none"/>
        </w:rPr>
        <w:t>项目用地性质</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lang w:val="en-US" w:eastAsia="zh-CN"/>
        </w:rPr>
        <w:t>设施农用地</w:t>
      </w:r>
      <w:r>
        <w:rPr>
          <w:rFonts w:hint="default" w:ascii="Times New Roman" w:hAnsi="Times New Roman" w:eastAsia="宋体" w:cs="Times New Roman"/>
          <w:color w:val="FF0000"/>
          <w:highlight w:val="none"/>
          <w:lang w:val="en-US" w:eastAsia="zh-CN"/>
        </w:rPr>
        <w:t>，</w:t>
      </w:r>
      <w:r>
        <w:rPr>
          <w:rFonts w:hint="default" w:ascii="Times New Roman" w:hAnsi="Times New Roman" w:eastAsia="宋体" w:cs="Times New Roman"/>
          <w:color w:val="0000FF"/>
          <w:highlight w:val="none"/>
          <w:lang w:val="en-US" w:eastAsia="zh-CN"/>
        </w:rPr>
        <w:t>本项目占地面积</w:t>
      </w:r>
      <w:r>
        <w:rPr>
          <w:rFonts w:hint="default" w:ascii="Times New Roman" w:hAnsi="Times New Roman" w:eastAsia="宋体" w:cs="Times New Roman"/>
          <w:color w:val="0000FF"/>
          <w:highlight w:val="none"/>
        </w:rPr>
        <w:t>为</w:t>
      </w:r>
      <w:r>
        <w:rPr>
          <w:rFonts w:hint="default" w:ascii="Times New Roman" w:hAnsi="Times New Roman" w:eastAsia="宋体" w:cs="Times New Roman"/>
          <w:color w:val="0000FF"/>
          <w:highlight w:val="none"/>
          <w:lang w:eastAsia="zh-CN"/>
        </w:rPr>
        <w:t>161555.36</w:t>
      </w:r>
      <w:r>
        <w:rPr>
          <w:rFonts w:hint="default" w:ascii="Times New Roman" w:hAnsi="Times New Roman" w:eastAsia="宋体" w:cs="Times New Roman"/>
          <w:color w:val="0000FF"/>
          <w:highlight w:val="none"/>
          <w:lang w:val="en-US" w:eastAsia="zh-CN"/>
        </w:rPr>
        <w:t>m</w:t>
      </w:r>
      <w:r>
        <w:rPr>
          <w:rFonts w:hint="default" w:ascii="Times New Roman" w:hAnsi="Times New Roman" w:eastAsia="宋体" w:cs="Times New Roman"/>
          <w:color w:val="0000FF"/>
          <w:highlight w:val="none"/>
          <w:vertAlign w:val="superscript"/>
          <w:lang w:val="en-US" w:eastAsia="zh-CN"/>
        </w:rPr>
        <w:t>2</w:t>
      </w:r>
      <w:r>
        <w:rPr>
          <w:rFonts w:hint="default" w:ascii="Times New Roman" w:hAnsi="Times New Roman" w:eastAsia="宋体" w:cs="Times New Roman"/>
          <w:color w:val="0000FF"/>
          <w:highlight w:val="none"/>
          <w:lang w:eastAsia="zh-CN"/>
        </w:rPr>
        <w:t>。</w:t>
      </w:r>
    </w:p>
    <w:p w14:paraId="237BDF1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Cs w:val="24"/>
          <w:highlight w:val="none"/>
          <w:lang w:eastAsia="zh-CN"/>
        </w:rPr>
      </w:pPr>
      <w:r>
        <w:rPr>
          <w:rFonts w:hint="default" w:ascii="Times New Roman" w:hAnsi="Times New Roman" w:eastAsia="宋体" w:cs="Times New Roman"/>
          <w:color w:val="auto"/>
          <w:szCs w:val="24"/>
          <w:highlight w:val="none"/>
        </w:rPr>
        <w:t>项目厂址四邻关系：</w:t>
      </w: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eastAsia="zh-CN"/>
        </w:rPr>
        <w:t>场界东侧为</w:t>
      </w:r>
      <w:r>
        <w:rPr>
          <w:rFonts w:hint="default" w:ascii="Times New Roman" w:hAnsi="Times New Roman" w:eastAsia="宋体" w:cs="Times New Roman"/>
          <w:color w:val="FF0000"/>
          <w:highlight w:val="none"/>
          <w:lang w:eastAsia="zh-CN"/>
        </w:rPr>
        <w:t>中海禾牧玉米烘干厂</w:t>
      </w:r>
      <w:r>
        <w:rPr>
          <w:rFonts w:hint="default" w:ascii="Times New Roman" w:hAnsi="Times New Roman" w:eastAsia="宋体" w:cs="Times New Roman"/>
          <w:color w:val="auto"/>
          <w:highlight w:val="none"/>
          <w:lang w:eastAsia="zh-CN"/>
        </w:rPr>
        <w:t>，南侧、西侧均为耕地，北侧为</w:t>
      </w:r>
      <w:r>
        <w:rPr>
          <w:rFonts w:hint="default" w:ascii="Times New Roman" w:hAnsi="Times New Roman" w:eastAsia="宋体" w:cs="Times New Roman"/>
          <w:color w:val="auto"/>
          <w:highlight w:val="none"/>
          <w:lang w:val="en-US" w:eastAsia="zh-CN"/>
        </w:rPr>
        <w:t>S311</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项目</w:t>
      </w:r>
      <w:r>
        <w:rPr>
          <w:rFonts w:hint="default" w:ascii="Times New Roman" w:hAnsi="Times New Roman" w:eastAsia="宋体" w:cs="Times New Roman"/>
          <w:color w:val="auto"/>
          <w:highlight w:val="none"/>
        </w:rPr>
        <w:t>地理位置</w:t>
      </w:r>
      <w:r>
        <w:rPr>
          <w:rFonts w:hint="default" w:ascii="Times New Roman" w:hAnsi="Times New Roman" w:eastAsia="宋体" w:cs="Times New Roman"/>
          <w:color w:val="auto"/>
          <w:highlight w:val="none"/>
          <w:lang w:eastAsia="zh-CN"/>
        </w:rPr>
        <w:t>见</w:t>
      </w:r>
      <w:r>
        <w:rPr>
          <w:rFonts w:hint="default" w:ascii="Times New Roman" w:hAnsi="Times New Roman" w:eastAsia="宋体" w:cs="Times New Roman"/>
          <w:color w:val="auto"/>
          <w:highlight w:val="none"/>
        </w:rPr>
        <w:t>图3.1-1，</w:t>
      </w:r>
      <w:r>
        <w:rPr>
          <w:rFonts w:hint="default" w:ascii="Times New Roman" w:hAnsi="Times New Roman" w:eastAsia="宋体" w:cs="Times New Roman"/>
          <w:color w:val="auto"/>
          <w:szCs w:val="24"/>
          <w:highlight w:val="none"/>
        </w:rPr>
        <w:t>项目四邻关系</w:t>
      </w:r>
      <w:r>
        <w:rPr>
          <w:rFonts w:hint="default" w:ascii="Times New Roman" w:hAnsi="Times New Roman" w:eastAsia="宋体" w:cs="Times New Roman"/>
          <w:color w:val="auto"/>
          <w:highlight w:val="none"/>
          <w:lang w:eastAsia="zh-CN"/>
        </w:rPr>
        <w:t>见</w:t>
      </w:r>
      <w:r>
        <w:rPr>
          <w:rFonts w:hint="default" w:ascii="Times New Roman" w:hAnsi="Times New Roman" w:eastAsia="宋体" w:cs="Times New Roman"/>
          <w:color w:val="auto"/>
          <w:szCs w:val="24"/>
          <w:highlight w:val="none"/>
        </w:rPr>
        <w:t>图3.1-2</w:t>
      </w:r>
      <w:r>
        <w:rPr>
          <w:rFonts w:hint="default" w:ascii="Times New Roman" w:hAnsi="Times New Roman" w:eastAsia="宋体" w:cs="Times New Roman"/>
          <w:color w:val="auto"/>
          <w:highlight w:val="none"/>
          <w:lang w:val="en-US" w:eastAsia="zh-CN"/>
        </w:rPr>
        <w:t>。</w:t>
      </w:r>
    </w:p>
    <w:p w14:paraId="546CE3F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Cs w:val="24"/>
          <w:highlight w:val="none"/>
          <w:lang w:eastAsia="zh-CN"/>
        </w:rPr>
        <w:sectPr>
          <w:pgSz w:w="11906" w:h="16838"/>
          <w:pgMar w:top="1440" w:right="1800" w:bottom="1440" w:left="1800" w:header="851" w:footer="1134" w:gutter="0"/>
          <w:pgBorders>
            <w:top w:val="none" w:sz="0" w:space="0"/>
            <w:left w:val="none" w:sz="0" w:space="0"/>
            <w:bottom w:val="none" w:sz="0" w:space="0"/>
            <w:right w:val="none" w:sz="0" w:space="0"/>
          </w:pgBorders>
          <w:pgNumType w:fmt="decimal"/>
          <w:cols w:space="425" w:num="1"/>
          <w:docGrid w:linePitch="326" w:charSpace="0"/>
        </w:sectPr>
      </w:pPr>
    </w:p>
    <w:p w14:paraId="769E6A42">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93056" behindDoc="0" locked="0" layoutInCell="1" allowOverlap="1">
                <wp:simplePos x="0" y="0"/>
                <wp:positionH relativeFrom="column">
                  <wp:posOffset>3862070</wp:posOffset>
                </wp:positionH>
                <wp:positionV relativeFrom="paragraph">
                  <wp:posOffset>1212850</wp:posOffset>
                </wp:positionV>
                <wp:extent cx="75565" cy="75565"/>
                <wp:effectExtent l="9525" t="9525" r="10160" b="10160"/>
                <wp:wrapNone/>
                <wp:docPr id="93" name="矩形 354"/>
                <wp:cNvGraphicFramePr/>
                <a:graphic xmlns:a="http://schemas.openxmlformats.org/drawingml/2006/main">
                  <a:graphicData uri="http://schemas.microsoft.com/office/word/2010/wordprocessingShape">
                    <wps:wsp>
                      <wps:cNvSpPr/>
                      <wps:spPr>
                        <a:xfrm>
                          <a:off x="0" y="0"/>
                          <a:ext cx="75565" cy="75565"/>
                        </a:xfrm>
                        <a:prstGeom prst="rect">
                          <a:avLst/>
                        </a:prstGeom>
                        <a:solidFill>
                          <a:srgbClr val="000000"/>
                        </a:solidFill>
                        <a:ln w="19050" cap="flat" cmpd="sng">
                          <a:solidFill>
                            <a:srgbClr val="FF0000"/>
                          </a:solidFill>
                          <a:prstDash val="solid"/>
                          <a:miter/>
                          <a:headEnd type="none" w="med" len="med"/>
                          <a:tailEnd type="none" w="med" len="med"/>
                        </a:ln>
                      </wps:spPr>
                      <wps:txbx>
                        <w:txbxContent>
                          <w:p w14:paraId="266CB0FA"/>
                        </w:txbxContent>
                      </wps:txbx>
                      <wps:bodyPr upright="1"/>
                    </wps:wsp>
                  </a:graphicData>
                </a:graphic>
              </wp:anchor>
            </w:drawing>
          </mc:Choice>
          <mc:Fallback>
            <w:pict>
              <v:rect id="矩形 354" o:spid="_x0000_s1026" o:spt="1" style="position:absolute;left:0pt;margin-left:304.1pt;margin-top:95.5pt;height:5.95pt;width:5.95pt;z-index:251693056;mso-width-relative:page;mso-height-relative:page;" fillcolor="#000000" filled="t" stroked="t" coordsize="21600,21600" o:gfxdata="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hnkC6NoAAAALAQAADwAAAAAAAAABACAAAAAiAAAAZHJz&#10;L2Rvd25yZXYueG1sUEsBAhQAFAAAAAgAh07iQCG3G0sCAgAAKgQAAA4AAAAAAAAAAQAgAAAAKQEA&#10;AGRycy9lMm9Eb2MueG1sUEsFBgAAAAAGAAYAWQEAAJ0FAAAAAA==&#10;">
                <v:fill on="t" focussize="0,0"/>
                <v:stroke weight="1.5pt" color="#FF0000" joinstyle="miter"/>
                <v:imagedata o:title=""/>
                <o:lock v:ext="edit" aspectratio="f"/>
                <v:textbox>
                  <w:txbxContent>
                    <w:p w14:paraId="266CB0FA"/>
                  </w:txbxContent>
                </v:textbox>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92032" behindDoc="0" locked="0" layoutInCell="1" allowOverlap="1">
                <wp:simplePos x="0" y="0"/>
                <wp:positionH relativeFrom="column">
                  <wp:posOffset>3368040</wp:posOffset>
                </wp:positionH>
                <wp:positionV relativeFrom="paragraph">
                  <wp:posOffset>731520</wp:posOffset>
                </wp:positionV>
                <wp:extent cx="842645" cy="301625"/>
                <wp:effectExtent l="4445" t="5080" r="10160" b="207645"/>
                <wp:wrapNone/>
                <wp:docPr id="92" name="自选图形 353"/>
                <wp:cNvGraphicFramePr/>
                <a:graphic xmlns:a="http://schemas.openxmlformats.org/drawingml/2006/main">
                  <a:graphicData uri="http://schemas.microsoft.com/office/word/2010/wordprocessingShape">
                    <wps:wsp>
                      <wps:cNvSpPr/>
                      <wps:spPr>
                        <a:xfrm>
                          <a:off x="0" y="0"/>
                          <a:ext cx="842645" cy="301625"/>
                        </a:xfrm>
                        <a:prstGeom prst="wedgeRectCallout">
                          <a:avLst>
                            <a:gd name="adj1" fmla="val 14129"/>
                            <a:gd name="adj2" fmla="val 114000"/>
                          </a:avLst>
                        </a:prstGeom>
                        <a:noFill/>
                        <a:ln w="9525" cap="flat" cmpd="sng">
                          <a:solidFill>
                            <a:srgbClr val="000000"/>
                          </a:solidFill>
                          <a:prstDash val="solid"/>
                          <a:miter/>
                          <a:headEnd type="none" w="med" len="med"/>
                          <a:tailEnd type="none" w="med" len="med"/>
                        </a:ln>
                      </wps:spPr>
                      <wps:txbx>
                        <w:txbxContent>
                          <w:p w14:paraId="7EE897A1">
                            <w:pPr>
                              <w:spacing w:line="240" w:lineRule="auto"/>
                              <w:ind w:firstLine="0" w:firstLineChars="0"/>
                              <w:jc w:val="center"/>
                            </w:pPr>
                            <w:r>
                              <w:rPr>
                                <w:rFonts w:hint="eastAsia"/>
                              </w:rPr>
                              <w:t>本项目</w:t>
                            </w:r>
                          </w:p>
                        </w:txbxContent>
                      </wps:txbx>
                      <wps:bodyPr upright="1"/>
                    </wps:wsp>
                  </a:graphicData>
                </a:graphic>
              </wp:anchor>
            </w:drawing>
          </mc:Choice>
          <mc:Fallback>
            <w:pict>
              <v:shape id="自选图形 353" o:spid="_x0000_s1026" o:spt="61" type="#_x0000_t61" style="position:absolute;left:0pt;margin-left:265.2pt;margin-top:57.6pt;height:23.75pt;width:66.35pt;z-index:251692032;mso-width-relative:page;mso-height-relative:page;" filled="f" stroked="t" coordsize="21600,21600" o:gfxdata="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2gljqNkAAAALAQAADwAAAAAAAAABACAAAAAiAAAAZHJzL2Rvd25y&#10;ZXYueG1sUEsBAhQAFAAAAAgAh07iQL0SOBg2AgAAZgQAAA4AAAAAAAAAAQAgAAAAKAEAAGRycy9l&#10;Mm9Eb2MueG1sUEsFBgAAAAAGAAYAWQEAANAFAAAAAA==&#10;" adj="13852,35424">
                <v:fill on="f" focussize="0,0"/>
                <v:stroke color="#000000" joinstyle="miter"/>
                <v:imagedata o:title=""/>
                <o:lock v:ext="edit" aspectratio="f"/>
                <v:textbox>
                  <w:txbxContent>
                    <w:p w14:paraId="7EE897A1">
                      <w:pPr>
                        <w:spacing w:line="240" w:lineRule="auto"/>
                        <w:ind w:firstLine="0" w:firstLineChars="0"/>
                        <w:jc w:val="center"/>
                      </w:pPr>
                      <w:r>
                        <w:rPr>
                          <w:rFonts w:hint="eastAsia"/>
                        </w:rPr>
                        <w:t>本项目</w:t>
                      </w:r>
                    </w:p>
                  </w:txbxContent>
                </v:textbox>
              </v:shape>
            </w:pict>
          </mc:Fallback>
        </mc:AlternateContent>
      </w:r>
      <w:r>
        <w:rPr>
          <w:rFonts w:hint="default" w:ascii="Times New Roman" w:hAnsi="Times New Roman" w:eastAsia="宋体" w:cs="Times New Roman"/>
          <w:b/>
          <w:bCs/>
          <w:color w:val="auto"/>
          <w:highlight w:val="none"/>
          <w:lang w:eastAsia="zh-CN"/>
        </w:rPr>
        <w:drawing>
          <wp:inline distT="0" distB="0" distL="114300" distR="114300">
            <wp:extent cx="8279765" cy="5272405"/>
            <wp:effectExtent l="0" t="0" r="6985" b="4445"/>
            <wp:docPr id="80" name="图片 80" descr="300-301乌拉特前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300-301乌拉特前旗"/>
                    <pic:cNvPicPr>
                      <a:picLocks noChangeAspect="1"/>
                    </pic:cNvPicPr>
                  </pic:nvPicPr>
                  <pic:blipFill>
                    <a:blip r:embed="rId23"/>
                    <a:srcRect l="3353" t="14313" r="18172" b="15054"/>
                    <a:stretch>
                      <a:fillRect/>
                    </a:stretch>
                  </pic:blipFill>
                  <pic:spPr>
                    <a:xfrm>
                      <a:off x="0" y="0"/>
                      <a:ext cx="8279765" cy="5272405"/>
                    </a:xfrm>
                    <a:prstGeom prst="rect">
                      <a:avLst/>
                    </a:prstGeom>
                  </pic:spPr>
                </pic:pic>
              </a:graphicData>
            </a:graphic>
          </wp:inline>
        </w:drawing>
      </w:r>
    </w:p>
    <w:p w14:paraId="0077E7AC">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b/>
          <w:bCs/>
          <w:color w:val="auto"/>
          <w:highlight w:val="none"/>
        </w:rPr>
        <w:t>图3.1-1项目地理位置图</w:t>
      </w:r>
    </w:p>
    <w:p w14:paraId="5A0C805C">
      <w:pPr>
        <w:pageBreakBefore w:val="0"/>
        <w:kinsoku/>
        <w:wordWrap/>
        <w:bidi w:val="0"/>
        <w:snapToGrid w:val="0"/>
        <w:spacing w:line="360" w:lineRule="auto"/>
        <w:ind w:left="0" w:leftChars="0" w:right="0" w:rightChars="0" w:firstLine="0" w:firstLineChars="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98176" behindDoc="0" locked="0" layoutInCell="1" allowOverlap="1">
                <wp:simplePos x="0" y="0"/>
                <wp:positionH relativeFrom="column">
                  <wp:posOffset>5150485</wp:posOffset>
                </wp:positionH>
                <wp:positionV relativeFrom="paragraph">
                  <wp:posOffset>2872105</wp:posOffset>
                </wp:positionV>
                <wp:extent cx="1205230" cy="325755"/>
                <wp:effectExtent l="0" t="0" r="0" b="0"/>
                <wp:wrapNone/>
                <wp:docPr id="84" name="矩形 84"/>
                <wp:cNvGraphicFramePr/>
                <a:graphic xmlns:a="http://schemas.openxmlformats.org/drawingml/2006/main">
                  <a:graphicData uri="http://schemas.microsoft.com/office/word/2010/wordprocessingShape">
                    <wps:wsp>
                      <wps:cNvSpPr/>
                      <wps:spPr>
                        <a:xfrm>
                          <a:off x="0" y="0"/>
                          <a:ext cx="1205230" cy="325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A64CF2">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b/>
                                <w:bCs/>
                                <w:color w:val="FFFF00"/>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b/>
                                <w:bCs/>
                                <w:color w:val="FFFF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玉米烘干厂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5.55pt;margin-top:226.15pt;height:25.65pt;width:94.9pt;z-index:251698176;v-text-anchor:middle;mso-width-relative:page;mso-height-relative:page;" filled="f" stroked="f" coordsize="21600,21600" o:gfxdata="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pHuwQ9oAAAAM&#10;AQAADwAAAAAAAAABACAAAAAiAAAAZHJzL2Rvd25yZXYueG1sUEsBAhQAFAAAAAgAh07iQB77LKhT&#10;AgAAmAQAAA4AAAAAAAAAAQAgAAAAKQEAAGRycy9lMm9Eb2MueG1sUEsFBgAAAAAGAAYAWQEAAO4F&#10;AAAAAA==&#10;">
                <v:fill on="f" focussize="0,0"/>
                <v:stroke on="f" weight="2pt"/>
                <v:imagedata o:title=""/>
                <o:lock v:ext="edit" aspectratio="f"/>
                <v:textbox>
                  <w:txbxContent>
                    <w:p w14:paraId="1FA64CF2">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b/>
                          <w:bCs/>
                          <w:color w:val="FFFF00"/>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b/>
                          <w:bCs/>
                          <w:color w:val="FFFF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玉米烘干厂</w:t>
                      </w:r>
                    </w:p>
                  </w:txbxContent>
                </v:textbox>
              </v:rect>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94080" behindDoc="0" locked="0" layoutInCell="1" allowOverlap="1">
                <wp:simplePos x="0" y="0"/>
                <wp:positionH relativeFrom="column">
                  <wp:posOffset>3846830</wp:posOffset>
                </wp:positionH>
                <wp:positionV relativeFrom="paragraph">
                  <wp:posOffset>3362960</wp:posOffset>
                </wp:positionV>
                <wp:extent cx="884555" cy="325755"/>
                <wp:effectExtent l="0" t="0" r="0" b="0"/>
                <wp:wrapNone/>
                <wp:docPr id="96" name="矩形 96"/>
                <wp:cNvGraphicFramePr/>
                <a:graphic xmlns:a="http://schemas.openxmlformats.org/drawingml/2006/main">
                  <a:graphicData uri="http://schemas.microsoft.com/office/word/2010/wordprocessingShape">
                    <wps:wsp>
                      <wps:cNvSpPr/>
                      <wps:spPr>
                        <a:xfrm>
                          <a:off x="0" y="0"/>
                          <a:ext cx="884555" cy="325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5F1EDE">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b/>
                                <w:bCs/>
                                <w:color w:val="FFFF00"/>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b/>
                                <w:bCs/>
                                <w:color w:val="FFFF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耕地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2.9pt;margin-top:264.8pt;height:25.65pt;width:69.65pt;z-index:251694080;v-text-anchor:middle;mso-width-relative:page;mso-height-relative:page;" filled="f" stroked="f" coordsize="21600,21600" o:gfxdata="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Hrk70doAAAAL&#10;AQAADwAAAAAAAAABACAAAAAiAAAAZHJzL2Rvd25yZXYueG1sUEsBAhQAFAAAAAgAh07iQOHYbehT&#10;AgAAlwQAAA4AAAAAAAAAAQAgAAAAKQEAAGRycy9lMm9Eb2MueG1sUEsFBgAAAAAGAAYAWQEAAO4F&#10;AAAAAA==&#10;">
                <v:fill on="f" focussize="0,0"/>
                <v:stroke on="f" weight="2pt"/>
                <v:imagedata o:title=""/>
                <o:lock v:ext="edit" aspectratio="f"/>
                <v:textbox>
                  <w:txbxContent>
                    <w:p w14:paraId="425F1EDE">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b/>
                          <w:bCs/>
                          <w:color w:val="FFFF00"/>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b/>
                          <w:bCs/>
                          <w:color w:val="FFFF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耕地</w:t>
                      </w:r>
                    </w:p>
                  </w:txbxContent>
                </v:textbox>
              </v:rect>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97152" behindDoc="0" locked="0" layoutInCell="1" allowOverlap="1">
                <wp:simplePos x="0" y="0"/>
                <wp:positionH relativeFrom="column">
                  <wp:posOffset>2312035</wp:posOffset>
                </wp:positionH>
                <wp:positionV relativeFrom="paragraph">
                  <wp:posOffset>1635760</wp:posOffset>
                </wp:positionV>
                <wp:extent cx="884555" cy="325755"/>
                <wp:effectExtent l="0" t="0" r="0" b="0"/>
                <wp:wrapNone/>
                <wp:docPr id="83" name="矩形 83"/>
                <wp:cNvGraphicFramePr/>
                <a:graphic xmlns:a="http://schemas.openxmlformats.org/drawingml/2006/main">
                  <a:graphicData uri="http://schemas.microsoft.com/office/word/2010/wordprocessingShape">
                    <wps:wsp>
                      <wps:cNvSpPr/>
                      <wps:spPr>
                        <a:xfrm>
                          <a:off x="0" y="0"/>
                          <a:ext cx="884555" cy="325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BFFCF2">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b/>
                                <w:bCs/>
                                <w:color w:val="FFFF00"/>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b/>
                                <w:bCs/>
                                <w:color w:val="FFFF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耕地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2.05pt;margin-top:128.8pt;height:25.65pt;width:69.65pt;z-index:251697152;v-text-anchor:middle;mso-width-relative:page;mso-height-relative:page;" filled="f" stroked="f" coordsize="21600,21600" o:gfxdata="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gTb/idoAAAAL&#10;AQAADwAAAAAAAAABACAAAAAiAAAAZHJzL2Rvd25yZXYueG1sUEsBAhQAFAAAAAgAh07iQDkFLEtT&#10;AgAAlwQAAA4AAAAAAAAAAQAgAAAAKQEAAGRycy9lMm9Eb2MueG1sUEsFBgAAAAAGAAYAWQEAAO4F&#10;AAAAAA==&#10;">
                <v:fill on="f" focussize="0,0"/>
                <v:stroke on="f" weight="2pt"/>
                <v:imagedata o:title=""/>
                <o:lock v:ext="edit" aspectratio="f"/>
                <v:textbox>
                  <w:txbxContent>
                    <w:p w14:paraId="30BFFCF2">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b/>
                          <w:bCs/>
                          <w:color w:val="FFFF00"/>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b/>
                          <w:bCs/>
                          <w:color w:val="FFFF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耕地</w:t>
                      </w:r>
                    </w:p>
                  </w:txbxContent>
                </v:textbox>
              </v:rect>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00224" behindDoc="0" locked="0" layoutInCell="1" allowOverlap="1">
                <wp:simplePos x="0" y="0"/>
                <wp:positionH relativeFrom="column">
                  <wp:posOffset>2993390</wp:posOffset>
                </wp:positionH>
                <wp:positionV relativeFrom="paragraph">
                  <wp:posOffset>918845</wp:posOffset>
                </wp:positionV>
                <wp:extent cx="1205230" cy="325755"/>
                <wp:effectExtent l="0" t="0" r="0" b="0"/>
                <wp:wrapNone/>
                <wp:docPr id="91" name="矩形 91"/>
                <wp:cNvGraphicFramePr/>
                <a:graphic xmlns:a="http://schemas.openxmlformats.org/drawingml/2006/main">
                  <a:graphicData uri="http://schemas.microsoft.com/office/word/2010/wordprocessingShape">
                    <wps:wsp>
                      <wps:cNvSpPr/>
                      <wps:spPr>
                        <a:xfrm>
                          <a:off x="0" y="0"/>
                          <a:ext cx="1205230" cy="325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8BAA3C">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b/>
                                <w:bCs/>
                                <w:color w:val="FFFF00"/>
                                <w:sz w:val="24"/>
                                <w:szCs w:val="24"/>
                                <w:lang w:val="en-US"/>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b/>
                                <w:bCs/>
                                <w:color w:val="FFFF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S311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5.7pt;margin-top:72.35pt;height:25.65pt;width:94.9pt;z-index:251700224;v-text-anchor:middle;mso-width-relative:page;mso-height-relative:page;" filled="f" stroked="f" coordsize="21600,21600" o:gfxdata="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GPmFB2QAAAAsB&#10;AAAPAAAAAAAAAAEAIAAAACIAAABkcnMvZG93bnJldi54bWxQSwECFAAUAAAACACHTuJAJeCHIFMC&#10;AACYBAAADgAAAAAAAAABACAAAAAoAQAAZHJzL2Uyb0RvYy54bWxQSwUGAAAAAAYABgBZAQAA7QUA&#10;AAAA&#10;">
                <v:fill on="f" focussize="0,0"/>
                <v:stroke on="f" weight="2pt"/>
                <v:imagedata o:title=""/>
                <o:lock v:ext="edit" aspectratio="f"/>
                <v:textbox>
                  <w:txbxContent>
                    <w:p w14:paraId="5F8BAA3C">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b/>
                          <w:bCs/>
                          <w:color w:val="FFFF00"/>
                          <w:sz w:val="24"/>
                          <w:szCs w:val="24"/>
                          <w:lang w:val="en-US"/>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b/>
                          <w:bCs/>
                          <w:color w:val="FFFF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S311</w:t>
                      </w:r>
                    </w:p>
                  </w:txbxContent>
                </v:textbox>
              </v:rect>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99200" behindDoc="0" locked="0" layoutInCell="1" allowOverlap="1">
                <wp:simplePos x="0" y="0"/>
                <wp:positionH relativeFrom="column">
                  <wp:posOffset>2039620</wp:posOffset>
                </wp:positionH>
                <wp:positionV relativeFrom="paragraph">
                  <wp:posOffset>15875</wp:posOffset>
                </wp:positionV>
                <wp:extent cx="6232525" cy="4290060"/>
                <wp:effectExtent l="16510" t="23495" r="18415" b="29845"/>
                <wp:wrapNone/>
                <wp:docPr id="90" name="直接连接符 90"/>
                <wp:cNvGraphicFramePr/>
                <a:graphic xmlns:a="http://schemas.openxmlformats.org/drawingml/2006/main">
                  <a:graphicData uri="http://schemas.microsoft.com/office/word/2010/wordprocessingShape">
                    <wps:wsp>
                      <wps:cNvCnPr/>
                      <wps:spPr>
                        <a:xfrm>
                          <a:off x="3437255" y="1083310"/>
                          <a:ext cx="6232525" cy="4290060"/>
                        </a:xfrm>
                        <a:prstGeom prst="line">
                          <a:avLst/>
                        </a:prstGeom>
                        <a:ln w="57150">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60.6pt;margin-top:1.25pt;height:337.8pt;width:490.75pt;z-index:251699200;mso-width-relative:page;mso-height-relative:page;" filled="f" stroked="t" coordsize="21600,21600" o:gfxdata="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4iH729gAAAAKAQAADwAAAAAAAAABACAAAAAiAAAAZHJzL2Rvd25yZXYueG1sUEsBAhQAFAAA&#10;AAgAh07iQGELR27vAQAArwMAAA4AAAAAAAAAAQAgAAAAJwEAAGRycy9lMm9Eb2MueG1sUEsFBgAA&#10;AAAGAAYAWQEAAIgFAAAAAA==&#10;">
                <v:fill on="f" focussize="0,0"/>
                <v:stroke weight="4.5pt" color="#00B0F0 [3204]" joinstyle="round"/>
                <v:imagedata o:title=""/>
                <o:lock v:ext="edit" aspectratio="f"/>
              </v:line>
            </w:pict>
          </mc:Fallback>
        </mc:AlternateContent>
      </w:r>
      <w:r>
        <w:rPr>
          <w:rFonts w:hint="default" w:ascii="Times New Roman" w:hAnsi="Times New Roman" w:eastAsia="宋体" w:cs="Times New Roman"/>
          <w:color w:val="auto"/>
          <w:highlight w:val="none"/>
        </w:rPr>
        <w:drawing>
          <wp:anchor distT="0" distB="0" distL="114300" distR="114300" simplePos="0" relativeHeight="251701248" behindDoc="0" locked="0" layoutInCell="1" allowOverlap="1">
            <wp:simplePos x="0" y="0"/>
            <wp:positionH relativeFrom="column">
              <wp:posOffset>7671435</wp:posOffset>
            </wp:positionH>
            <wp:positionV relativeFrom="paragraph">
              <wp:posOffset>5080</wp:posOffset>
            </wp:positionV>
            <wp:extent cx="588010" cy="647700"/>
            <wp:effectExtent l="0" t="0" r="2540" b="0"/>
            <wp:wrapNone/>
            <wp:docPr id="9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
                    <pic:cNvPicPr>
                      <a:picLocks noChangeAspect="1"/>
                    </pic:cNvPicPr>
                  </pic:nvPicPr>
                  <pic:blipFill>
                    <a:blip r:embed="rId18"/>
                    <a:stretch>
                      <a:fillRect/>
                    </a:stretch>
                  </pic:blipFill>
                  <pic:spPr>
                    <a:xfrm>
                      <a:off x="0" y="0"/>
                      <a:ext cx="588010" cy="647700"/>
                    </a:xfrm>
                    <a:prstGeom prst="rect">
                      <a:avLst/>
                    </a:prstGeom>
                    <a:noFill/>
                    <a:ln>
                      <a:noFill/>
                    </a:ln>
                  </pic:spPr>
                </pic:pic>
              </a:graphicData>
            </a:graphic>
          </wp:anchor>
        </w:drawing>
      </w:r>
      <w:r>
        <w:rPr>
          <w:rFonts w:hint="default" w:ascii="Times New Roman" w:hAnsi="Times New Roman" w:eastAsia="宋体" w:cs="Times New Roman"/>
          <w:color w:val="auto"/>
          <w:highlight w:val="none"/>
          <w:lang w:eastAsia="zh-CN"/>
        </w:rPr>
        <w:drawing>
          <wp:inline distT="0" distB="0" distL="114300" distR="114300">
            <wp:extent cx="8279765" cy="4745990"/>
            <wp:effectExtent l="0" t="0" r="6985" b="16510"/>
            <wp:docPr id="82" name="图片 82" descr="3123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31232123"/>
                    <pic:cNvPicPr>
                      <a:picLocks noChangeAspect="1"/>
                    </pic:cNvPicPr>
                  </pic:nvPicPr>
                  <pic:blipFill>
                    <a:blip r:embed="rId24"/>
                    <a:stretch>
                      <a:fillRect/>
                    </a:stretch>
                  </pic:blipFill>
                  <pic:spPr>
                    <a:xfrm>
                      <a:off x="0" y="0"/>
                      <a:ext cx="8279765" cy="4745990"/>
                    </a:xfrm>
                    <a:prstGeom prst="rect">
                      <a:avLst/>
                    </a:prstGeom>
                  </pic:spPr>
                </pic:pic>
              </a:graphicData>
            </a:graphic>
          </wp:inline>
        </w:drawing>
      </w:r>
    </w:p>
    <w:p w14:paraId="22A819C0">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b/>
          <w:bCs/>
          <w:color w:val="FF0000"/>
          <w:highlight w:val="none"/>
        </w:rPr>
      </w:pPr>
      <w:r>
        <w:rPr>
          <w:rFonts w:hint="default" w:ascii="Times New Roman" w:hAnsi="Times New Roman" w:eastAsia="宋体" w:cs="Times New Roman"/>
          <w:b/>
          <w:bCs/>
          <w:color w:val="FF0000"/>
          <w:highlight w:val="none"/>
        </w:rPr>
        <w:t>图3.1-</w:t>
      </w:r>
      <w:r>
        <w:rPr>
          <w:rFonts w:hint="default" w:ascii="Times New Roman" w:hAnsi="Times New Roman" w:eastAsia="宋体" w:cs="Times New Roman"/>
          <w:b/>
          <w:bCs/>
          <w:color w:val="FF0000"/>
          <w:highlight w:val="none"/>
          <w:lang w:val="en-US" w:eastAsia="zh-CN"/>
        </w:rPr>
        <w:t>2</w:t>
      </w:r>
      <w:r>
        <w:rPr>
          <w:rFonts w:hint="default" w:ascii="Times New Roman" w:hAnsi="Times New Roman" w:eastAsia="宋体" w:cs="Times New Roman"/>
          <w:b/>
          <w:bCs/>
          <w:color w:val="FF0000"/>
          <w:highlight w:val="none"/>
        </w:rPr>
        <w:t>项目四邻关系图</w:t>
      </w:r>
    </w:p>
    <w:p w14:paraId="7353D643">
      <w:pPr>
        <w:pStyle w:val="20"/>
        <w:pageBreakBefore w:val="0"/>
        <w:kinsoku/>
        <w:wordWrap/>
        <w:bidi w:val="0"/>
        <w:snapToGrid w:val="0"/>
        <w:spacing w:line="360" w:lineRule="auto"/>
        <w:ind w:left="0" w:leftChars="0" w:right="0" w:rightChars="0" w:firstLine="0" w:firstLineChars="0"/>
        <w:rPr>
          <w:rFonts w:hint="default" w:ascii="Times New Roman" w:hAnsi="Times New Roman" w:eastAsia="宋体" w:cs="Times New Roman"/>
          <w:color w:val="auto"/>
          <w:szCs w:val="24"/>
          <w:highlight w:val="none"/>
        </w:rPr>
        <w:sectPr>
          <w:pgSz w:w="16838" w:h="11906" w:orient="landscape"/>
          <w:pgMar w:top="1440" w:right="1800" w:bottom="1440" w:left="1800" w:header="851" w:footer="1134" w:gutter="0"/>
          <w:pgBorders>
            <w:top w:val="none" w:sz="0" w:space="0"/>
            <w:left w:val="none" w:sz="0" w:space="0"/>
            <w:bottom w:val="none" w:sz="0" w:space="0"/>
            <w:right w:val="none" w:sz="0" w:space="0"/>
          </w:pgBorders>
          <w:pgNumType w:fmt="decimal"/>
          <w:cols w:space="425" w:num="1"/>
          <w:docGrid w:linePitch="326" w:charSpace="0"/>
        </w:sectPr>
      </w:pPr>
    </w:p>
    <w:p w14:paraId="161B64C9">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202" w:name="_Toc494206284"/>
      <w:bookmarkStart w:id="203" w:name="_Toc512871542"/>
      <w:bookmarkStart w:id="204" w:name="_Toc2184"/>
      <w:r>
        <w:rPr>
          <w:rFonts w:hint="default" w:ascii="Times New Roman" w:hAnsi="Times New Roman" w:eastAsia="宋体" w:cs="Times New Roman"/>
          <w:color w:val="auto"/>
          <w:highlight w:val="none"/>
        </w:rPr>
        <w:t>3.1.2项目组成</w:t>
      </w:r>
      <w:bookmarkEnd w:id="202"/>
      <w:r>
        <w:rPr>
          <w:rFonts w:hint="default" w:ascii="Times New Roman" w:hAnsi="Times New Roman" w:eastAsia="宋体" w:cs="Times New Roman"/>
          <w:color w:val="auto"/>
          <w:highlight w:val="none"/>
        </w:rPr>
        <w:t>及建设内容</w:t>
      </w:r>
      <w:bookmarkEnd w:id="203"/>
      <w:bookmarkEnd w:id="204"/>
    </w:p>
    <w:p w14:paraId="0559A39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w:t>
      </w:r>
      <w:r>
        <w:rPr>
          <w:rFonts w:hint="default" w:ascii="Times New Roman" w:hAnsi="Times New Roman" w:eastAsia="宋体" w:cs="Times New Roman"/>
          <w:color w:val="auto"/>
          <w:highlight w:val="none"/>
          <w:lang w:eastAsia="zh-CN"/>
        </w:rPr>
        <w:t>规模化肉牛养殖项目</w:t>
      </w:r>
      <w:r>
        <w:rPr>
          <w:rFonts w:hint="default" w:ascii="Times New Roman" w:hAnsi="Times New Roman" w:eastAsia="宋体" w:cs="Times New Roman"/>
          <w:color w:val="auto"/>
          <w:highlight w:val="none"/>
        </w:rPr>
        <w:t>，建设内容主要</w:t>
      </w:r>
      <w:r>
        <w:rPr>
          <w:rFonts w:hint="default" w:ascii="Times New Roman" w:hAnsi="Times New Roman" w:eastAsia="宋体" w:cs="Times New Roman"/>
          <w:color w:val="auto"/>
          <w:highlight w:val="none"/>
          <w:lang w:eastAsia="zh-CN"/>
        </w:rPr>
        <w:t>为</w:t>
      </w:r>
      <w:r>
        <w:rPr>
          <w:rFonts w:hint="default" w:ascii="Times New Roman" w:hAnsi="Times New Roman" w:eastAsia="宋体" w:cs="Times New Roman"/>
          <w:color w:val="auto"/>
          <w:highlight w:val="none"/>
        </w:rPr>
        <w:t>牛舍、</w:t>
      </w:r>
      <w:r>
        <w:rPr>
          <w:rFonts w:hint="default" w:ascii="Times New Roman" w:hAnsi="Times New Roman" w:eastAsia="宋体" w:cs="Times New Roman"/>
          <w:color w:val="auto"/>
          <w:highlight w:val="none"/>
          <w:lang w:val="en-US" w:eastAsia="zh-CN"/>
        </w:rPr>
        <w:t>草棚、青贮平台、办公室、宿舍</w:t>
      </w:r>
      <w:r>
        <w:rPr>
          <w:rFonts w:hint="default" w:ascii="Times New Roman" w:hAnsi="Times New Roman" w:eastAsia="宋体" w:cs="Times New Roman"/>
          <w:color w:val="auto"/>
          <w:highlight w:val="none"/>
        </w:rPr>
        <w:t>等，并配套建设</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等环保工程，项目组成见表3.1-</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w:t>
      </w:r>
    </w:p>
    <w:p w14:paraId="187B3251">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表3.1-</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项目组成及建设内容一览表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93"/>
        <w:gridCol w:w="993"/>
        <w:gridCol w:w="993"/>
        <w:gridCol w:w="5298"/>
      </w:tblGrid>
      <w:tr w14:paraId="48B86D6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tcBorders>
              <w:top w:val="single" w:color="auto" w:sz="4" w:space="0"/>
              <w:left w:val="single" w:color="auto" w:sz="4" w:space="0"/>
              <w:bottom w:val="single" w:color="auto" w:sz="4" w:space="0"/>
              <w:right w:val="single" w:color="auto" w:sz="4" w:space="0"/>
            </w:tcBorders>
            <w:vAlign w:val="center"/>
          </w:tcPr>
          <w:p w14:paraId="1B447FB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FF0000"/>
                <w:sz w:val="21"/>
                <w:szCs w:val="21"/>
                <w:highlight w:val="none"/>
              </w:rPr>
            </w:pPr>
            <w:r>
              <w:rPr>
                <w:rFonts w:hint="default" w:ascii="Times New Roman" w:hAnsi="Times New Roman" w:eastAsia="宋体" w:cs="Times New Roman"/>
                <w:b/>
                <w:bCs/>
                <w:color w:val="FF0000"/>
                <w:sz w:val="21"/>
                <w:szCs w:val="21"/>
                <w:highlight w:val="none"/>
              </w:rPr>
              <w:t>类别</w:t>
            </w:r>
          </w:p>
        </w:tc>
        <w:tc>
          <w:tcPr>
            <w:tcW w:w="1986" w:type="dxa"/>
            <w:gridSpan w:val="2"/>
            <w:tcBorders>
              <w:top w:val="single" w:color="auto" w:sz="4" w:space="0"/>
              <w:left w:val="single" w:color="auto" w:sz="4" w:space="0"/>
              <w:bottom w:val="single" w:color="auto" w:sz="4" w:space="0"/>
              <w:right w:val="single" w:color="auto" w:sz="4" w:space="0"/>
            </w:tcBorders>
            <w:vAlign w:val="center"/>
          </w:tcPr>
          <w:p w14:paraId="76AD42A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FF0000"/>
                <w:sz w:val="21"/>
                <w:szCs w:val="21"/>
                <w:highlight w:val="none"/>
              </w:rPr>
            </w:pPr>
            <w:r>
              <w:rPr>
                <w:rFonts w:hint="default" w:ascii="Times New Roman" w:hAnsi="Times New Roman" w:eastAsia="宋体" w:cs="Times New Roman"/>
                <w:b/>
                <w:bCs/>
                <w:color w:val="FF0000"/>
                <w:sz w:val="21"/>
                <w:szCs w:val="21"/>
                <w:highlight w:val="none"/>
              </w:rPr>
              <w:t>项目名称</w:t>
            </w:r>
          </w:p>
        </w:tc>
        <w:tc>
          <w:tcPr>
            <w:tcW w:w="5298" w:type="dxa"/>
            <w:tcBorders>
              <w:top w:val="single" w:color="auto" w:sz="4" w:space="0"/>
              <w:left w:val="single" w:color="auto" w:sz="4" w:space="0"/>
              <w:bottom w:val="single" w:color="auto" w:sz="4" w:space="0"/>
              <w:right w:val="single" w:color="auto" w:sz="4" w:space="0"/>
            </w:tcBorders>
            <w:vAlign w:val="center"/>
          </w:tcPr>
          <w:p w14:paraId="56EEE6B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jc w:val="center"/>
              <w:textAlignment w:val="center"/>
              <w:rPr>
                <w:rFonts w:hint="default" w:ascii="Times New Roman" w:hAnsi="Times New Roman" w:eastAsia="宋体" w:cs="Times New Roman"/>
                <w:b/>
                <w:bCs/>
                <w:color w:val="FF0000"/>
                <w:sz w:val="21"/>
                <w:szCs w:val="21"/>
                <w:highlight w:val="none"/>
              </w:rPr>
            </w:pPr>
            <w:r>
              <w:rPr>
                <w:rFonts w:hint="default" w:ascii="Times New Roman" w:hAnsi="Times New Roman" w:eastAsia="宋体" w:cs="Times New Roman"/>
                <w:b/>
                <w:bCs/>
                <w:color w:val="FF0000"/>
                <w:sz w:val="21"/>
                <w:szCs w:val="21"/>
                <w:highlight w:val="none"/>
              </w:rPr>
              <w:t>建设内容</w:t>
            </w:r>
          </w:p>
        </w:tc>
      </w:tr>
      <w:tr w14:paraId="75C76B5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restart"/>
            <w:tcBorders>
              <w:top w:val="single" w:color="auto" w:sz="4" w:space="0"/>
              <w:left w:val="single" w:color="auto" w:sz="4" w:space="0"/>
              <w:bottom w:val="single" w:color="auto" w:sz="4" w:space="0"/>
              <w:right w:val="single" w:color="auto" w:sz="4" w:space="0"/>
            </w:tcBorders>
            <w:vAlign w:val="center"/>
          </w:tcPr>
          <w:p w14:paraId="35E094D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主体</w:t>
            </w:r>
          </w:p>
          <w:p w14:paraId="27C3C02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工程</w:t>
            </w:r>
          </w:p>
        </w:tc>
        <w:tc>
          <w:tcPr>
            <w:tcW w:w="1986" w:type="dxa"/>
            <w:gridSpan w:val="2"/>
            <w:tcBorders>
              <w:top w:val="single" w:color="auto" w:sz="4" w:space="0"/>
              <w:left w:val="single" w:color="auto" w:sz="4" w:space="0"/>
              <w:bottom w:val="single" w:color="auto" w:sz="4" w:space="0"/>
              <w:right w:val="single" w:color="auto" w:sz="4" w:space="0"/>
            </w:tcBorders>
            <w:vAlign w:val="center"/>
          </w:tcPr>
          <w:p w14:paraId="0B7FD0B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contextualSpacing/>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育肥牛舍</w:t>
            </w:r>
          </w:p>
        </w:tc>
        <w:tc>
          <w:tcPr>
            <w:tcW w:w="5298" w:type="dxa"/>
            <w:tcBorders>
              <w:top w:val="single" w:color="auto" w:sz="4" w:space="0"/>
              <w:left w:val="single" w:color="auto" w:sz="4" w:space="0"/>
              <w:bottom w:val="single" w:color="auto" w:sz="4" w:space="0"/>
              <w:right w:val="single" w:color="auto" w:sz="4" w:space="0"/>
            </w:tcBorders>
            <w:vAlign w:val="center"/>
          </w:tcPr>
          <w:p w14:paraId="4732B89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420" w:firstLineChars="200"/>
              <w:contextualSpacing/>
              <w:jc w:val="left"/>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共建设</w:t>
            </w:r>
            <w:r>
              <w:rPr>
                <w:rFonts w:hint="default" w:ascii="Times New Roman" w:hAnsi="Times New Roman" w:eastAsia="宋体" w:cs="Times New Roman"/>
                <w:color w:val="FF0000"/>
                <w:sz w:val="21"/>
                <w:szCs w:val="21"/>
                <w:highlight w:val="none"/>
                <w:lang w:val="en-US" w:eastAsia="zh-CN"/>
              </w:rPr>
              <w:t>11栋育肥牛舍，建筑总面积均为9680m</w:t>
            </w:r>
            <w:r>
              <w:rPr>
                <w:rFonts w:hint="default" w:ascii="Times New Roman" w:hAnsi="Times New Roman" w:eastAsia="宋体" w:cs="Times New Roman"/>
                <w:color w:val="FF0000"/>
                <w:sz w:val="21"/>
                <w:szCs w:val="21"/>
                <w:highlight w:val="none"/>
                <w:vertAlign w:val="superscript"/>
                <w:lang w:val="en-US" w:eastAsia="zh-CN"/>
              </w:rPr>
              <w:t>2</w:t>
            </w:r>
            <w:r>
              <w:rPr>
                <w:rFonts w:hint="default"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rPr>
              <w:t>采用混凝土独立基础，</w:t>
            </w:r>
            <w:r>
              <w:rPr>
                <w:rFonts w:hint="default" w:ascii="Times New Roman" w:hAnsi="Times New Roman" w:eastAsia="宋体" w:cs="Times New Roman"/>
                <w:color w:val="FF0000"/>
                <w:sz w:val="21"/>
                <w:szCs w:val="21"/>
                <w:highlight w:val="none"/>
                <w:lang w:val="en-US" w:eastAsia="zh-CN"/>
              </w:rPr>
              <w:t>钢结构</w:t>
            </w:r>
            <w:r>
              <w:rPr>
                <w:rFonts w:hint="default" w:ascii="Times New Roman" w:hAnsi="Times New Roman" w:eastAsia="宋体" w:cs="Times New Roman"/>
                <w:color w:val="FF0000"/>
                <w:sz w:val="21"/>
                <w:szCs w:val="21"/>
                <w:highlight w:val="none"/>
              </w:rPr>
              <w:t>。高4.5</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rPr>
              <w:t>5m</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rPr>
              <w:t>屋檐居地面2.8</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rPr>
              <w:t>3.3m</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lang w:val="en-US" w:eastAsia="zh-CN"/>
              </w:rPr>
              <w:t>牛舍内地面采用混凝土地面</w:t>
            </w:r>
            <w:r>
              <w:rPr>
                <w:rFonts w:hint="default" w:ascii="Times New Roman" w:hAnsi="Times New Roman" w:eastAsia="宋体" w:cs="Times New Roman"/>
                <w:color w:val="FF0000"/>
                <w:sz w:val="21"/>
                <w:szCs w:val="21"/>
                <w:highlight w:val="none"/>
                <w:lang w:eastAsia="zh-CN"/>
              </w:rPr>
              <w:t>。牛舍冬季西侧、北侧设置围挡；春夏秋季节将去掉牛舍的围挡，以自然通风的方式进行牛舍换气。</w:t>
            </w:r>
          </w:p>
          <w:p w14:paraId="481A970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420" w:firstLineChars="200"/>
              <w:contextualSpacing/>
              <w:jc w:val="left"/>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同时配套建设11个运动场，占地总面积为26400m</w:t>
            </w:r>
            <w:r>
              <w:rPr>
                <w:rFonts w:hint="default" w:ascii="Times New Roman" w:hAnsi="Times New Roman" w:eastAsia="宋体" w:cs="Times New Roman"/>
                <w:color w:val="FF0000"/>
                <w:sz w:val="21"/>
                <w:szCs w:val="21"/>
                <w:highlight w:val="none"/>
                <w:vertAlign w:val="superscript"/>
                <w:lang w:val="en-US" w:eastAsia="zh-CN"/>
              </w:rPr>
              <w:t>2</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lang w:val="en-US" w:eastAsia="zh-CN"/>
              </w:rPr>
              <w:t>运动场</w:t>
            </w:r>
            <w:r>
              <w:rPr>
                <w:rFonts w:hint="default" w:ascii="Times New Roman" w:hAnsi="Times New Roman" w:eastAsia="宋体" w:cs="Times New Roman"/>
                <w:color w:val="FF0000"/>
                <w:kern w:val="2"/>
                <w:sz w:val="21"/>
                <w:szCs w:val="21"/>
                <w:highlight w:val="none"/>
                <w:vertAlign w:val="baseline"/>
                <w:lang w:val="en-US" w:eastAsia="zh-CN"/>
              </w:rPr>
              <w:t>位于牛舍南侧，</w:t>
            </w:r>
            <w:r>
              <w:rPr>
                <w:rFonts w:hint="default" w:ascii="Times New Roman" w:hAnsi="Times New Roman" w:eastAsia="宋体" w:cs="Times New Roman"/>
                <w:color w:val="FF0000"/>
                <w:kern w:val="2"/>
                <w:sz w:val="21"/>
                <w:szCs w:val="21"/>
                <w:highlight w:val="none"/>
                <w:vertAlign w:val="baseline"/>
                <w:lang w:eastAsia="zh-CN"/>
              </w:rPr>
              <w:t>均为露天场地，四周设置钢结构围栏，</w:t>
            </w:r>
            <w:r>
              <w:rPr>
                <w:rFonts w:hint="default" w:ascii="Times New Roman" w:hAnsi="Times New Roman" w:eastAsia="宋体" w:cs="Times New Roman"/>
                <w:color w:val="FF0000"/>
                <w:kern w:val="2"/>
                <w:sz w:val="21"/>
                <w:szCs w:val="21"/>
                <w:highlight w:val="none"/>
                <w:vertAlign w:val="baseline"/>
                <w:lang w:val="en-US" w:eastAsia="zh-CN"/>
              </w:rPr>
              <w:t>运动场</w:t>
            </w:r>
            <w:r>
              <w:rPr>
                <w:rFonts w:hint="default" w:ascii="Times New Roman" w:hAnsi="Times New Roman" w:eastAsia="宋体" w:cs="Times New Roman"/>
                <w:color w:val="FF0000"/>
                <w:sz w:val="21"/>
                <w:szCs w:val="21"/>
                <w:highlight w:val="none"/>
                <w:lang w:val="en-US" w:eastAsia="zh-CN"/>
              </w:rPr>
              <w:t>地面采用混凝土地面</w:t>
            </w:r>
            <w:r>
              <w:rPr>
                <w:rFonts w:hint="default" w:ascii="Times New Roman" w:hAnsi="Times New Roman" w:eastAsia="宋体" w:cs="Times New Roman"/>
                <w:color w:val="FF0000"/>
                <w:kern w:val="2"/>
                <w:sz w:val="21"/>
                <w:szCs w:val="21"/>
                <w:highlight w:val="none"/>
              </w:rPr>
              <w:t>。</w:t>
            </w:r>
          </w:p>
        </w:tc>
      </w:tr>
      <w:tr w14:paraId="329452A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7254D98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1986" w:type="dxa"/>
            <w:gridSpan w:val="2"/>
            <w:tcBorders>
              <w:top w:val="single" w:color="auto" w:sz="4" w:space="0"/>
              <w:left w:val="single" w:color="auto" w:sz="4" w:space="0"/>
              <w:bottom w:val="single" w:color="auto" w:sz="4" w:space="0"/>
              <w:right w:val="single" w:color="auto" w:sz="4" w:space="0"/>
            </w:tcBorders>
            <w:vAlign w:val="center"/>
          </w:tcPr>
          <w:p w14:paraId="16A164C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contextualSpacing/>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成</w:t>
            </w:r>
            <w:r>
              <w:rPr>
                <w:rFonts w:hint="default" w:ascii="Times New Roman" w:hAnsi="Times New Roman" w:eastAsia="宋体" w:cs="Times New Roman"/>
                <w:color w:val="FF0000"/>
                <w:kern w:val="2"/>
                <w:sz w:val="21"/>
                <w:szCs w:val="21"/>
                <w:highlight w:val="none"/>
                <w:lang w:val="en-US" w:eastAsia="zh-CN" w:bidi="ar-SA"/>
              </w:rPr>
              <w:t>牛舍</w:t>
            </w:r>
          </w:p>
        </w:tc>
        <w:tc>
          <w:tcPr>
            <w:tcW w:w="5298" w:type="dxa"/>
            <w:tcBorders>
              <w:top w:val="single" w:color="auto" w:sz="4" w:space="0"/>
              <w:left w:val="single" w:color="auto" w:sz="4" w:space="0"/>
              <w:bottom w:val="single" w:color="auto" w:sz="4" w:space="0"/>
              <w:right w:val="single" w:color="auto" w:sz="4" w:space="0"/>
            </w:tcBorders>
            <w:vAlign w:val="center"/>
          </w:tcPr>
          <w:p w14:paraId="60AC62C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420" w:firstLineChars="200"/>
              <w:contextualSpacing/>
              <w:jc w:val="left"/>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共建设</w:t>
            </w:r>
            <w:r>
              <w:rPr>
                <w:rFonts w:hint="default" w:ascii="Times New Roman" w:hAnsi="Times New Roman" w:eastAsia="宋体" w:cs="Times New Roman"/>
                <w:color w:val="FF0000"/>
                <w:sz w:val="21"/>
                <w:szCs w:val="21"/>
                <w:highlight w:val="none"/>
                <w:lang w:val="en-US" w:eastAsia="zh-CN"/>
              </w:rPr>
              <w:t>13</w:t>
            </w:r>
            <w:r>
              <w:rPr>
                <w:rFonts w:hint="default" w:ascii="Times New Roman" w:hAnsi="Times New Roman" w:eastAsia="宋体" w:cs="Times New Roman"/>
                <w:color w:val="0000FF"/>
                <w:sz w:val="21"/>
                <w:szCs w:val="21"/>
                <w:highlight w:val="none"/>
                <w:lang w:val="en-US" w:eastAsia="zh-CN"/>
              </w:rPr>
              <w:t>栋成牛舍</w:t>
            </w:r>
            <w:r>
              <w:rPr>
                <w:rFonts w:hint="default" w:ascii="Times New Roman" w:hAnsi="Times New Roman" w:eastAsia="宋体" w:cs="Times New Roman"/>
                <w:color w:val="FF0000"/>
                <w:sz w:val="21"/>
                <w:szCs w:val="21"/>
                <w:highlight w:val="none"/>
                <w:lang w:val="en-US" w:eastAsia="zh-CN"/>
              </w:rPr>
              <w:t>，建筑总面积均为11440m</w:t>
            </w:r>
            <w:r>
              <w:rPr>
                <w:rFonts w:hint="default" w:ascii="Times New Roman" w:hAnsi="Times New Roman" w:eastAsia="宋体" w:cs="Times New Roman"/>
                <w:color w:val="FF0000"/>
                <w:sz w:val="21"/>
                <w:szCs w:val="21"/>
                <w:highlight w:val="none"/>
                <w:vertAlign w:val="superscript"/>
                <w:lang w:val="en-US" w:eastAsia="zh-CN"/>
              </w:rPr>
              <w:t>2</w:t>
            </w:r>
            <w:r>
              <w:rPr>
                <w:rFonts w:hint="default"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rPr>
              <w:t>采用混凝土独立基础，</w:t>
            </w:r>
            <w:r>
              <w:rPr>
                <w:rFonts w:hint="default" w:ascii="Times New Roman" w:hAnsi="Times New Roman" w:eastAsia="宋体" w:cs="Times New Roman"/>
                <w:color w:val="FF0000"/>
                <w:sz w:val="21"/>
                <w:szCs w:val="21"/>
                <w:highlight w:val="none"/>
                <w:lang w:val="en-US" w:eastAsia="zh-CN"/>
              </w:rPr>
              <w:t>钢结构</w:t>
            </w:r>
            <w:r>
              <w:rPr>
                <w:rFonts w:hint="default" w:ascii="Times New Roman" w:hAnsi="Times New Roman" w:eastAsia="宋体" w:cs="Times New Roman"/>
                <w:color w:val="FF0000"/>
                <w:sz w:val="21"/>
                <w:szCs w:val="21"/>
                <w:highlight w:val="none"/>
              </w:rPr>
              <w:t>。高4.5</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rPr>
              <w:t>5m</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rPr>
              <w:t>屋檐居地面2.8</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rPr>
              <w:t>3.3m</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lang w:val="en-US" w:eastAsia="zh-CN"/>
              </w:rPr>
              <w:t>牛舍内地面采用混凝土地面</w:t>
            </w:r>
            <w:r>
              <w:rPr>
                <w:rFonts w:hint="default" w:ascii="Times New Roman" w:hAnsi="Times New Roman" w:eastAsia="宋体" w:cs="Times New Roman"/>
                <w:color w:val="FF0000"/>
                <w:sz w:val="21"/>
                <w:szCs w:val="21"/>
                <w:highlight w:val="none"/>
                <w:lang w:eastAsia="zh-CN"/>
              </w:rPr>
              <w:t>。牛舍冬季西侧、北侧设置围挡；春夏秋季节将去掉牛舍的围挡，以自然通风的方式进行牛舍换气。</w:t>
            </w:r>
          </w:p>
          <w:p w14:paraId="72491CE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420" w:firstLineChars="200"/>
              <w:contextualSpacing/>
              <w:jc w:val="left"/>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同时配套建设13个运动场，占地总面积为31200m</w:t>
            </w:r>
            <w:r>
              <w:rPr>
                <w:rFonts w:hint="default" w:ascii="Times New Roman" w:hAnsi="Times New Roman" w:eastAsia="宋体" w:cs="Times New Roman"/>
                <w:color w:val="FF0000"/>
                <w:sz w:val="21"/>
                <w:szCs w:val="21"/>
                <w:highlight w:val="none"/>
                <w:vertAlign w:val="superscript"/>
                <w:lang w:val="en-US" w:eastAsia="zh-CN"/>
              </w:rPr>
              <w:t>2</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lang w:val="en-US" w:eastAsia="zh-CN"/>
              </w:rPr>
              <w:t>运动场</w:t>
            </w:r>
            <w:r>
              <w:rPr>
                <w:rFonts w:hint="default" w:ascii="Times New Roman" w:hAnsi="Times New Roman" w:eastAsia="宋体" w:cs="Times New Roman"/>
                <w:color w:val="FF0000"/>
                <w:kern w:val="2"/>
                <w:sz w:val="21"/>
                <w:szCs w:val="21"/>
                <w:highlight w:val="none"/>
                <w:vertAlign w:val="baseline"/>
                <w:lang w:val="en-US" w:eastAsia="zh-CN"/>
              </w:rPr>
              <w:t>位于牛舍南侧，</w:t>
            </w:r>
            <w:r>
              <w:rPr>
                <w:rFonts w:hint="default" w:ascii="Times New Roman" w:hAnsi="Times New Roman" w:eastAsia="宋体" w:cs="Times New Roman"/>
                <w:color w:val="FF0000"/>
                <w:kern w:val="2"/>
                <w:sz w:val="21"/>
                <w:szCs w:val="21"/>
                <w:highlight w:val="none"/>
                <w:vertAlign w:val="baseline"/>
                <w:lang w:eastAsia="zh-CN"/>
              </w:rPr>
              <w:t>均为露天场地，四周设置钢结构围栏，</w:t>
            </w:r>
            <w:r>
              <w:rPr>
                <w:rFonts w:hint="default" w:ascii="Times New Roman" w:hAnsi="Times New Roman" w:eastAsia="宋体" w:cs="Times New Roman"/>
                <w:color w:val="FF0000"/>
                <w:kern w:val="2"/>
                <w:sz w:val="21"/>
                <w:szCs w:val="21"/>
                <w:highlight w:val="none"/>
                <w:vertAlign w:val="baseline"/>
                <w:lang w:val="en-US" w:eastAsia="zh-CN"/>
              </w:rPr>
              <w:t>运动场</w:t>
            </w:r>
            <w:r>
              <w:rPr>
                <w:rFonts w:hint="default" w:ascii="Times New Roman" w:hAnsi="Times New Roman" w:eastAsia="宋体" w:cs="Times New Roman"/>
                <w:color w:val="FF0000"/>
                <w:sz w:val="21"/>
                <w:szCs w:val="21"/>
                <w:highlight w:val="none"/>
                <w:lang w:val="en-US" w:eastAsia="zh-CN"/>
              </w:rPr>
              <w:t>地面采用混凝土地面</w:t>
            </w:r>
            <w:r>
              <w:rPr>
                <w:rFonts w:hint="default" w:ascii="Times New Roman" w:hAnsi="Times New Roman" w:eastAsia="宋体" w:cs="Times New Roman"/>
                <w:color w:val="FF0000"/>
                <w:kern w:val="2"/>
                <w:sz w:val="21"/>
                <w:szCs w:val="21"/>
                <w:highlight w:val="none"/>
              </w:rPr>
              <w:t>。</w:t>
            </w:r>
          </w:p>
        </w:tc>
      </w:tr>
      <w:tr w14:paraId="7463C1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7B741A9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1986" w:type="dxa"/>
            <w:gridSpan w:val="2"/>
            <w:tcBorders>
              <w:top w:val="single" w:color="auto" w:sz="4" w:space="0"/>
              <w:left w:val="single" w:color="auto" w:sz="4" w:space="0"/>
              <w:bottom w:val="single" w:color="auto" w:sz="4" w:space="0"/>
              <w:right w:val="single" w:color="auto" w:sz="4" w:space="0"/>
            </w:tcBorders>
            <w:vAlign w:val="center"/>
          </w:tcPr>
          <w:p w14:paraId="6CC761C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contextualSpacing/>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母</w:t>
            </w:r>
            <w:r>
              <w:rPr>
                <w:rFonts w:hint="default" w:ascii="Times New Roman" w:hAnsi="Times New Roman" w:eastAsia="宋体" w:cs="Times New Roman"/>
                <w:color w:val="FF0000"/>
                <w:kern w:val="2"/>
                <w:sz w:val="21"/>
                <w:szCs w:val="21"/>
                <w:highlight w:val="none"/>
                <w:lang w:val="en-US" w:eastAsia="zh-CN" w:bidi="ar-SA"/>
              </w:rPr>
              <w:t>牛舍</w:t>
            </w:r>
          </w:p>
        </w:tc>
        <w:tc>
          <w:tcPr>
            <w:tcW w:w="5298" w:type="dxa"/>
            <w:tcBorders>
              <w:top w:val="single" w:color="auto" w:sz="4" w:space="0"/>
              <w:left w:val="single" w:color="auto" w:sz="4" w:space="0"/>
              <w:bottom w:val="single" w:color="auto" w:sz="4" w:space="0"/>
              <w:right w:val="single" w:color="auto" w:sz="4" w:space="0"/>
            </w:tcBorders>
            <w:vAlign w:val="center"/>
          </w:tcPr>
          <w:p w14:paraId="5C62293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420" w:firstLineChars="200"/>
              <w:contextualSpacing/>
              <w:jc w:val="left"/>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共建设</w:t>
            </w:r>
            <w:r>
              <w:rPr>
                <w:rFonts w:hint="default" w:ascii="Times New Roman" w:hAnsi="Times New Roman" w:eastAsia="宋体" w:cs="Times New Roman"/>
                <w:color w:val="FF0000"/>
                <w:sz w:val="21"/>
                <w:szCs w:val="21"/>
                <w:highlight w:val="none"/>
                <w:lang w:val="en-US" w:eastAsia="zh-CN"/>
              </w:rPr>
              <w:t>2栋母牛舍，建筑总面积均为1760m</w:t>
            </w:r>
            <w:r>
              <w:rPr>
                <w:rFonts w:hint="default" w:ascii="Times New Roman" w:hAnsi="Times New Roman" w:eastAsia="宋体" w:cs="Times New Roman"/>
                <w:color w:val="FF0000"/>
                <w:sz w:val="21"/>
                <w:szCs w:val="21"/>
                <w:highlight w:val="none"/>
                <w:vertAlign w:val="superscript"/>
                <w:lang w:val="en-US" w:eastAsia="zh-CN"/>
              </w:rPr>
              <w:t>2</w:t>
            </w:r>
            <w:r>
              <w:rPr>
                <w:rFonts w:hint="default"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rPr>
              <w:t>采用混凝土独立基础，</w:t>
            </w:r>
            <w:r>
              <w:rPr>
                <w:rFonts w:hint="default" w:ascii="Times New Roman" w:hAnsi="Times New Roman" w:eastAsia="宋体" w:cs="Times New Roman"/>
                <w:color w:val="FF0000"/>
                <w:sz w:val="21"/>
                <w:szCs w:val="21"/>
                <w:highlight w:val="none"/>
                <w:lang w:val="en-US" w:eastAsia="zh-CN"/>
              </w:rPr>
              <w:t>钢结构</w:t>
            </w:r>
            <w:r>
              <w:rPr>
                <w:rFonts w:hint="default" w:ascii="Times New Roman" w:hAnsi="Times New Roman" w:eastAsia="宋体" w:cs="Times New Roman"/>
                <w:color w:val="FF0000"/>
                <w:sz w:val="21"/>
                <w:szCs w:val="21"/>
                <w:highlight w:val="none"/>
              </w:rPr>
              <w:t>。高4.5</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rPr>
              <w:t>5m</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rPr>
              <w:t>屋檐居地面2.8</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rPr>
              <w:t>3.3m</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lang w:val="en-US" w:eastAsia="zh-CN"/>
              </w:rPr>
              <w:t>牛舍内地面采用混凝土地面</w:t>
            </w:r>
            <w:r>
              <w:rPr>
                <w:rFonts w:hint="default" w:ascii="Times New Roman" w:hAnsi="Times New Roman" w:eastAsia="宋体" w:cs="Times New Roman"/>
                <w:color w:val="FF0000"/>
                <w:sz w:val="21"/>
                <w:szCs w:val="21"/>
                <w:highlight w:val="none"/>
                <w:lang w:eastAsia="zh-CN"/>
              </w:rPr>
              <w:t>。牛舍冬季采用牛舍封闭的方式进行保暖；春秋季节将去掉牛舍的围挡，将牛舍的上半部分和门均敞开，以自然通风的方式进行牛舍换气。</w:t>
            </w:r>
          </w:p>
          <w:p w14:paraId="241AB37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420" w:firstLineChars="200"/>
              <w:contextualSpacing/>
              <w:jc w:val="left"/>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同时配套建设2个运动场，占地总面积为4800m</w:t>
            </w:r>
            <w:r>
              <w:rPr>
                <w:rFonts w:hint="default" w:ascii="Times New Roman" w:hAnsi="Times New Roman" w:eastAsia="宋体" w:cs="Times New Roman"/>
                <w:color w:val="FF0000"/>
                <w:sz w:val="21"/>
                <w:szCs w:val="21"/>
                <w:highlight w:val="none"/>
                <w:vertAlign w:val="superscript"/>
                <w:lang w:val="en-US" w:eastAsia="zh-CN"/>
              </w:rPr>
              <w:t>2</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lang w:val="en-US" w:eastAsia="zh-CN"/>
              </w:rPr>
              <w:t>运动场</w:t>
            </w:r>
            <w:r>
              <w:rPr>
                <w:rFonts w:hint="default" w:ascii="Times New Roman" w:hAnsi="Times New Roman" w:eastAsia="宋体" w:cs="Times New Roman"/>
                <w:color w:val="FF0000"/>
                <w:kern w:val="2"/>
                <w:sz w:val="21"/>
                <w:szCs w:val="21"/>
                <w:highlight w:val="none"/>
                <w:vertAlign w:val="baseline"/>
                <w:lang w:val="en-US" w:eastAsia="zh-CN"/>
              </w:rPr>
              <w:t>位于牛舍南侧，</w:t>
            </w:r>
            <w:r>
              <w:rPr>
                <w:rFonts w:hint="default" w:ascii="Times New Roman" w:hAnsi="Times New Roman" w:eastAsia="宋体" w:cs="Times New Roman"/>
                <w:color w:val="FF0000"/>
                <w:kern w:val="2"/>
                <w:sz w:val="21"/>
                <w:szCs w:val="21"/>
                <w:highlight w:val="none"/>
                <w:vertAlign w:val="baseline"/>
                <w:lang w:eastAsia="zh-CN"/>
              </w:rPr>
              <w:t>均为露天场地，四周设置钢结构围栏，</w:t>
            </w:r>
            <w:r>
              <w:rPr>
                <w:rFonts w:hint="default" w:ascii="Times New Roman" w:hAnsi="Times New Roman" w:eastAsia="宋体" w:cs="Times New Roman"/>
                <w:color w:val="FF0000"/>
                <w:kern w:val="2"/>
                <w:sz w:val="21"/>
                <w:szCs w:val="21"/>
                <w:highlight w:val="none"/>
                <w:vertAlign w:val="baseline"/>
                <w:lang w:val="en-US" w:eastAsia="zh-CN"/>
              </w:rPr>
              <w:t>运动场</w:t>
            </w:r>
            <w:r>
              <w:rPr>
                <w:rFonts w:hint="default" w:ascii="Times New Roman" w:hAnsi="Times New Roman" w:eastAsia="宋体" w:cs="Times New Roman"/>
                <w:color w:val="FF0000"/>
                <w:sz w:val="21"/>
                <w:szCs w:val="21"/>
                <w:highlight w:val="none"/>
                <w:lang w:val="en-US" w:eastAsia="zh-CN"/>
              </w:rPr>
              <w:t>地面采用混凝土地面</w:t>
            </w:r>
            <w:r>
              <w:rPr>
                <w:rFonts w:hint="default" w:ascii="Times New Roman" w:hAnsi="Times New Roman" w:eastAsia="宋体" w:cs="Times New Roman"/>
                <w:color w:val="FF0000"/>
                <w:kern w:val="2"/>
                <w:sz w:val="21"/>
                <w:szCs w:val="21"/>
                <w:highlight w:val="none"/>
              </w:rPr>
              <w:t>。</w:t>
            </w:r>
          </w:p>
        </w:tc>
      </w:tr>
      <w:tr w14:paraId="020F51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restart"/>
            <w:tcBorders>
              <w:top w:val="single" w:color="auto" w:sz="4" w:space="0"/>
              <w:left w:val="single" w:color="auto" w:sz="4" w:space="0"/>
              <w:bottom w:val="single" w:color="auto" w:sz="4" w:space="0"/>
              <w:right w:val="single" w:color="auto" w:sz="4" w:space="0"/>
            </w:tcBorders>
            <w:vAlign w:val="center"/>
          </w:tcPr>
          <w:p w14:paraId="044E5B1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辅助</w:t>
            </w:r>
          </w:p>
          <w:p w14:paraId="3F8B2E2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工程</w:t>
            </w:r>
          </w:p>
        </w:tc>
        <w:tc>
          <w:tcPr>
            <w:tcW w:w="1986" w:type="dxa"/>
            <w:gridSpan w:val="2"/>
            <w:tcBorders>
              <w:top w:val="single" w:color="auto" w:sz="4" w:space="0"/>
              <w:left w:val="single" w:color="auto" w:sz="4" w:space="0"/>
              <w:bottom w:val="single" w:color="auto" w:sz="4" w:space="0"/>
              <w:right w:val="single" w:color="auto" w:sz="4" w:space="0"/>
            </w:tcBorders>
            <w:vAlign w:val="center"/>
          </w:tcPr>
          <w:p w14:paraId="47D73D6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contextualSpacing/>
              <w:jc w:val="center"/>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青贮平台</w:t>
            </w:r>
          </w:p>
        </w:tc>
        <w:tc>
          <w:tcPr>
            <w:tcW w:w="5298" w:type="dxa"/>
            <w:tcBorders>
              <w:top w:val="single" w:color="auto" w:sz="4" w:space="0"/>
              <w:left w:val="single" w:color="auto" w:sz="4" w:space="0"/>
              <w:bottom w:val="single" w:color="auto" w:sz="4" w:space="0"/>
              <w:right w:val="single" w:color="auto" w:sz="4" w:space="0"/>
            </w:tcBorders>
            <w:vAlign w:val="center"/>
          </w:tcPr>
          <w:p w14:paraId="2D7605E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420" w:firstLineChars="200"/>
              <w:contextualSpacing/>
              <w:jc w:val="left"/>
              <w:textAlignment w:val="auto"/>
              <w:rPr>
                <w:rFonts w:hint="default" w:ascii="Times New Roman" w:hAnsi="Times New Roman" w:eastAsia="宋体" w:cs="Times New Roman"/>
                <w:color w:val="FF0000"/>
                <w:kern w:val="2"/>
                <w:sz w:val="21"/>
                <w:szCs w:val="21"/>
                <w:highlight w:val="none"/>
                <w:vertAlign w:val="baseline"/>
                <w:lang w:val="en-US" w:eastAsia="zh-CN" w:bidi="ar-SA"/>
              </w:rPr>
            </w:pPr>
            <w:r>
              <w:rPr>
                <w:rFonts w:hint="default" w:ascii="Times New Roman" w:hAnsi="Times New Roman" w:eastAsia="宋体" w:cs="Times New Roman"/>
                <w:color w:val="FF0000"/>
                <w:sz w:val="21"/>
                <w:szCs w:val="21"/>
                <w:highlight w:val="none"/>
                <w:lang w:eastAsia="zh-CN"/>
              </w:rPr>
              <w:t>位于厂区中部</w:t>
            </w:r>
            <w:r>
              <w:rPr>
                <w:rFonts w:hint="default" w:ascii="Times New Roman" w:hAnsi="Times New Roman" w:eastAsia="宋体" w:cs="Times New Roman"/>
                <w:color w:val="FF0000"/>
                <w:sz w:val="21"/>
                <w:szCs w:val="21"/>
                <w:highlight w:val="none"/>
                <w:lang w:val="en-US" w:eastAsia="zh-CN"/>
              </w:rPr>
              <w:t>设置1座青贮平台，</w:t>
            </w:r>
            <w:r>
              <w:rPr>
                <w:rFonts w:hint="default" w:ascii="Times New Roman" w:hAnsi="Times New Roman" w:eastAsia="宋体" w:cs="Times New Roman"/>
                <w:color w:val="FF0000"/>
                <w:kern w:val="0"/>
                <w:sz w:val="21"/>
                <w:szCs w:val="21"/>
                <w:highlight w:val="none"/>
                <w:lang w:val="en-US" w:eastAsia="zh-CN"/>
              </w:rPr>
              <w:t>容积为26000</w:t>
            </w:r>
            <w:r>
              <w:rPr>
                <w:rFonts w:hint="default" w:ascii="Times New Roman" w:hAnsi="Times New Roman" w:eastAsia="宋体" w:cs="Times New Roman"/>
                <w:color w:val="FF0000"/>
                <w:sz w:val="21"/>
                <w:szCs w:val="21"/>
                <w:highlight w:val="none"/>
                <w:lang w:val="en-US" w:eastAsia="zh-CN"/>
              </w:rPr>
              <w:t>m</w:t>
            </w:r>
            <w:r>
              <w:rPr>
                <w:rFonts w:hint="default" w:ascii="Times New Roman" w:hAnsi="Times New Roman" w:eastAsia="宋体" w:cs="Times New Roman"/>
                <w:color w:val="FF0000"/>
                <w:sz w:val="21"/>
                <w:szCs w:val="21"/>
                <w:highlight w:val="none"/>
                <w:vertAlign w:val="superscript"/>
                <w:lang w:val="en-US" w:eastAsia="zh-CN"/>
              </w:rPr>
              <w:t>3</w:t>
            </w:r>
            <w:r>
              <w:rPr>
                <w:rFonts w:hint="default" w:ascii="Times New Roman" w:hAnsi="Times New Roman" w:eastAsia="宋体" w:cs="Times New Roman"/>
                <w:color w:val="FF0000"/>
                <w:sz w:val="21"/>
                <w:szCs w:val="21"/>
                <w:highlight w:val="none"/>
                <w:lang w:val="en-US" w:eastAsia="zh-CN"/>
              </w:rPr>
              <w:t>，采用混凝土独立基础，型钢立柱及轻型钢屋架结构，</w:t>
            </w:r>
            <w:r>
              <w:rPr>
                <w:rFonts w:hint="default" w:ascii="Times New Roman" w:hAnsi="Times New Roman" w:eastAsia="宋体" w:cs="Times New Roman"/>
                <w:color w:val="FF0000"/>
                <w:sz w:val="21"/>
                <w:szCs w:val="21"/>
                <w:highlight w:val="none"/>
                <w:lang w:val="zh-CN"/>
              </w:rPr>
              <w:t>水泥混凝土地面。</w:t>
            </w:r>
          </w:p>
        </w:tc>
      </w:tr>
      <w:tr w14:paraId="23870BB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5898E9C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1986" w:type="dxa"/>
            <w:gridSpan w:val="2"/>
            <w:tcBorders>
              <w:top w:val="single" w:color="auto" w:sz="4" w:space="0"/>
              <w:left w:val="single" w:color="auto" w:sz="4" w:space="0"/>
              <w:bottom w:val="single" w:color="auto" w:sz="4" w:space="0"/>
              <w:right w:val="single" w:color="auto" w:sz="4" w:space="0"/>
            </w:tcBorders>
            <w:vAlign w:val="center"/>
          </w:tcPr>
          <w:p w14:paraId="76DB28B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contextualSpacing/>
              <w:jc w:val="center"/>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草棚</w:t>
            </w:r>
          </w:p>
        </w:tc>
        <w:tc>
          <w:tcPr>
            <w:tcW w:w="5298" w:type="dxa"/>
            <w:tcBorders>
              <w:top w:val="single" w:color="auto" w:sz="4" w:space="0"/>
              <w:left w:val="single" w:color="auto" w:sz="4" w:space="0"/>
              <w:bottom w:val="single" w:color="auto" w:sz="4" w:space="0"/>
              <w:right w:val="single" w:color="auto" w:sz="4" w:space="0"/>
            </w:tcBorders>
            <w:vAlign w:val="center"/>
          </w:tcPr>
          <w:p w14:paraId="565CE3DE">
            <w:pPr>
              <w:keepNext w:val="0"/>
              <w:keepLines w:val="0"/>
              <w:pageBreakBefore w:val="0"/>
              <w:numPr>
                <w:ilvl w:val="0"/>
                <w:numId w:val="0"/>
              </w:numPr>
              <w:kinsoku/>
              <w:wordWrap/>
              <w:overflowPunct/>
              <w:autoSpaceDN/>
              <w:bidi w:val="0"/>
              <w:adjustRightInd/>
              <w:snapToGrid w:val="0"/>
              <w:spacing w:line="240" w:lineRule="auto"/>
              <w:ind w:left="0" w:leftChars="0" w:right="0" w:rightChars="0" w:firstLine="420" w:firstLineChars="200"/>
              <w:jc w:val="left"/>
              <w:rPr>
                <w:rFonts w:hint="default" w:ascii="Times New Roman" w:hAnsi="Times New Roman" w:eastAsia="宋体" w:cs="Times New Roman"/>
                <w:b w:val="0"/>
                <w:bCs w:val="0"/>
                <w:color w:val="FF0000"/>
                <w:kern w:val="2"/>
                <w:sz w:val="21"/>
                <w:szCs w:val="21"/>
                <w:highlight w:val="none"/>
                <w:vertAlign w:val="baseline"/>
                <w:lang w:val="en-US" w:eastAsia="zh-CN" w:bidi="ar-SA"/>
              </w:rPr>
            </w:pPr>
            <w:r>
              <w:rPr>
                <w:rFonts w:hint="default" w:ascii="Times New Roman" w:hAnsi="Times New Roman" w:eastAsia="宋体" w:cs="Times New Roman"/>
                <w:color w:val="FF0000"/>
                <w:sz w:val="21"/>
                <w:szCs w:val="21"/>
                <w:highlight w:val="none"/>
                <w:lang w:eastAsia="zh-CN"/>
              </w:rPr>
              <w:t>位于厂区中部</w:t>
            </w:r>
            <w:r>
              <w:rPr>
                <w:rFonts w:hint="default" w:ascii="Times New Roman" w:hAnsi="Times New Roman" w:eastAsia="宋体" w:cs="Times New Roman"/>
                <w:color w:val="FF0000"/>
                <w:sz w:val="21"/>
                <w:szCs w:val="21"/>
                <w:highlight w:val="none"/>
                <w:lang w:val="en-US" w:eastAsia="zh-CN"/>
              </w:rPr>
              <w:t>设置3座</w:t>
            </w:r>
            <w:r>
              <w:rPr>
                <w:rFonts w:hint="default" w:ascii="Times New Roman" w:hAnsi="Times New Roman" w:eastAsia="宋体" w:cs="Times New Roman"/>
                <w:color w:val="FF0000"/>
                <w:kern w:val="0"/>
                <w:sz w:val="21"/>
                <w:szCs w:val="21"/>
                <w:highlight w:val="none"/>
                <w:lang w:val="en-US" w:eastAsia="zh-CN"/>
              </w:rPr>
              <w:t>草棚</w:t>
            </w:r>
            <w:r>
              <w:rPr>
                <w:rFonts w:hint="default"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kern w:val="0"/>
                <w:sz w:val="21"/>
                <w:szCs w:val="21"/>
                <w:highlight w:val="none"/>
                <w:lang w:val="en-US" w:eastAsia="zh-CN"/>
              </w:rPr>
              <w:t>占地面积为13000</w:t>
            </w:r>
            <w:r>
              <w:rPr>
                <w:rFonts w:hint="default" w:ascii="Times New Roman" w:hAnsi="Times New Roman" w:eastAsia="宋体" w:cs="Times New Roman"/>
                <w:color w:val="FF0000"/>
                <w:sz w:val="21"/>
                <w:szCs w:val="21"/>
                <w:highlight w:val="none"/>
                <w:lang w:val="en-US" w:eastAsia="zh-CN"/>
              </w:rPr>
              <w:t>m</w:t>
            </w:r>
            <w:r>
              <w:rPr>
                <w:rFonts w:hint="default" w:ascii="Times New Roman" w:hAnsi="Times New Roman" w:eastAsia="宋体" w:cs="Times New Roman"/>
                <w:color w:val="FF0000"/>
                <w:sz w:val="21"/>
                <w:szCs w:val="21"/>
                <w:highlight w:val="none"/>
                <w:vertAlign w:val="superscript"/>
                <w:lang w:val="en-US" w:eastAsia="zh-CN"/>
              </w:rPr>
              <w:t>2</w:t>
            </w:r>
            <w:r>
              <w:rPr>
                <w:rFonts w:hint="default" w:ascii="Times New Roman" w:hAnsi="Times New Roman" w:eastAsia="宋体" w:cs="Times New Roman"/>
                <w:b w:val="0"/>
                <w:bCs w:val="0"/>
                <w:color w:val="FF0000"/>
                <w:kern w:val="2"/>
                <w:sz w:val="21"/>
                <w:szCs w:val="21"/>
                <w:highlight w:val="none"/>
                <w:vertAlign w:val="baseline"/>
                <w:lang w:val="en-US" w:eastAsia="zh-CN" w:bidi="ar-SA"/>
              </w:rPr>
              <w:t>，</w:t>
            </w:r>
            <w:r>
              <w:rPr>
                <w:rFonts w:hint="default" w:ascii="Times New Roman" w:hAnsi="Times New Roman" w:eastAsia="宋体" w:cs="Times New Roman"/>
                <w:color w:val="FF0000"/>
                <w:kern w:val="0"/>
                <w:sz w:val="21"/>
                <w:szCs w:val="21"/>
                <w:highlight w:val="none"/>
                <w:lang w:val="en-US" w:eastAsia="zh-CN"/>
              </w:rPr>
              <w:t>全封闭</w:t>
            </w:r>
            <w:r>
              <w:rPr>
                <w:rFonts w:hint="default" w:ascii="Times New Roman" w:hAnsi="Times New Roman" w:eastAsia="宋体" w:cs="Times New Roman"/>
                <w:b w:val="0"/>
                <w:bCs w:val="0"/>
                <w:color w:val="FF0000"/>
                <w:kern w:val="2"/>
                <w:sz w:val="21"/>
                <w:szCs w:val="21"/>
                <w:highlight w:val="none"/>
                <w:vertAlign w:val="baseline"/>
                <w:lang w:val="en-US" w:eastAsia="zh-CN" w:bidi="ar-SA"/>
              </w:rPr>
              <w:t>彩钢结构，用于饲料储存</w:t>
            </w:r>
            <w:r>
              <w:rPr>
                <w:rFonts w:hint="default" w:ascii="Times New Roman" w:hAnsi="Times New Roman" w:eastAsia="宋体" w:cs="Times New Roman"/>
                <w:color w:val="FF0000"/>
                <w:kern w:val="0"/>
                <w:sz w:val="21"/>
                <w:szCs w:val="21"/>
                <w:highlight w:val="none"/>
                <w:lang w:eastAsia="zh-CN"/>
              </w:rPr>
              <w:t>。</w:t>
            </w:r>
          </w:p>
        </w:tc>
      </w:tr>
      <w:tr w14:paraId="6E7DE08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481B46E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1986" w:type="dxa"/>
            <w:gridSpan w:val="2"/>
            <w:tcBorders>
              <w:top w:val="single" w:color="auto" w:sz="4" w:space="0"/>
              <w:left w:val="single" w:color="auto" w:sz="4" w:space="0"/>
              <w:bottom w:val="single" w:color="auto" w:sz="4" w:space="0"/>
              <w:right w:val="single" w:color="auto" w:sz="4" w:space="0"/>
            </w:tcBorders>
            <w:vAlign w:val="center"/>
          </w:tcPr>
          <w:p w14:paraId="5E62B71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contextualSpacing/>
              <w:jc w:val="center"/>
              <w:rPr>
                <w:rFonts w:hint="default" w:ascii="Times New Roman" w:hAnsi="Times New Roman" w:eastAsia="宋体" w:cs="Times New Roman"/>
                <w:color w:val="FF0000"/>
                <w:kern w:val="0"/>
                <w:sz w:val="21"/>
                <w:szCs w:val="21"/>
                <w:highlight w:val="none"/>
                <w:lang w:val="en-US" w:eastAsia="zh-CN"/>
              </w:rPr>
            </w:pPr>
            <w:r>
              <w:rPr>
                <w:rFonts w:hint="default" w:ascii="Times New Roman" w:hAnsi="Times New Roman" w:eastAsia="宋体" w:cs="Times New Roman"/>
                <w:color w:val="FF0000"/>
                <w:kern w:val="0"/>
                <w:sz w:val="21"/>
                <w:szCs w:val="21"/>
                <w:highlight w:val="none"/>
                <w:lang w:val="en-US" w:eastAsia="zh-CN"/>
              </w:rPr>
              <w:t>TMR车间</w:t>
            </w:r>
          </w:p>
        </w:tc>
        <w:tc>
          <w:tcPr>
            <w:tcW w:w="5298" w:type="dxa"/>
            <w:tcBorders>
              <w:top w:val="single" w:color="auto" w:sz="4" w:space="0"/>
              <w:left w:val="single" w:color="auto" w:sz="4" w:space="0"/>
              <w:bottom w:val="single" w:color="auto" w:sz="4" w:space="0"/>
              <w:right w:val="single" w:color="auto" w:sz="4" w:space="0"/>
            </w:tcBorders>
            <w:vAlign w:val="center"/>
          </w:tcPr>
          <w:p w14:paraId="5A809CC8">
            <w:pPr>
              <w:keepNext w:val="0"/>
              <w:keepLines w:val="0"/>
              <w:pageBreakBefore w:val="0"/>
              <w:numPr>
                <w:ilvl w:val="0"/>
                <w:numId w:val="0"/>
              </w:numPr>
              <w:kinsoku/>
              <w:wordWrap/>
              <w:overflowPunct/>
              <w:autoSpaceDN/>
              <w:bidi w:val="0"/>
              <w:adjustRightInd/>
              <w:snapToGrid w:val="0"/>
              <w:spacing w:line="240" w:lineRule="auto"/>
              <w:ind w:left="0" w:leftChars="0" w:right="0" w:rightChars="0" w:firstLine="420" w:firstLineChars="200"/>
              <w:jc w:val="left"/>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位于厂区西北侧</w:t>
            </w:r>
            <w:r>
              <w:rPr>
                <w:rFonts w:hint="default" w:ascii="Times New Roman" w:hAnsi="Times New Roman" w:eastAsia="宋体" w:cs="Times New Roman"/>
                <w:color w:val="FF0000"/>
                <w:sz w:val="21"/>
                <w:szCs w:val="21"/>
                <w:highlight w:val="none"/>
                <w:lang w:val="en-US" w:eastAsia="zh-CN"/>
              </w:rPr>
              <w:t>设置1座</w:t>
            </w:r>
            <w:r>
              <w:rPr>
                <w:rFonts w:hint="default" w:ascii="Times New Roman" w:hAnsi="Times New Roman" w:eastAsia="宋体" w:cs="Times New Roman"/>
                <w:color w:val="FF0000"/>
                <w:kern w:val="0"/>
                <w:sz w:val="21"/>
                <w:szCs w:val="21"/>
                <w:highlight w:val="none"/>
                <w:lang w:val="en-US" w:eastAsia="zh-CN"/>
              </w:rPr>
              <w:t>TMR车间</w:t>
            </w:r>
            <w:r>
              <w:rPr>
                <w:rFonts w:hint="default"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kern w:val="0"/>
                <w:sz w:val="21"/>
                <w:szCs w:val="21"/>
                <w:highlight w:val="none"/>
                <w:lang w:val="en-US" w:eastAsia="zh-CN"/>
              </w:rPr>
              <w:t>占地面积为750</w:t>
            </w:r>
            <w:r>
              <w:rPr>
                <w:rFonts w:hint="default" w:ascii="Times New Roman" w:hAnsi="Times New Roman" w:eastAsia="宋体" w:cs="Times New Roman"/>
                <w:color w:val="FF0000"/>
                <w:sz w:val="21"/>
                <w:szCs w:val="21"/>
                <w:highlight w:val="none"/>
                <w:lang w:val="en-US" w:eastAsia="zh-CN"/>
              </w:rPr>
              <w:t>m</w:t>
            </w:r>
            <w:r>
              <w:rPr>
                <w:rFonts w:hint="default" w:ascii="Times New Roman" w:hAnsi="Times New Roman" w:eastAsia="宋体" w:cs="Times New Roman"/>
                <w:color w:val="FF0000"/>
                <w:sz w:val="21"/>
                <w:szCs w:val="21"/>
                <w:highlight w:val="none"/>
                <w:vertAlign w:val="superscript"/>
                <w:lang w:val="en-US" w:eastAsia="zh-CN"/>
              </w:rPr>
              <w:t>2</w:t>
            </w:r>
            <w:r>
              <w:rPr>
                <w:rFonts w:hint="default" w:ascii="Times New Roman" w:hAnsi="Times New Roman" w:eastAsia="宋体" w:cs="Times New Roman"/>
                <w:b w:val="0"/>
                <w:bCs w:val="0"/>
                <w:color w:val="FF0000"/>
                <w:kern w:val="2"/>
                <w:sz w:val="21"/>
                <w:szCs w:val="21"/>
                <w:highlight w:val="none"/>
                <w:vertAlign w:val="baseline"/>
                <w:lang w:val="en-US" w:eastAsia="zh-CN" w:bidi="ar-SA"/>
              </w:rPr>
              <w:t>，</w:t>
            </w:r>
            <w:r>
              <w:rPr>
                <w:rFonts w:hint="default" w:ascii="Times New Roman" w:hAnsi="Times New Roman" w:eastAsia="宋体" w:cs="Times New Roman"/>
                <w:color w:val="FF0000"/>
                <w:kern w:val="0"/>
                <w:sz w:val="21"/>
                <w:szCs w:val="21"/>
                <w:highlight w:val="none"/>
                <w:lang w:val="en-US" w:eastAsia="zh-CN"/>
              </w:rPr>
              <w:t>全封闭</w:t>
            </w:r>
            <w:r>
              <w:rPr>
                <w:rFonts w:hint="default" w:ascii="Times New Roman" w:hAnsi="Times New Roman" w:eastAsia="宋体" w:cs="Times New Roman"/>
                <w:b w:val="0"/>
                <w:bCs w:val="0"/>
                <w:color w:val="FF0000"/>
                <w:kern w:val="2"/>
                <w:sz w:val="21"/>
                <w:szCs w:val="21"/>
                <w:highlight w:val="none"/>
                <w:vertAlign w:val="baseline"/>
                <w:lang w:val="en-US" w:eastAsia="zh-CN" w:bidi="ar-SA"/>
              </w:rPr>
              <w:t>彩钢结构，用于饲料的破碎和搅拌，设置2台饲料粉碎机、3台TMR</w:t>
            </w:r>
            <w:r>
              <w:rPr>
                <w:rFonts w:hint="default" w:ascii="Times New Roman" w:hAnsi="Times New Roman" w:eastAsia="宋体" w:cs="Times New Roman"/>
                <w:color w:val="FF0000"/>
                <w:kern w:val="0"/>
                <w:sz w:val="21"/>
                <w:szCs w:val="21"/>
                <w:highlight w:val="none"/>
                <w:lang w:eastAsia="zh-CN"/>
              </w:rPr>
              <w:t>混合机。</w:t>
            </w:r>
          </w:p>
        </w:tc>
      </w:tr>
      <w:tr w14:paraId="7B75BA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3BD8641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1986" w:type="dxa"/>
            <w:gridSpan w:val="2"/>
            <w:tcBorders>
              <w:top w:val="single" w:color="auto" w:sz="4" w:space="0"/>
              <w:left w:val="single" w:color="auto" w:sz="4" w:space="0"/>
              <w:bottom w:val="single" w:color="auto" w:sz="4" w:space="0"/>
              <w:right w:val="single" w:color="auto" w:sz="4" w:space="0"/>
            </w:tcBorders>
            <w:vAlign w:val="center"/>
          </w:tcPr>
          <w:p w14:paraId="579345B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contextualSpacing/>
              <w:jc w:val="center"/>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0000FF"/>
                <w:kern w:val="0"/>
                <w:sz w:val="21"/>
                <w:szCs w:val="21"/>
                <w:highlight w:val="none"/>
                <w:lang w:val="en-US" w:eastAsia="zh-CN"/>
              </w:rPr>
              <w:t>粪污处理池</w:t>
            </w:r>
            <w:r>
              <w:rPr>
                <w:rFonts w:hint="default" w:ascii="Times New Roman" w:hAnsi="Times New Roman" w:eastAsia="宋体" w:cs="Times New Roman"/>
                <w:color w:val="0000FF"/>
                <w:kern w:val="0"/>
                <w:sz w:val="21"/>
                <w:szCs w:val="21"/>
                <w:highlight w:val="none"/>
                <w:lang w:val="en-US" w:eastAsia="zh-CN"/>
              </w:rPr>
              <w:t>（堆粪场）</w:t>
            </w:r>
          </w:p>
        </w:tc>
        <w:tc>
          <w:tcPr>
            <w:tcW w:w="5298" w:type="dxa"/>
            <w:tcBorders>
              <w:top w:val="single" w:color="auto" w:sz="4" w:space="0"/>
              <w:left w:val="single" w:color="auto" w:sz="4" w:space="0"/>
              <w:bottom w:val="single" w:color="auto" w:sz="4" w:space="0"/>
              <w:right w:val="single" w:color="auto" w:sz="4" w:space="0"/>
            </w:tcBorders>
            <w:vAlign w:val="center"/>
          </w:tcPr>
          <w:p w14:paraId="2D4AAD6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420" w:firstLineChars="200"/>
              <w:contextualSpacing/>
              <w:jc w:val="left"/>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val="en-US" w:eastAsia="zh-CN"/>
              </w:rPr>
              <w:t>建设1</w:t>
            </w:r>
            <w:r>
              <w:rPr>
                <w:rFonts w:hint="default" w:ascii="Times New Roman" w:hAnsi="Times New Roman" w:eastAsia="宋体" w:cs="Times New Roman"/>
                <w:color w:val="FF0000"/>
                <w:sz w:val="21"/>
                <w:szCs w:val="21"/>
                <w:highlight w:val="none"/>
              </w:rPr>
              <w:t>座</w:t>
            </w:r>
            <w:r>
              <w:rPr>
                <w:rFonts w:hint="default" w:ascii="Times New Roman" w:hAnsi="Times New Roman" w:eastAsia="宋体" w:cs="Times New Roman"/>
                <w:color w:val="FF0000"/>
                <w:sz w:val="21"/>
                <w:szCs w:val="21"/>
                <w:highlight w:val="none"/>
                <w:vertAlign w:val="baseline"/>
                <w:lang w:eastAsia="zh-CN"/>
              </w:rPr>
              <w:t>粪污处理池，位于厂区西南侧</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val="en-US" w:eastAsia="zh-CN"/>
              </w:rPr>
              <w:t>屋顶设置防雨设施，采用彩钢顶棚，</w:t>
            </w:r>
            <w:r>
              <w:rPr>
                <w:rFonts w:hint="default" w:ascii="Times New Roman" w:hAnsi="Times New Roman" w:eastAsia="宋体" w:cs="Times New Roman"/>
                <w:color w:val="FF0000"/>
                <w:kern w:val="0"/>
                <w:sz w:val="21"/>
                <w:szCs w:val="21"/>
                <w:highlight w:val="none"/>
                <w:lang w:val="en-US" w:eastAsia="zh-CN"/>
              </w:rPr>
              <w:t>占地面积为</w:t>
            </w:r>
            <w:r>
              <w:rPr>
                <w:rFonts w:hint="default" w:ascii="Times New Roman" w:hAnsi="Times New Roman" w:eastAsia="宋体" w:cs="Times New Roman"/>
                <w:color w:val="FF0000"/>
                <w:sz w:val="21"/>
                <w:szCs w:val="21"/>
                <w:highlight w:val="none"/>
                <w:lang w:val="en-US" w:eastAsia="zh-CN"/>
              </w:rPr>
              <w:t>2700m</w:t>
            </w:r>
            <w:r>
              <w:rPr>
                <w:rFonts w:hint="default" w:ascii="Times New Roman" w:hAnsi="Times New Roman" w:eastAsia="宋体" w:cs="Times New Roman"/>
                <w:color w:val="FF0000"/>
                <w:sz w:val="21"/>
                <w:szCs w:val="21"/>
                <w:highlight w:val="none"/>
                <w:vertAlign w:val="superscript"/>
                <w:lang w:val="en-US" w:eastAsia="zh-CN"/>
              </w:rPr>
              <w:t>2</w:t>
            </w:r>
            <w:r>
              <w:rPr>
                <w:rFonts w:hint="default"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rPr>
              <w:t>用于</w:t>
            </w:r>
            <w:r>
              <w:rPr>
                <w:rFonts w:hint="default" w:ascii="Times New Roman" w:hAnsi="Times New Roman" w:eastAsia="宋体" w:cs="Times New Roman"/>
                <w:color w:val="FF0000"/>
                <w:sz w:val="21"/>
                <w:szCs w:val="21"/>
                <w:highlight w:val="none"/>
                <w:lang w:eastAsia="zh-CN"/>
              </w:rPr>
              <w:t>牛粪便</w:t>
            </w:r>
            <w:r>
              <w:rPr>
                <w:rFonts w:hint="default" w:ascii="Times New Roman" w:hAnsi="Times New Roman" w:eastAsia="宋体" w:cs="Times New Roman"/>
                <w:color w:val="FF0000"/>
                <w:sz w:val="21"/>
                <w:szCs w:val="21"/>
                <w:highlight w:val="none"/>
                <w:lang w:val="en-US" w:eastAsia="zh-CN"/>
              </w:rPr>
              <w:t>发酵堆肥</w:t>
            </w:r>
            <w:r>
              <w:rPr>
                <w:rFonts w:hint="default" w:ascii="Times New Roman" w:hAnsi="Times New Roman" w:eastAsia="宋体" w:cs="Times New Roman"/>
                <w:color w:val="FF0000"/>
                <w:sz w:val="21"/>
                <w:szCs w:val="21"/>
                <w:highlight w:val="none"/>
              </w:rPr>
              <w:t>。</w:t>
            </w:r>
          </w:p>
          <w:p w14:paraId="3DB58D0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420" w:firstLineChars="200"/>
              <w:contextualSpacing/>
              <w:jc w:val="left"/>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四周</w:t>
            </w:r>
            <w:r>
              <w:rPr>
                <w:rFonts w:hint="default" w:ascii="Times New Roman" w:hAnsi="Times New Roman" w:eastAsia="宋体" w:cs="Times New Roman"/>
                <w:color w:val="0000FF"/>
                <w:sz w:val="21"/>
                <w:szCs w:val="21"/>
                <w:highlight w:val="none"/>
                <w:lang w:val="en-US" w:eastAsia="zh-CN"/>
              </w:rPr>
              <w:t>设置0.5m高挡墙</w:t>
            </w:r>
            <w:r>
              <w:rPr>
                <w:rFonts w:hint="default" w:ascii="Times New Roman" w:hAnsi="Times New Roman" w:eastAsia="宋体" w:cs="Times New Roman"/>
                <w:color w:val="0000FF"/>
                <w:sz w:val="21"/>
                <w:szCs w:val="21"/>
                <w:highlight w:val="none"/>
                <w:lang w:val="en-US" w:eastAsia="zh-CN"/>
              </w:rPr>
              <w:t>，出入口设置截水沟</w:t>
            </w:r>
            <w:r>
              <w:rPr>
                <w:rFonts w:hint="default" w:ascii="Times New Roman" w:hAnsi="Times New Roman" w:eastAsia="宋体" w:cs="Times New Roman"/>
                <w:color w:val="0000FF"/>
                <w:sz w:val="21"/>
                <w:szCs w:val="21"/>
                <w:highlight w:val="none"/>
                <w:lang w:val="en-US" w:eastAsia="zh-CN"/>
              </w:rPr>
              <w:t>。</w:t>
            </w:r>
            <w:r>
              <w:rPr>
                <w:rFonts w:hint="default" w:ascii="Times New Roman" w:hAnsi="Times New Roman" w:eastAsia="宋体" w:cs="Times New Roman"/>
                <w:color w:val="0000FF"/>
                <w:sz w:val="21"/>
                <w:szCs w:val="21"/>
                <w:highlight w:val="none"/>
                <w:lang w:val="en-US" w:eastAsia="zh-CN"/>
              </w:rPr>
              <w:t>挡墙：墙采用240mm厚多孔砖，高度500mm。抹灰：墙体内外双侧抹水泥砂浆。</w:t>
            </w:r>
          </w:p>
          <w:p w14:paraId="66D048C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420" w:firstLineChars="200"/>
              <w:contextualSpacing/>
              <w:jc w:val="left"/>
              <w:textAlignment w:val="auto"/>
              <w:rPr>
                <w:rFonts w:hint="default" w:ascii="Times New Roman" w:hAnsi="Times New Roman" w:eastAsia="宋体" w:cs="Times New Roman"/>
                <w:color w:val="FF0000"/>
                <w:kern w:val="2"/>
                <w:sz w:val="21"/>
                <w:szCs w:val="21"/>
                <w:highlight w:val="none"/>
                <w:vertAlign w:val="baseline"/>
                <w:lang w:val="en-US" w:eastAsia="zh-CN" w:bidi="ar-SA"/>
              </w:rPr>
            </w:pPr>
            <w:r>
              <w:rPr>
                <w:rFonts w:hint="default" w:ascii="Times New Roman" w:hAnsi="Times New Roman" w:eastAsia="宋体" w:cs="Times New Roman"/>
                <w:color w:val="FF0000"/>
                <w:sz w:val="21"/>
                <w:szCs w:val="21"/>
                <w:highlight w:val="none"/>
                <w:lang w:val="en-US" w:eastAsia="zh-CN"/>
              </w:rPr>
              <w:t>粪污处理池进行防渗，</w:t>
            </w:r>
            <w:r>
              <w:rPr>
                <w:rFonts w:hint="default" w:ascii="Times New Roman" w:hAnsi="Times New Roman" w:eastAsia="宋体" w:cs="Times New Roman"/>
                <w:color w:val="FF0000"/>
                <w:sz w:val="21"/>
                <w:szCs w:val="21"/>
                <w:highlight w:val="none"/>
              </w:rPr>
              <w:t>渗透系数≤10</w:t>
            </w:r>
            <w:r>
              <w:rPr>
                <w:rFonts w:hint="default" w:ascii="Times New Roman" w:hAnsi="Times New Roman" w:eastAsia="宋体" w:cs="Times New Roman"/>
                <w:color w:val="FF0000"/>
                <w:sz w:val="21"/>
                <w:szCs w:val="21"/>
                <w:highlight w:val="none"/>
                <w:vertAlign w:val="superscript"/>
              </w:rPr>
              <w:t>-</w:t>
            </w:r>
            <w:r>
              <w:rPr>
                <w:rFonts w:hint="default" w:ascii="Times New Roman" w:hAnsi="Times New Roman" w:eastAsia="宋体" w:cs="Times New Roman"/>
                <w:color w:val="FF0000"/>
                <w:sz w:val="21"/>
                <w:szCs w:val="21"/>
                <w:highlight w:val="none"/>
                <w:vertAlign w:val="superscript"/>
                <w:lang w:val="en-US" w:eastAsia="zh-CN"/>
              </w:rPr>
              <w:t>7</w:t>
            </w:r>
            <w:r>
              <w:rPr>
                <w:rFonts w:hint="default" w:ascii="Times New Roman" w:hAnsi="Times New Roman" w:eastAsia="宋体" w:cs="Times New Roman"/>
                <w:color w:val="FF0000"/>
                <w:sz w:val="21"/>
                <w:szCs w:val="21"/>
                <w:highlight w:val="none"/>
              </w:rPr>
              <w:t>m/s</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lang w:val="en-US" w:eastAsia="zh-CN"/>
              </w:rPr>
              <w:t>防渗材料选用厚度不小于1.5mm的人工合成材料高密度聚乙烯膜或经压实、人工改良后，厚度不小于0.75m粘土</w:t>
            </w:r>
            <w:r>
              <w:rPr>
                <w:rFonts w:hint="default" w:ascii="Times New Roman" w:hAnsi="Times New Roman" w:eastAsia="宋体" w:cs="Times New Roman"/>
                <w:color w:val="FF0000"/>
                <w:sz w:val="21"/>
                <w:szCs w:val="21"/>
                <w:highlight w:val="none"/>
              </w:rPr>
              <w:t>。</w:t>
            </w:r>
          </w:p>
        </w:tc>
      </w:tr>
      <w:tr w14:paraId="4896E08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6A0423D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1986" w:type="dxa"/>
            <w:gridSpan w:val="2"/>
            <w:tcBorders>
              <w:top w:val="single" w:color="auto" w:sz="4" w:space="0"/>
              <w:left w:val="single" w:color="auto" w:sz="4" w:space="0"/>
              <w:bottom w:val="single" w:color="auto" w:sz="4" w:space="0"/>
              <w:right w:val="single" w:color="auto" w:sz="4" w:space="0"/>
            </w:tcBorders>
            <w:vAlign w:val="center"/>
          </w:tcPr>
          <w:p w14:paraId="4B01745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消毒室</w:t>
            </w:r>
          </w:p>
        </w:tc>
        <w:tc>
          <w:tcPr>
            <w:tcW w:w="5298" w:type="dxa"/>
            <w:tcBorders>
              <w:top w:val="single" w:color="auto" w:sz="4" w:space="0"/>
              <w:left w:val="single" w:color="auto" w:sz="4" w:space="0"/>
              <w:bottom w:val="single" w:color="auto" w:sz="4" w:space="0"/>
              <w:right w:val="single" w:color="auto" w:sz="4" w:space="0"/>
            </w:tcBorders>
            <w:vAlign w:val="center"/>
          </w:tcPr>
          <w:p w14:paraId="1A0AD66F">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420" w:firstLineChars="200"/>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eastAsia="zh-CN"/>
              </w:rPr>
              <w:t>厂区门口设一间消毒间</w:t>
            </w:r>
            <w:r>
              <w:rPr>
                <w:rFonts w:hint="default" w:ascii="Times New Roman" w:hAnsi="Times New Roman" w:eastAsia="宋体" w:cs="Times New Roman"/>
                <w:color w:val="FF0000"/>
                <w:sz w:val="21"/>
                <w:szCs w:val="21"/>
                <w:highlight w:val="none"/>
              </w:rPr>
              <w:t>，1层砖混结构，场内消毒使用</w:t>
            </w:r>
            <w:r>
              <w:rPr>
                <w:rFonts w:hint="default" w:ascii="Times New Roman" w:hAnsi="Times New Roman" w:eastAsia="宋体" w:cs="Times New Roman"/>
                <w:color w:val="FF0000"/>
                <w:sz w:val="21"/>
                <w:szCs w:val="21"/>
                <w:highlight w:val="none"/>
                <w:lang w:val="en-US" w:eastAsia="zh-CN"/>
              </w:rPr>
              <w:t>消毒液消毒</w:t>
            </w:r>
            <w:r>
              <w:rPr>
                <w:rFonts w:hint="default" w:ascii="Times New Roman" w:hAnsi="Times New Roman" w:eastAsia="宋体" w:cs="Times New Roman"/>
                <w:color w:val="FF0000"/>
                <w:sz w:val="21"/>
                <w:szCs w:val="21"/>
                <w:highlight w:val="none"/>
                <w:lang w:eastAsia="zh-CN"/>
              </w:rPr>
              <w:t>。</w:t>
            </w:r>
          </w:p>
        </w:tc>
      </w:tr>
      <w:tr w14:paraId="57C29F6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1EEE03D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1986" w:type="dxa"/>
            <w:gridSpan w:val="2"/>
            <w:tcBorders>
              <w:top w:val="single" w:color="auto" w:sz="4" w:space="0"/>
              <w:left w:val="single" w:color="auto" w:sz="4" w:space="0"/>
              <w:bottom w:val="single" w:color="auto" w:sz="4" w:space="0"/>
              <w:right w:val="single" w:color="auto" w:sz="4" w:space="0"/>
            </w:tcBorders>
            <w:vAlign w:val="center"/>
          </w:tcPr>
          <w:p w14:paraId="4C0F557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兽医室</w:t>
            </w:r>
          </w:p>
        </w:tc>
        <w:tc>
          <w:tcPr>
            <w:tcW w:w="5298" w:type="dxa"/>
            <w:tcBorders>
              <w:top w:val="single" w:color="auto" w:sz="4" w:space="0"/>
              <w:left w:val="single" w:color="auto" w:sz="4" w:space="0"/>
              <w:bottom w:val="single" w:color="auto" w:sz="4" w:space="0"/>
              <w:right w:val="single" w:color="auto" w:sz="4" w:space="0"/>
            </w:tcBorders>
            <w:vAlign w:val="center"/>
          </w:tcPr>
          <w:p w14:paraId="78D0B6BC">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420" w:firstLineChars="200"/>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负责场内牛病诊治、预防接种、</w:t>
            </w:r>
            <w:r>
              <w:rPr>
                <w:rFonts w:hint="default" w:ascii="Times New Roman" w:hAnsi="Times New Roman" w:eastAsia="宋体" w:cs="Times New Roman"/>
                <w:color w:val="FF0000"/>
                <w:sz w:val="21"/>
                <w:szCs w:val="21"/>
                <w:highlight w:val="none"/>
                <w:lang w:eastAsia="zh-CN"/>
              </w:rPr>
              <w:t>肉牛配种</w:t>
            </w:r>
            <w:r>
              <w:rPr>
                <w:rFonts w:hint="default" w:ascii="Times New Roman" w:hAnsi="Times New Roman" w:eastAsia="宋体" w:cs="Times New Roman"/>
                <w:color w:val="FF0000"/>
                <w:sz w:val="21"/>
                <w:szCs w:val="21"/>
                <w:highlight w:val="none"/>
              </w:rPr>
              <w:t>、修蹄等，1层砖混结构</w:t>
            </w:r>
            <w:r>
              <w:rPr>
                <w:rFonts w:hint="default" w:ascii="Times New Roman" w:hAnsi="Times New Roman" w:eastAsia="宋体" w:cs="Times New Roman"/>
                <w:color w:val="FF0000"/>
                <w:sz w:val="21"/>
                <w:szCs w:val="21"/>
                <w:highlight w:val="none"/>
                <w:lang w:eastAsia="zh-CN"/>
              </w:rPr>
              <w:t>。</w:t>
            </w:r>
          </w:p>
        </w:tc>
      </w:tr>
      <w:tr w14:paraId="447F95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13C68D8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1986" w:type="dxa"/>
            <w:gridSpan w:val="2"/>
            <w:tcBorders>
              <w:top w:val="single" w:color="auto" w:sz="4" w:space="0"/>
              <w:left w:val="single" w:color="auto" w:sz="4" w:space="0"/>
              <w:bottom w:val="single" w:color="auto" w:sz="4" w:space="0"/>
              <w:right w:val="single" w:color="auto" w:sz="4" w:space="0"/>
            </w:tcBorders>
            <w:vAlign w:val="center"/>
          </w:tcPr>
          <w:p w14:paraId="38D8C2D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冷藏间</w:t>
            </w:r>
          </w:p>
        </w:tc>
        <w:tc>
          <w:tcPr>
            <w:tcW w:w="5298" w:type="dxa"/>
            <w:tcBorders>
              <w:top w:val="single" w:color="auto" w:sz="4" w:space="0"/>
              <w:left w:val="single" w:color="auto" w:sz="4" w:space="0"/>
              <w:bottom w:val="single" w:color="auto" w:sz="4" w:space="0"/>
              <w:right w:val="single" w:color="auto" w:sz="4" w:space="0"/>
            </w:tcBorders>
            <w:vAlign w:val="center"/>
          </w:tcPr>
          <w:p w14:paraId="041497E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eastAsia="zh-CN"/>
              </w:rPr>
              <w:t>位于厂区北侧</w:t>
            </w:r>
            <w:r>
              <w:rPr>
                <w:rFonts w:hint="default" w:ascii="Times New Roman" w:hAnsi="Times New Roman" w:eastAsia="宋体" w:cs="Times New Roman"/>
                <w:color w:val="FF0000"/>
                <w:kern w:val="2"/>
                <w:sz w:val="21"/>
                <w:szCs w:val="21"/>
                <w:highlight w:val="none"/>
                <w:lang w:val="en-US" w:eastAsia="zh-CN" w:bidi="ar-SA"/>
              </w:rPr>
              <w:t>，</w:t>
            </w:r>
            <w:r>
              <w:rPr>
                <w:rFonts w:hint="default" w:ascii="Times New Roman" w:hAnsi="Times New Roman" w:eastAsia="宋体" w:cs="Times New Roman"/>
                <w:color w:val="FF0000"/>
                <w:sz w:val="21"/>
                <w:szCs w:val="21"/>
                <w:highlight w:val="none"/>
                <w:lang w:val="en-US" w:eastAsia="zh-CN"/>
              </w:rPr>
              <w:t>1层砖混结构，</w:t>
            </w:r>
            <w:r>
              <w:rPr>
                <w:rFonts w:hint="default" w:ascii="Times New Roman" w:hAnsi="Times New Roman" w:eastAsia="宋体" w:cs="Times New Roman"/>
                <w:color w:val="FF0000"/>
                <w:kern w:val="2"/>
                <w:sz w:val="21"/>
                <w:szCs w:val="21"/>
                <w:highlight w:val="none"/>
                <w:lang w:val="zh-CN" w:eastAsia="zh-CN" w:bidi="ar-SA"/>
              </w:rPr>
              <w:t>占地面积为</w:t>
            </w:r>
            <w:r>
              <w:rPr>
                <w:rFonts w:hint="default" w:ascii="Times New Roman" w:hAnsi="Times New Roman" w:eastAsia="宋体" w:cs="Times New Roman"/>
                <w:color w:val="FF0000"/>
                <w:kern w:val="2"/>
                <w:sz w:val="21"/>
                <w:szCs w:val="21"/>
                <w:highlight w:val="none"/>
                <w:lang w:val="en-US" w:eastAsia="zh-CN" w:bidi="ar-SA"/>
              </w:rPr>
              <w:t>50m</w:t>
            </w:r>
            <w:r>
              <w:rPr>
                <w:rFonts w:hint="default" w:ascii="Times New Roman" w:hAnsi="Times New Roman" w:eastAsia="宋体" w:cs="Times New Roman"/>
                <w:color w:val="FF0000"/>
                <w:kern w:val="2"/>
                <w:sz w:val="21"/>
                <w:szCs w:val="21"/>
                <w:highlight w:val="none"/>
                <w:vertAlign w:val="superscript"/>
                <w:lang w:val="en-US" w:eastAsia="zh-CN" w:bidi="ar-SA"/>
              </w:rPr>
              <w:t>2</w:t>
            </w:r>
            <w:r>
              <w:rPr>
                <w:rFonts w:hint="default" w:ascii="Times New Roman" w:hAnsi="Times New Roman" w:eastAsia="宋体" w:cs="Times New Roman"/>
                <w:color w:val="FF0000"/>
                <w:kern w:val="2"/>
                <w:sz w:val="21"/>
                <w:szCs w:val="21"/>
                <w:highlight w:val="none"/>
                <w:lang w:val="en-US" w:eastAsia="zh-CN" w:bidi="ar-SA"/>
              </w:rPr>
              <w:t>，用于病死牛的暂存。</w:t>
            </w:r>
          </w:p>
          <w:p w14:paraId="7D89036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eastAsia="zh-CN"/>
              </w:rPr>
              <w:t>地面采用至少2mm厚HDPE或其他人工材料进行防渗处理，</w:t>
            </w:r>
            <w:r>
              <w:rPr>
                <w:rFonts w:hint="default" w:ascii="Times New Roman" w:hAnsi="Times New Roman" w:eastAsia="宋体" w:cs="Times New Roman"/>
                <w:color w:val="FF0000"/>
                <w:sz w:val="21"/>
                <w:szCs w:val="21"/>
                <w:highlight w:val="none"/>
                <w:lang w:eastAsia="zh-CN"/>
              </w:rPr>
              <w:t>渗透系数</w:t>
            </w:r>
            <w:r>
              <w:rPr>
                <w:rFonts w:hint="default" w:ascii="Times New Roman" w:hAnsi="Times New Roman" w:eastAsia="宋体" w:cs="Times New Roman"/>
                <w:color w:val="FF0000"/>
                <w:sz w:val="21"/>
                <w:szCs w:val="21"/>
                <w:highlight w:val="none"/>
                <w:lang w:eastAsia="zh-CN"/>
              </w:rPr>
              <w:t>不大于1.0×10</w:t>
            </w:r>
            <w:r>
              <w:rPr>
                <w:rFonts w:hint="default" w:ascii="Times New Roman" w:hAnsi="Times New Roman" w:eastAsia="宋体" w:cs="Times New Roman"/>
                <w:color w:val="FF0000"/>
                <w:sz w:val="21"/>
                <w:szCs w:val="21"/>
                <w:highlight w:val="none"/>
                <w:vertAlign w:val="superscript"/>
                <w:lang w:eastAsia="zh-CN"/>
              </w:rPr>
              <w:t>-10</w:t>
            </w:r>
            <w:r>
              <w:rPr>
                <w:rFonts w:hint="default" w:ascii="Times New Roman" w:hAnsi="Times New Roman" w:eastAsia="宋体" w:cs="Times New Roman"/>
                <w:color w:val="FF0000"/>
                <w:sz w:val="21"/>
                <w:szCs w:val="21"/>
                <w:highlight w:val="none"/>
                <w:lang w:eastAsia="zh-CN"/>
              </w:rPr>
              <w:t>cm/s</w:t>
            </w:r>
            <w:r>
              <w:rPr>
                <w:rFonts w:hint="default" w:ascii="Times New Roman" w:hAnsi="Times New Roman" w:eastAsia="宋体" w:cs="Times New Roman"/>
                <w:color w:val="FF0000"/>
                <w:kern w:val="2"/>
                <w:sz w:val="21"/>
                <w:szCs w:val="21"/>
                <w:highlight w:val="none"/>
                <w:lang w:val="en-US" w:eastAsia="zh-CN" w:bidi="ar-SA"/>
              </w:rPr>
              <w:t>。</w:t>
            </w:r>
          </w:p>
        </w:tc>
      </w:tr>
      <w:tr w14:paraId="574AB52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06BF6B3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1986" w:type="dxa"/>
            <w:gridSpan w:val="2"/>
            <w:tcBorders>
              <w:top w:val="single" w:color="auto" w:sz="4" w:space="0"/>
              <w:left w:val="single" w:color="auto" w:sz="4" w:space="0"/>
              <w:bottom w:val="single" w:color="auto" w:sz="4" w:space="0"/>
              <w:right w:val="single" w:color="auto" w:sz="4" w:space="0"/>
            </w:tcBorders>
            <w:vAlign w:val="center"/>
          </w:tcPr>
          <w:p w14:paraId="17E8CAA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危废暂存间</w:t>
            </w:r>
          </w:p>
        </w:tc>
        <w:tc>
          <w:tcPr>
            <w:tcW w:w="5298" w:type="dxa"/>
            <w:tcBorders>
              <w:top w:val="single" w:color="auto" w:sz="4" w:space="0"/>
              <w:left w:val="single" w:color="auto" w:sz="4" w:space="0"/>
              <w:bottom w:val="single" w:color="auto" w:sz="4" w:space="0"/>
              <w:right w:val="single" w:color="auto" w:sz="4" w:space="0"/>
            </w:tcBorders>
            <w:vAlign w:val="center"/>
          </w:tcPr>
          <w:p w14:paraId="6896889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设置一间</w:t>
            </w:r>
            <w:r>
              <w:rPr>
                <w:rFonts w:hint="default" w:ascii="Times New Roman" w:hAnsi="Times New Roman" w:eastAsia="宋体" w:cs="Times New Roman"/>
                <w:color w:val="FF0000"/>
                <w:sz w:val="21"/>
                <w:szCs w:val="21"/>
                <w:highlight w:val="none"/>
                <w:lang w:val="en-US" w:eastAsia="zh-CN"/>
              </w:rPr>
              <w:t>1</w:t>
            </w:r>
            <w:r>
              <w:rPr>
                <w:rFonts w:hint="default" w:ascii="Times New Roman" w:hAnsi="Times New Roman" w:eastAsia="宋体" w:cs="Times New Roman"/>
                <w:color w:val="FF0000"/>
                <w:sz w:val="21"/>
                <w:szCs w:val="21"/>
                <w:highlight w:val="none"/>
                <w:lang w:eastAsia="zh-CN"/>
              </w:rPr>
              <w:t>0m</w:t>
            </w:r>
            <w:r>
              <w:rPr>
                <w:rFonts w:hint="default" w:ascii="Times New Roman" w:hAnsi="Times New Roman" w:eastAsia="宋体" w:cs="Times New Roman"/>
                <w:color w:val="FF0000"/>
                <w:sz w:val="21"/>
                <w:szCs w:val="21"/>
                <w:highlight w:val="none"/>
                <w:vertAlign w:val="superscript"/>
                <w:lang w:eastAsia="zh-CN"/>
              </w:rPr>
              <w:t>2</w:t>
            </w:r>
            <w:r>
              <w:rPr>
                <w:rFonts w:hint="default" w:ascii="Times New Roman" w:hAnsi="Times New Roman" w:eastAsia="宋体" w:cs="Times New Roman"/>
                <w:color w:val="FF0000"/>
                <w:kern w:val="2"/>
                <w:sz w:val="21"/>
                <w:szCs w:val="21"/>
                <w:highlight w:val="none"/>
                <w:lang w:val="en-US" w:eastAsia="zh-CN" w:bidi="ar-SA"/>
              </w:rPr>
              <w:t>危废暂存间</w:t>
            </w:r>
            <w:r>
              <w:rPr>
                <w:rFonts w:hint="default" w:ascii="Times New Roman" w:hAnsi="Times New Roman" w:eastAsia="宋体" w:cs="Times New Roman"/>
                <w:color w:val="FF0000"/>
                <w:sz w:val="21"/>
                <w:szCs w:val="21"/>
                <w:highlight w:val="none"/>
                <w:lang w:eastAsia="zh-CN"/>
              </w:rPr>
              <w:t>，用于储存</w:t>
            </w:r>
            <w:r>
              <w:rPr>
                <w:rFonts w:hint="default" w:ascii="Times New Roman" w:hAnsi="Times New Roman" w:eastAsia="宋体" w:cs="Times New Roman"/>
                <w:color w:val="FF0000"/>
                <w:sz w:val="21"/>
                <w:szCs w:val="21"/>
                <w:highlight w:val="none"/>
                <w:lang w:eastAsia="zh-CN"/>
              </w:rPr>
              <w:t>医疗垃圾；</w:t>
            </w:r>
          </w:p>
          <w:p w14:paraId="54E9D01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按照《危险废物贮存污染控制标准》（GB18597-2023）要求设置，采用至少2mm厚HDPE或其他人工材料进行防渗处理，</w:t>
            </w:r>
            <w:r>
              <w:rPr>
                <w:rFonts w:hint="default" w:ascii="Times New Roman" w:hAnsi="Times New Roman" w:eastAsia="宋体" w:cs="Times New Roman"/>
                <w:color w:val="FF0000"/>
                <w:sz w:val="21"/>
                <w:szCs w:val="21"/>
                <w:highlight w:val="none"/>
                <w:lang w:eastAsia="zh-CN"/>
              </w:rPr>
              <w:t>渗透系数</w:t>
            </w:r>
            <w:r>
              <w:rPr>
                <w:rFonts w:hint="default" w:ascii="Times New Roman" w:hAnsi="Times New Roman" w:eastAsia="宋体" w:cs="Times New Roman"/>
                <w:color w:val="FF0000"/>
                <w:sz w:val="21"/>
                <w:szCs w:val="21"/>
                <w:highlight w:val="none"/>
                <w:lang w:eastAsia="zh-CN"/>
              </w:rPr>
              <w:t>不大于1.0×10</w:t>
            </w:r>
            <w:r>
              <w:rPr>
                <w:rFonts w:hint="default" w:ascii="Times New Roman" w:hAnsi="Times New Roman" w:eastAsia="宋体" w:cs="Times New Roman"/>
                <w:color w:val="FF0000"/>
                <w:sz w:val="21"/>
                <w:szCs w:val="21"/>
                <w:highlight w:val="none"/>
                <w:vertAlign w:val="superscript"/>
                <w:lang w:eastAsia="zh-CN"/>
              </w:rPr>
              <w:t>-10</w:t>
            </w:r>
            <w:r>
              <w:rPr>
                <w:rFonts w:hint="default" w:ascii="Times New Roman" w:hAnsi="Times New Roman" w:eastAsia="宋体" w:cs="Times New Roman"/>
                <w:color w:val="FF0000"/>
                <w:sz w:val="21"/>
                <w:szCs w:val="21"/>
                <w:highlight w:val="none"/>
                <w:lang w:eastAsia="zh-CN"/>
              </w:rPr>
              <w:t>cm/s。</w:t>
            </w:r>
          </w:p>
        </w:tc>
      </w:tr>
      <w:tr w14:paraId="6B6D0B8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468755D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1986" w:type="dxa"/>
            <w:gridSpan w:val="2"/>
            <w:tcBorders>
              <w:top w:val="single" w:color="auto" w:sz="4" w:space="0"/>
              <w:left w:val="single" w:color="auto" w:sz="4" w:space="0"/>
              <w:bottom w:val="single" w:color="auto" w:sz="4" w:space="0"/>
              <w:right w:val="single" w:color="auto" w:sz="4" w:space="0"/>
            </w:tcBorders>
            <w:vAlign w:val="center"/>
          </w:tcPr>
          <w:p w14:paraId="54A55EB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办公宿舍区</w:t>
            </w:r>
          </w:p>
        </w:tc>
        <w:tc>
          <w:tcPr>
            <w:tcW w:w="5298" w:type="dxa"/>
            <w:tcBorders>
              <w:top w:val="single" w:color="auto" w:sz="4" w:space="0"/>
              <w:left w:val="single" w:color="auto" w:sz="4" w:space="0"/>
              <w:bottom w:val="single" w:color="auto" w:sz="4" w:space="0"/>
              <w:right w:val="single" w:color="auto" w:sz="4" w:space="0"/>
            </w:tcBorders>
            <w:vAlign w:val="center"/>
          </w:tcPr>
          <w:p w14:paraId="4F3899F4">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420" w:firstLineChars="200"/>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eastAsia="zh-CN"/>
              </w:rPr>
              <w:t>位于厂区北侧，</w:t>
            </w:r>
            <w:r>
              <w:rPr>
                <w:rFonts w:hint="default" w:ascii="Times New Roman" w:hAnsi="Times New Roman" w:eastAsia="宋体" w:cs="Times New Roman"/>
                <w:color w:val="FF0000"/>
                <w:sz w:val="21"/>
                <w:szCs w:val="21"/>
                <w:highlight w:val="none"/>
              </w:rPr>
              <w:t>总建筑面积为</w:t>
            </w:r>
            <w:r>
              <w:rPr>
                <w:rFonts w:hint="default" w:ascii="Times New Roman" w:hAnsi="Times New Roman" w:eastAsia="宋体" w:cs="Times New Roman"/>
                <w:color w:val="FF0000"/>
                <w:sz w:val="21"/>
                <w:szCs w:val="21"/>
                <w:highlight w:val="none"/>
                <w:lang w:val="en-US" w:eastAsia="zh-CN"/>
              </w:rPr>
              <w:t>200</w:t>
            </w:r>
            <w:r>
              <w:rPr>
                <w:rFonts w:hint="default" w:ascii="Times New Roman" w:hAnsi="Times New Roman" w:eastAsia="宋体" w:cs="Times New Roman"/>
                <w:color w:val="FF0000"/>
                <w:sz w:val="21"/>
                <w:szCs w:val="21"/>
                <w:highlight w:val="none"/>
              </w:rPr>
              <w:t>m</w:t>
            </w:r>
            <w:r>
              <w:rPr>
                <w:rFonts w:hint="default" w:ascii="Times New Roman" w:hAnsi="Times New Roman" w:eastAsia="宋体" w:cs="Times New Roman"/>
                <w:color w:val="FF0000"/>
                <w:sz w:val="21"/>
                <w:szCs w:val="21"/>
                <w:highlight w:val="none"/>
                <w:vertAlign w:val="superscript"/>
              </w:rPr>
              <w:t>2</w:t>
            </w:r>
            <w:r>
              <w:rPr>
                <w:rFonts w:hint="default" w:ascii="Times New Roman" w:hAnsi="Times New Roman" w:eastAsia="宋体" w:cs="Times New Roman"/>
                <w:color w:val="FF0000"/>
                <w:sz w:val="21"/>
                <w:szCs w:val="21"/>
                <w:highlight w:val="none"/>
              </w:rPr>
              <w:t>，砖混结构</w:t>
            </w:r>
            <w:r>
              <w:rPr>
                <w:rFonts w:hint="default" w:ascii="Times New Roman" w:hAnsi="Times New Roman" w:eastAsia="宋体" w:cs="Times New Roman"/>
                <w:color w:val="FF0000"/>
                <w:sz w:val="21"/>
                <w:szCs w:val="21"/>
                <w:highlight w:val="none"/>
                <w:lang w:eastAsia="zh-CN"/>
              </w:rPr>
              <w:t>。</w:t>
            </w:r>
          </w:p>
        </w:tc>
      </w:tr>
      <w:tr w14:paraId="4DB91C5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restart"/>
            <w:tcBorders>
              <w:top w:val="single" w:color="auto" w:sz="4" w:space="0"/>
              <w:left w:val="single" w:color="auto" w:sz="4" w:space="0"/>
              <w:bottom w:val="single" w:color="auto" w:sz="4" w:space="0"/>
              <w:right w:val="single" w:color="auto" w:sz="4" w:space="0"/>
            </w:tcBorders>
            <w:vAlign w:val="center"/>
          </w:tcPr>
          <w:p w14:paraId="150E1A8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公用</w:t>
            </w:r>
          </w:p>
          <w:p w14:paraId="1FEA14A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工程</w:t>
            </w:r>
          </w:p>
        </w:tc>
        <w:tc>
          <w:tcPr>
            <w:tcW w:w="1986" w:type="dxa"/>
            <w:gridSpan w:val="2"/>
            <w:tcBorders>
              <w:top w:val="single" w:color="auto" w:sz="4" w:space="0"/>
              <w:left w:val="single" w:color="auto" w:sz="4" w:space="0"/>
              <w:bottom w:val="single" w:color="auto" w:sz="4" w:space="0"/>
              <w:right w:val="single" w:color="auto" w:sz="4" w:space="0"/>
            </w:tcBorders>
            <w:vAlign w:val="center"/>
          </w:tcPr>
          <w:p w14:paraId="7EF181B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供水</w:t>
            </w:r>
          </w:p>
        </w:tc>
        <w:tc>
          <w:tcPr>
            <w:tcW w:w="5298" w:type="dxa"/>
            <w:tcBorders>
              <w:top w:val="single" w:color="auto" w:sz="4" w:space="0"/>
              <w:left w:val="single" w:color="auto" w:sz="4" w:space="0"/>
              <w:bottom w:val="single" w:color="auto" w:sz="4" w:space="0"/>
              <w:right w:val="single" w:color="auto" w:sz="4" w:space="0"/>
            </w:tcBorders>
            <w:vAlign w:val="center"/>
          </w:tcPr>
          <w:p w14:paraId="4D1E5A7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项目用水由场区内深水井供给</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0000FF"/>
                <w:sz w:val="21"/>
                <w:szCs w:val="21"/>
                <w:highlight w:val="none"/>
                <w:lang w:val="en-US" w:eastAsia="zh-CN"/>
              </w:rPr>
              <w:t>已取得</w:t>
            </w:r>
            <w:r>
              <w:rPr>
                <w:rFonts w:hint="default" w:ascii="Times New Roman" w:hAnsi="Times New Roman" w:eastAsia="宋体" w:cs="Times New Roman"/>
                <w:color w:val="0000FF"/>
                <w:sz w:val="21"/>
                <w:szCs w:val="21"/>
                <w:highlight w:val="none"/>
                <w:lang w:eastAsia="zh-CN"/>
              </w:rPr>
              <w:t>《取水许可证》（取水乌前[2007]第01170号）</w:t>
            </w:r>
            <w:r>
              <w:rPr>
                <w:rFonts w:hint="default" w:ascii="Times New Roman" w:hAnsi="Times New Roman" w:eastAsia="宋体" w:cs="Times New Roman"/>
                <w:color w:val="0000FF"/>
                <w:sz w:val="21"/>
                <w:szCs w:val="21"/>
                <w:highlight w:val="none"/>
              </w:rPr>
              <w:t>。</w:t>
            </w:r>
          </w:p>
        </w:tc>
      </w:tr>
      <w:tr w14:paraId="78478A5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4E55401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1986" w:type="dxa"/>
            <w:gridSpan w:val="2"/>
            <w:tcBorders>
              <w:top w:val="single" w:color="auto" w:sz="4" w:space="0"/>
              <w:left w:val="single" w:color="auto" w:sz="4" w:space="0"/>
              <w:bottom w:val="single" w:color="auto" w:sz="4" w:space="0"/>
              <w:right w:val="single" w:color="auto" w:sz="4" w:space="0"/>
            </w:tcBorders>
            <w:vAlign w:val="center"/>
          </w:tcPr>
          <w:p w14:paraId="72AB596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供电</w:t>
            </w:r>
          </w:p>
        </w:tc>
        <w:tc>
          <w:tcPr>
            <w:tcW w:w="5298" w:type="dxa"/>
            <w:tcBorders>
              <w:top w:val="single" w:color="auto" w:sz="4" w:space="0"/>
              <w:left w:val="single" w:color="auto" w:sz="4" w:space="0"/>
              <w:bottom w:val="single" w:color="auto" w:sz="4" w:space="0"/>
              <w:right w:val="single" w:color="auto" w:sz="4" w:space="0"/>
            </w:tcBorders>
            <w:vAlign w:val="center"/>
          </w:tcPr>
          <w:p w14:paraId="280B0DD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rPr>
              <w:t>当地供电网络提供电源</w:t>
            </w:r>
            <w:r>
              <w:rPr>
                <w:rFonts w:hint="default" w:ascii="Times New Roman" w:hAnsi="Times New Roman" w:eastAsia="宋体" w:cs="Times New Roman"/>
                <w:color w:val="FF0000"/>
                <w:kern w:val="0"/>
                <w:sz w:val="21"/>
                <w:szCs w:val="21"/>
                <w:highlight w:val="none"/>
              </w:rPr>
              <w:t>，在厂区内设变配电室1座</w:t>
            </w:r>
            <w:r>
              <w:rPr>
                <w:rFonts w:hint="default" w:ascii="Times New Roman" w:hAnsi="Times New Roman" w:eastAsia="宋体" w:cs="Times New Roman"/>
                <w:color w:val="FF0000"/>
                <w:kern w:val="0"/>
                <w:sz w:val="21"/>
                <w:szCs w:val="21"/>
                <w:highlight w:val="none"/>
                <w:lang w:eastAsia="zh-CN"/>
              </w:rPr>
              <w:t>。</w:t>
            </w:r>
          </w:p>
        </w:tc>
      </w:tr>
      <w:tr w14:paraId="572A9B8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387AB1C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1986" w:type="dxa"/>
            <w:gridSpan w:val="2"/>
            <w:tcBorders>
              <w:top w:val="single" w:color="auto" w:sz="4" w:space="0"/>
              <w:left w:val="single" w:color="auto" w:sz="4" w:space="0"/>
              <w:bottom w:val="single" w:color="auto" w:sz="4" w:space="0"/>
              <w:right w:val="single" w:color="auto" w:sz="4" w:space="0"/>
            </w:tcBorders>
            <w:vAlign w:val="center"/>
          </w:tcPr>
          <w:p w14:paraId="18A2E43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供暖</w:t>
            </w:r>
          </w:p>
        </w:tc>
        <w:tc>
          <w:tcPr>
            <w:tcW w:w="5298" w:type="dxa"/>
            <w:tcBorders>
              <w:top w:val="single" w:color="auto" w:sz="4" w:space="0"/>
              <w:left w:val="single" w:color="auto" w:sz="4" w:space="0"/>
              <w:bottom w:val="single" w:color="auto" w:sz="4" w:space="0"/>
              <w:right w:val="single" w:color="auto" w:sz="4" w:space="0"/>
            </w:tcBorders>
            <w:vAlign w:val="center"/>
          </w:tcPr>
          <w:p w14:paraId="7F7A9C4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eastAsia="zh-CN"/>
              </w:rPr>
              <w:t>办公区采用</w:t>
            </w:r>
            <w:r>
              <w:rPr>
                <w:rFonts w:hint="default" w:ascii="Times New Roman" w:hAnsi="Times New Roman" w:eastAsia="宋体" w:cs="Times New Roman"/>
                <w:color w:val="0000FF"/>
                <w:sz w:val="21"/>
                <w:szCs w:val="21"/>
                <w:highlight w:val="none"/>
                <w:lang w:val="en-US" w:eastAsia="zh-CN"/>
              </w:rPr>
              <w:t>2台</w:t>
            </w:r>
            <w:r>
              <w:rPr>
                <w:rFonts w:hint="default" w:ascii="Times New Roman" w:hAnsi="Times New Roman" w:eastAsia="宋体" w:cs="Times New Roman"/>
                <w:color w:val="FF0000"/>
                <w:sz w:val="21"/>
                <w:szCs w:val="21"/>
                <w:highlight w:val="none"/>
                <w:lang w:eastAsia="zh-CN"/>
              </w:rPr>
              <w:t>电锅炉供暖</w:t>
            </w:r>
            <w:r>
              <w:rPr>
                <w:rFonts w:hint="default" w:ascii="Times New Roman" w:hAnsi="Times New Roman" w:eastAsia="宋体" w:cs="Times New Roman"/>
                <w:color w:val="FF0000"/>
                <w:sz w:val="21"/>
                <w:szCs w:val="21"/>
                <w:highlight w:val="none"/>
              </w:rPr>
              <w:t>。</w:t>
            </w:r>
          </w:p>
        </w:tc>
      </w:tr>
      <w:tr w14:paraId="6332822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2AABD51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1986" w:type="dxa"/>
            <w:gridSpan w:val="2"/>
            <w:tcBorders>
              <w:top w:val="single" w:color="auto" w:sz="4" w:space="0"/>
              <w:left w:val="single" w:color="auto" w:sz="4" w:space="0"/>
              <w:bottom w:val="single" w:color="auto" w:sz="4" w:space="0"/>
              <w:right w:val="single" w:color="auto" w:sz="4" w:space="0"/>
            </w:tcBorders>
            <w:vAlign w:val="center"/>
          </w:tcPr>
          <w:p w14:paraId="11A0179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排水</w:t>
            </w:r>
          </w:p>
        </w:tc>
        <w:tc>
          <w:tcPr>
            <w:tcW w:w="5298" w:type="dxa"/>
            <w:tcBorders>
              <w:top w:val="single" w:color="auto" w:sz="4" w:space="0"/>
              <w:left w:val="single" w:color="auto" w:sz="4" w:space="0"/>
              <w:bottom w:val="single" w:color="auto" w:sz="4" w:space="0"/>
              <w:right w:val="single" w:color="auto" w:sz="4" w:space="0"/>
            </w:tcBorders>
            <w:vAlign w:val="center"/>
          </w:tcPr>
          <w:p w14:paraId="32EF7FB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rPr>
              <w:t>项目生活污水</w:t>
            </w:r>
            <w:r>
              <w:rPr>
                <w:rFonts w:hint="default" w:ascii="Times New Roman" w:hAnsi="Times New Roman" w:eastAsia="宋体" w:cs="Times New Roman"/>
                <w:color w:val="FF0000"/>
                <w:sz w:val="21"/>
                <w:szCs w:val="21"/>
                <w:highlight w:val="none"/>
                <w:lang w:eastAsia="zh-CN"/>
              </w:rPr>
              <w:t>经化粪池处理</w:t>
            </w:r>
            <w:r>
              <w:rPr>
                <w:rFonts w:hint="default" w:ascii="Times New Roman" w:hAnsi="Times New Roman" w:eastAsia="宋体" w:cs="Times New Roman"/>
                <w:color w:val="FF0000"/>
                <w:sz w:val="21"/>
                <w:szCs w:val="21"/>
                <w:highlight w:val="none"/>
              </w:rPr>
              <w:t>后，</w:t>
            </w:r>
            <w:r>
              <w:rPr>
                <w:rFonts w:hint="default" w:ascii="Times New Roman" w:hAnsi="Times New Roman" w:eastAsia="宋体" w:cs="Times New Roman"/>
                <w:color w:val="FF0000"/>
                <w:sz w:val="21"/>
                <w:szCs w:val="21"/>
                <w:highlight w:val="none"/>
                <w:lang w:eastAsia="zh-CN"/>
              </w:rPr>
              <w:t>定期由当地环卫部门清运处置</w:t>
            </w:r>
            <w:r>
              <w:rPr>
                <w:rFonts w:hint="default" w:ascii="Times New Roman" w:hAnsi="Times New Roman" w:eastAsia="宋体" w:cs="Times New Roman"/>
                <w:color w:val="FF0000"/>
                <w:sz w:val="21"/>
                <w:szCs w:val="21"/>
                <w:highlight w:val="none"/>
                <w:lang w:eastAsia="zh-CN"/>
              </w:rPr>
              <w:t>；</w:t>
            </w:r>
          </w:p>
          <w:p w14:paraId="41AFB3C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0000FF"/>
                <w:sz w:val="21"/>
                <w:szCs w:val="21"/>
                <w:highlight w:val="none"/>
                <w:lang w:eastAsia="zh-CN"/>
              </w:rPr>
              <w:t>锅炉排污水、软水制备废水用于厂区洒水抑尘</w:t>
            </w:r>
            <w:r>
              <w:rPr>
                <w:rFonts w:hint="default" w:ascii="Times New Roman" w:hAnsi="Times New Roman" w:eastAsia="宋体" w:cs="Times New Roman"/>
                <w:color w:val="0000FF"/>
                <w:sz w:val="21"/>
                <w:szCs w:val="21"/>
                <w:highlight w:val="none"/>
              </w:rPr>
              <w:t>。</w:t>
            </w:r>
          </w:p>
        </w:tc>
      </w:tr>
      <w:tr w14:paraId="1A87928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restart"/>
            <w:tcBorders>
              <w:top w:val="single" w:color="auto" w:sz="4" w:space="0"/>
              <w:left w:val="single" w:color="auto" w:sz="4" w:space="0"/>
              <w:bottom w:val="single" w:color="auto" w:sz="4" w:space="0"/>
              <w:right w:val="single" w:color="auto" w:sz="4" w:space="0"/>
            </w:tcBorders>
            <w:vAlign w:val="center"/>
          </w:tcPr>
          <w:p w14:paraId="0466FBA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环保</w:t>
            </w:r>
          </w:p>
          <w:p w14:paraId="36AD26D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工程</w:t>
            </w:r>
          </w:p>
        </w:tc>
        <w:tc>
          <w:tcPr>
            <w:tcW w:w="993" w:type="dxa"/>
            <w:vMerge w:val="restart"/>
            <w:tcBorders>
              <w:top w:val="single" w:color="auto" w:sz="4" w:space="0"/>
              <w:left w:val="single" w:color="auto" w:sz="4" w:space="0"/>
              <w:bottom w:val="single" w:color="auto" w:sz="4" w:space="0"/>
              <w:right w:val="single" w:color="auto" w:sz="4" w:space="0"/>
            </w:tcBorders>
            <w:vAlign w:val="center"/>
          </w:tcPr>
          <w:p w14:paraId="146FE0D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废气</w:t>
            </w:r>
          </w:p>
        </w:tc>
        <w:tc>
          <w:tcPr>
            <w:tcW w:w="993" w:type="dxa"/>
            <w:vMerge w:val="restart"/>
            <w:tcBorders>
              <w:top w:val="single" w:color="auto" w:sz="4" w:space="0"/>
              <w:left w:val="single" w:color="auto" w:sz="4" w:space="0"/>
              <w:bottom w:val="single" w:color="auto" w:sz="4" w:space="0"/>
              <w:right w:val="single" w:color="auto" w:sz="4" w:space="0"/>
            </w:tcBorders>
            <w:vAlign w:val="center"/>
          </w:tcPr>
          <w:p w14:paraId="24E3EA2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恶臭污染物</w:t>
            </w:r>
          </w:p>
        </w:tc>
        <w:tc>
          <w:tcPr>
            <w:tcW w:w="5298" w:type="dxa"/>
            <w:tcBorders>
              <w:top w:val="single" w:color="auto" w:sz="4" w:space="0"/>
              <w:left w:val="single" w:color="auto" w:sz="4" w:space="0"/>
              <w:bottom w:val="single" w:color="auto" w:sz="4" w:space="0"/>
              <w:right w:val="single" w:color="auto" w:sz="4" w:space="0"/>
            </w:tcBorders>
            <w:vAlign w:val="center"/>
          </w:tcPr>
          <w:p w14:paraId="0D99E11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bCs/>
                <w:color w:val="FF0000"/>
                <w:sz w:val="21"/>
                <w:szCs w:val="21"/>
                <w:highlight w:val="none"/>
                <w:lang w:eastAsia="zh-CN"/>
              </w:rPr>
              <w:t>养殖区：</w:t>
            </w:r>
            <w:r>
              <w:rPr>
                <w:rFonts w:hint="default" w:ascii="Times New Roman" w:hAnsi="Times New Roman" w:eastAsia="宋体" w:cs="Times New Roman"/>
                <w:bCs/>
                <w:color w:val="FF0000"/>
                <w:sz w:val="21"/>
                <w:szCs w:val="21"/>
                <w:highlight w:val="none"/>
              </w:rPr>
              <w:t>通过日粮设计，</w:t>
            </w:r>
            <w:r>
              <w:rPr>
                <w:rFonts w:hint="default" w:ascii="Times New Roman" w:hAnsi="Times New Roman" w:eastAsia="宋体" w:cs="Times New Roman"/>
                <w:color w:val="FF0000"/>
                <w:sz w:val="21"/>
                <w:szCs w:val="21"/>
                <w:highlight w:val="none"/>
              </w:rPr>
              <w:t>饲料添加EM复合微生物制剂，</w:t>
            </w:r>
            <w:r>
              <w:rPr>
                <w:rFonts w:hint="default" w:ascii="Times New Roman" w:hAnsi="Times New Roman" w:eastAsia="宋体" w:cs="Times New Roman"/>
                <w:color w:val="FF0000"/>
                <w:kern w:val="0"/>
                <w:sz w:val="21"/>
                <w:szCs w:val="21"/>
                <w:highlight w:val="none"/>
              </w:rPr>
              <w:t>牛舍采用及时清理粪尿，加强牛舍通风（除冬季封闭保暖外，均为敞开式通风）</w:t>
            </w:r>
            <w:r>
              <w:rPr>
                <w:rFonts w:hint="default" w:ascii="Times New Roman" w:hAnsi="Times New Roman" w:eastAsia="宋体" w:cs="Times New Roman"/>
                <w:color w:val="FF0000"/>
                <w:sz w:val="21"/>
                <w:szCs w:val="21"/>
                <w:highlight w:val="none"/>
              </w:rPr>
              <w:t>。</w:t>
            </w:r>
          </w:p>
        </w:tc>
      </w:tr>
      <w:tr w14:paraId="07406E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008BAA2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FF0000"/>
                <w:sz w:val="21"/>
                <w:szCs w:val="21"/>
                <w:highlight w:val="none"/>
              </w:rPr>
            </w:pPr>
          </w:p>
        </w:tc>
        <w:tc>
          <w:tcPr>
            <w:tcW w:w="993" w:type="dxa"/>
            <w:vMerge w:val="continue"/>
            <w:tcBorders>
              <w:top w:val="single" w:color="auto" w:sz="4" w:space="0"/>
              <w:left w:val="single" w:color="auto" w:sz="4" w:space="0"/>
              <w:bottom w:val="single" w:color="auto" w:sz="4" w:space="0"/>
              <w:right w:val="single" w:color="auto" w:sz="4" w:space="0"/>
            </w:tcBorders>
            <w:vAlign w:val="center"/>
          </w:tcPr>
          <w:p w14:paraId="38C90F6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p>
        </w:tc>
        <w:tc>
          <w:tcPr>
            <w:tcW w:w="993" w:type="dxa"/>
            <w:vMerge w:val="continue"/>
            <w:tcBorders>
              <w:top w:val="single" w:color="auto" w:sz="4" w:space="0"/>
              <w:left w:val="single" w:color="auto" w:sz="4" w:space="0"/>
              <w:bottom w:val="single" w:color="auto" w:sz="4" w:space="0"/>
              <w:right w:val="single" w:color="auto" w:sz="4" w:space="0"/>
            </w:tcBorders>
            <w:vAlign w:val="center"/>
          </w:tcPr>
          <w:p w14:paraId="23D9BA5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p>
        </w:tc>
        <w:tc>
          <w:tcPr>
            <w:tcW w:w="5298" w:type="dxa"/>
            <w:tcBorders>
              <w:top w:val="single" w:color="auto" w:sz="4" w:space="0"/>
              <w:left w:val="single" w:color="auto" w:sz="4" w:space="0"/>
              <w:bottom w:val="single" w:color="auto" w:sz="4" w:space="0"/>
              <w:right w:val="single" w:color="auto" w:sz="4" w:space="0"/>
            </w:tcBorders>
            <w:vAlign w:val="center"/>
          </w:tcPr>
          <w:p w14:paraId="4571E53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粪污处理池：牛粪便</w:t>
            </w:r>
            <w:r>
              <w:rPr>
                <w:rFonts w:hint="default" w:ascii="Times New Roman" w:hAnsi="Times New Roman" w:eastAsia="宋体" w:cs="Times New Roman"/>
                <w:color w:val="FF0000"/>
                <w:sz w:val="21"/>
                <w:szCs w:val="21"/>
                <w:highlight w:val="none"/>
                <w:lang w:val="en-US" w:eastAsia="zh-CN"/>
              </w:rPr>
              <w:t>清运至</w:t>
            </w:r>
            <w:r>
              <w:rPr>
                <w:rFonts w:hint="default" w:ascii="Times New Roman" w:hAnsi="Times New Roman" w:eastAsia="宋体" w:cs="Times New Roman"/>
                <w:color w:val="FF0000"/>
                <w:sz w:val="21"/>
                <w:szCs w:val="21"/>
                <w:highlight w:val="none"/>
                <w:lang w:eastAsia="zh-CN"/>
              </w:rPr>
              <w:t>粪污处理池储存并堆肥，</w:t>
            </w:r>
            <w:r>
              <w:rPr>
                <w:rFonts w:hint="default" w:ascii="Times New Roman" w:hAnsi="Times New Roman" w:eastAsia="宋体" w:cs="Times New Roman"/>
                <w:color w:val="FF0000"/>
                <w:sz w:val="21"/>
                <w:szCs w:val="21"/>
                <w:highlight w:val="none"/>
                <w:lang w:val="en-US" w:eastAsia="zh-CN"/>
              </w:rPr>
              <w:t>采取</w:t>
            </w:r>
            <w:r>
              <w:rPr>
                <w:rFonts w:hint="default" w:ascii="Times New Roman" w:hAnsi="Times New Roman" w:eastAsia="宋体" w:cs="Times New Roman"/>
                <w:color w:val="FF0000"/>
                <w:kern w:val="0"/>
                <w:sz w:val="21"/>
                <w:szCs w:val="21"/>
                <w:highlight w:val="none"/>
              </w:rPr>
              <w:t>定期喷洒</w:t>
            </w:r>
            <w:r>
              <w:rPr>
                <w:rFonts w:hint="default" w:ascii="Times New Roman" w:hAnsi="Times New Roman" w:eastAsia="宋体" w:cs="Times New Roman"/>
                <w:color w:val="FF0000"/>
                <w:sz w:val="21"/>
                <w:szCs w:val="21"/>
                <w:highlight w:val="none"/>
              </w:rPr>
              <w:t>减少氨释放和保氮的复合菌剂</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rPr>
              <w:t>同时场区内加强绿化</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kern w:val="0"/>
                <w:sz w:val="21"/>
                <w:szCs w:val="21"/>
                <w:highlight w:val="none"/>
              </w:rPr>
              <w:t>可减少臭气的产生</w:t>
            </w:r>
            <w:r>
              <w:rPr>
                <w:rFonts w:hint="default" w:ascii="Times New Roman" w:hAnsi="Times New Roman" w:eastAsia="宋体" w:cs="Times New Roman"/>
                <w:color w:val="FF0000"/>
                <w:sz w:val="21"/>
                <w:szCs w:val="21"/>
                <w:highlight w:val="none"/>
              </w:rPr>
              <w:t>。</w:t>
            </w:r>
          </w:p>
        </w:tc>
      </w:tr>
      <w:tr w14:paraId="16BE907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4504A99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993" w:type="dxa"/>
            <w:vMerge w:val="continue"/>
            <w:tcBorders>
              <w:top w:val="single" w:color="auto" w:sz="4" w:space="0"/>
              <w:left w:val="single" w:color="auto" w:sz="4" w:space="0"/>
              <w:bottom w:val="single" w:color="auto" w:sz="4" w:space="0"/>
              <w:right w:val="single" w:color="auto" w:sz="4" w:space="0"/>
            </w:tcBorders>
            <w:vAlign w:val="center"/>
          </w:tcPr>
          <w:p w14:paraId="20E2945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p>
        </w:tc>
        <w:tc>
          <w:tcPr>
            <w:tcW w:w="993" w:type="dxa"/>
            <w:tcBorders>
              <w:top w:val="single" w:color="auto" w:sz="4" w:space="0"/>
              <w:left w:val="single" w:color="auto" w:sz="4" w:space="0"/>
              <w:bottom w:val="single" w:color="auto" w:sz="4" w:space="0"/>
              <w:right w:val="single" w:color="auto" w:sz="4" w:space="0"/>
            </w:tcBorders>
            <w:vAlign w:val="center"/>
          </w:tcPr>
          <w:p w14:paraId="3B6D250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饲料搅拌</w:t>
            </w:r>
          </w:p>
        </w:tc>
        <w:tc>
          <w:tcPr>
            <w:tcW w:w="5298" w:type="dxa"/>
            <w:tcBorders>
              <w:top w:val="single" w:color="auto" w:sz="4" w:space="0"/>
              <w:left w:val="single" w:color="auto" w:sz="4" w:space="0"/>
              <w:bottom w:val="single" w:color="auto" w:sz="4" w:space="0"/>
              <w:right w:val="single" w:color="auto" w:sz="4" w:space="0"/>
            </w:tcBorders>
            <w:vAlign w:val="center"/>
          </w:tcPr>
          <w:p w14:paraId="66DB2D7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bCs/>
                <w:color w:val="FF0000"/>
                <w:sz w:val="21"/>
                <w:szCs w:val="21"/>
                <w:highlight w:val="none"/>
              </w:rPr>
            </w:pPr>
            <w:r>
              <w:rPr>
                <w:rFonts w:hint="default" w:ascii="Times New Roman" w:hAnsi="Times New Roman" w:eastAsia="宋体" w:cs="Times New Roman"/>
                <w:bCs/>
                <w:color w:val="FF0000"/>
                <w:sz w:val="21"/>
                <w:szCs w:val="21"/>
                <w:highlight w:val="none"/>
                <w:lang w:eastAsia="zh-CN"/>
              </w:rPr>
              <w:t>饲料粉碎机和TMR混合机</w:t>
            </w:r>
            <w:r>
              <w:rPr>
                <w:rFonts w:hint="default" w:ascii="Times New Roman" w:hAnsi="Times New Roman" w:eastAsia="宋体" w:cs="Times New Roman"/>
                <w:bCs/>
                <w:color w:val="FF0000"/>
                <w:sz w:val="21"/>
                <w:szCs w:val="21"/>
                <w:highlight w:val="none"/>
                <w:lang w:val="en-US" w:eastAsia="zh-CN"/>
              </w:rPr>
              <w:t>位于</w:t>
            </w:r>
            <w:r>
              <w:rPr>
                <w:rFonts w:hint="default" w:ascii="Times New Roman" w:hAnsi="Times New Roman" w:eastAsia="宋体" w:cs="Times New Roman"/>
                <w:bCs/>
                <w:color w:val="FF0000"/>
                <w:sz w:val="21"/>
                <w:szCs w:val="21"/>
                <w:highlight w:val="none"/>
              </w:rPr>
              <w:t>全封闭TMR</w:t>
            </w:r>
            <w:r>
              <w:rPr>
                <w:rFonts w:hint="default" w:ascii="Times New Roman" w:hAnsi="Times New Roman" w:eastAsia="宋体" w:cs="Times New Roman"/>
                <w:bCs/>
                <w:color w:val="FF0000"/>
                <w:sz w:val="21"/>
                <w:szCs w:val="21"/>
                <w:highlight w:val="none"/>
                <w:lang w:eastAsia="zh-CN"/>
              </w:rPr>
              <w:t>车间</w:t>
            </w:r>
            <w:r>
              <w:rPr>
                <w:rFonts w:hint="default" w:ascii="Times New Roman" w:hAnsi="Times New Roman" w:eastAsia="宋体" w:cs="Times New Roman"/>
                <w:bCs/>
                <w:color w:val="FF0000"/>
                <w:sz w:val="21"/>
                <w:szCs w:val="21"/>
                <w:highlight w:val="none"/>
                <w:lang w:val="en-US" w:eastAsia="zh-CN"/>
              </w:rPr>
              <w:t>内</w:t>
            </w:r>
            <w:r>
              <w:rPr>
                <w:rFonts w:hint="default" w:ascii="Times New Roman" w:hAnsi="Times New Roman" w:eastAsia="宋体" w:cs="Times New Roman"/>
                <w:bCs/>
                <w:color w:val="FF0000"/>
                <w:sz w:val="21"/>
                <w:szCs w:val="21"/>
                <w:highlight w:val="none"/>
              </w:rPr>
              <w:t>，</w:t>
            </w:r>
            <w:r>
              <w:rPr>
                <w:rFonts w:hint="default" w:ascii="Times New Roman" w:hAnsi="Times New Roman" w:eastAsia="宋体" w:cs="Times New Roman"/>
                <w:bCs/>
                <w:color w:val="FF0000"/>
                <w:sz w:val="21"/>
                <w:szCs w:val="21"/>
                <w:highlight w:val="none"/>
                <w:lang w:eastAsia="zh-CN"/>
              </w:rPr>
              <w:t>外购已破碎的干草</w:t>
            </w:r>
            <w:r>
              <w:rPr>
                <w:rFonts w:hint="default" w:ascii="Times New Roman" w:hAnsi="Times New Roman" w:eastAsia="宋体" w:cs="Times New Roman"/>
                <w:bCs/>
                <w:color w:val="FF0000"/>
                <w:sz w:val="21"/>
                <w:szCs w:val="21"/>
                <w:highlight w:val="none"/>
              </w:rPr>
              <w:t>、</w:t>
            </w:r>
            <w:r>
              <w:rPr>
                <w:rFonts w:hint="default" w:ascii="Times New Roman" w:hAnsi="Times New Roman" w:eastAsia="宋体" w:cs="Times New Roman"/>
                <w:bCs/>
                <w:color w:val="FF0000"/>
                <w:sz w:val="21"/>
                <w:szCs w:val="21"/>
                <w:highlight w:val="none"/>
                <w:lang w:eastAsia="zh-CN"/>
              </w:rPr>
              <w:t>饲料、青贮</w:t>
            </w:r>
            <w:r>
              <w:rPr>
                <w:rFonts w:hint="default" w:ascii="Times New Roman" w:hAnsi="Times New Roman" w:eastAsia="宋体" w:cs="Times New Roman"/>
                <w:bCs/>
                <w:color w:val="FF0000"/>
                <w:sz w:val="21"/>
                <w:szCs w:val="21"/>
                <w:highlight w:val="none"/>
              </w:rPr>
              <w:t>等原料，</w:t>
            </w:r>
            <w:r>
              <w:rPr>
                <w:rFonts w:hint="default" w:ascii="Times New Roman" w:hAnsi="Times New Roman" w:eastAsia="宋体" w:cs="Times New Roman"/>
                <w:bCs/>
                <w:color w:val="FF0000"/>
                <w:sz w:val="21"/>
                <w:szCs w:val="21"/>
                <w:highlight w:val="none"/>
                <w:lang w:eastAsia="zh-CN"/>
              </w:rPr>
              <w:t>破碎和</w:t>
            </w:r>
            <w:r>
              <w:rPr>
                <w:rFonts w:hint="default" w:ascii="Times New Roman" w:hAnsi="Times New Roman" w:eastAsia="宋体" w:cs="Times New Roman"/>
                <w:bCs/>
                <w:color w:val="FF0000"/>
                <w:sz w:val="21"/>
                <w:szCs w:val="21"/>
                <w:highlight w:val="none"/>
              </w:rPr>
              <w:t>搅拌的过程</w:t>
            </w:r>
            <w:r>
              <w:rPr>
                <w:rFonts w:hint="default" w:ascii="Times New Roman" w:hAnsi="Times New Roman" w:eastAsia="宋体" w:cs="Times New Roman"/>
                <w:bCs/>
                <w:color w:val="FF0000"/>
                <w:sz w:val="21"/>
                <w:szCs w:val="21"/>
                <w:highlight w:val="none"/>
                <w:lang w:val="en-US" w:eastAsia="zh-CN"/>
              </w:rPr>
              <w:t>加入定量水，</w:t>
            </w:r>
            <w:r>
              <w:rPr>
                <w:rFonts w:hint="default" w:ascii="Times New Roman" w:hAnsi="Times New Roman" w:eastAsia="宋体" w:cs="Times New Roman"/>
                <w:bCs/>
                <w:color w:val="FF0000"/>
                <w:sz w:val="21"/>
                <w:szCs w:val="21"/>
                <w:highlight w:val="none"/>
                <w:lang w:eastAsia="zh-CN"/>
              </w:rPr>
              <w:t>破碎和</w:t>
            </w:r>
            <w:r>
              <w:rPr>
                <w:rFonts w:hint="default" w:ascii="Times New Roman" w:hAnsi="Times New Roman" w:eastAsia="宋体" w:cs="Times New Roman"/>
                <w:bCs/>
                <w:color w:val="FF0000"/>
                <w:sz w:val="21"/>
                <w:szCs w:val="21"/>
                <w:highlight w:val="none"/>
                <w:lang w:val="en-US" w:eastAsia="zh-CN"/>
              </w:rPr>
              <w:t>搅拌</w:t>
            </w:r>
            <w:r>
              <w:rPr>
                <w:rFonts w:hint="default" w:ascii="Times New Roman" w:hAnsi="Times New Roman" w:eastAsia="宋体" w:cs="Times New Roman"/>
                <w:bCs/>
                <w:color w:val="FF0000"/>
                <w:sz w:val="21"/>
                <w:szCs w:val="21"/>
                <w:highlight w:val="none"/>
              </w:rPr>
              <w:t>过程中产生的颗粒物在封闭车间内沉降</w:t>
            </w:r>
            <w:r>
              <w:rPr>
                <w:rFonts w:hint="default" w:ascii="Times New Roman" w:hAnsi="Times New Roman" w:eastAsia="宋体" w:cs="Times New Roman"/>
                <w:color w:val="FF0000"/>
                <w:sz w:val="21"/>
                <w:szCs w:val="21"/>
                <w:highlight w:val="none"/>
              </w:rPr>
              <w:t>。</w:t>
            </w:r>
          </w:p>
        </w:tc>
      </w:tr>
      <w:tr w14:paraId="0A2431C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78A960D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993" w:type="dxa"/>
            <w:vMerge w:val="restart"/>
            <w:tcBorders>
              <w:top w:val="single" w:color="auto" w:sz="4" w:space="0"/>
              <w:left w:val="single" w:color="auto" w:sz="4" w:space="0"/>
              <w:right w:val="single" w:color="auto" w:sz="4" w:space="0"/>
            </w:tcBorders>
            <w:vAlign w:val="center"/>
          </w:tcPr>
          <w:p w14:paraId="6EDB3E3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废水</w:t>
            </w:r>
          </w:p>
        </w:tc>
        <w:tc>
          <w:tcPr>
            <w:tcW w:w="993" w:type="dxa"/>
            <w:tcBorders>
              <w:top w:val="single" w:color="auto" w:sz="4" w:space="0"/>
              <w:left w:val="single" w:color="auto" w:sz="4" w:space="0"/>
              <w:bottom w:val="single" w:color="auto" w:sz="4" w:space="0"/>
              <w:right w:val="single" w:color="auto" w:sz="4" w:space="0"/>
            </w:tcBorders>
            <w:vAlign w:val="center"/>
          </w:tcPr>
          <w:p w14:paraId="1E0C895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eastAsia="zh-CN"/>
              </w:rPr>
              <w:t>生活污水</w:t>
            </w:r>
          </w:p>
        </w:tc>
        <w:tc>
          <w:tcPr>
            <w:tcW w:w="5298" w:type="dxa"/>
            <w:tcBorders>
              <w:top w:val="single" w:color="auto" w:sz="4" w:space="0"/>
              <w:left w:val="single" w:color="auto" w:sz="4" w:space="0"/>
              <w:bottom w:val="single" w:color="auto" w:sz="4" w:space="0"/>
              <w:right w:val="single" w:color="auto" w:sz="4" w:space="0"/>
            </w:tcBorders>
            <w:vAlign w:val="center"/>
          </w:tcPr>
          <w:p w14:paraId="32ED0BD2">
            <w:pPr>
              <w:keepNext w:val="0"/>
              <w:keepLines w:val="0"/>
              <w:pageBreakBefore w:val="0"/>
              <w:kinsoku/>
              <w:wordWrap/>
              <w:overflowPunct/>
              <w:autoSpaceDN/>
              <w:bidi w:val="0"/>
              <w:adjustRightInd/>
              <w:snapToGrid w:val="0"/>
              <w:spacing w:line="240" w:lineRule="auto"/>
              <w:ind w:left="0" w:leftChars="0" w:right="0" w:rightChars="0"/>
              <w:jc w:val="both"/>
              <w:rPr>
                <w:rFonts w:hint="default" w:ascii="Times New Roman" w:hAnsi="Times New Roman" w:eastAsia="宋体" w:cs="Times New Roman"/>
                <w:bCs/>
                <w:color w:val="FF0000"/>
                <w:sz w:val="21"/>
                <w:szCs w:val="21"/>
                <w:highlight w:val="none"/>
                <w:lang w:eastAsia="zh-CN"/>
              </w:rPr>
            </w:pPr>
            <w:r>
              <w:rPr>
                <w:rFonts w:hint="default" w:ascii="Times New Roman" w:hAnsi="Times New Roman" w:eastAsia="宋体" w:cs="Times New Roman"/>
                <w:color w:val="FF0000"/>
                <w:sz w:val="21"/>
                <w:szCs w:val="21"/>
                <w:highlight w:val="none"/>
              </w:rPr>
              <w:t>生活污水</w:t>
            </w:r>
            <w:r>
              <w:rPr>
                <w:rFonts w:hint="default" w:ascii="Times New Roman" w:hAnsi="Times New Roman" w:eastAsia="宋体" w:cs="Times New Roman"/>
                <w:color w:val="FF0000"/>
                <w:sz w:val="21"/>
                <w:szCs w:val="21"/>
                <w:highlight w:val="none"/>
                <w:lang w:eastAsia="zh-CN"/>
              </w:rPr>
              <w:t>经化粪池处理</w:t>
            </w:r>
            <w:r>
              <w:rPr>
                <w:rFonts w:hint="default" w:ascii="Times New Roman" w:hAnsi="Times New Roman" w:eastAsia="宋体" w:cs="Times New Roman"/>
                <w:color w:val="FF0000"/>
                <w:sz w:val="21"/>
                <w:szCs w:val="21"/>
                <w:highlight w:val="none"/>
              </w:rPr>
              <w:t>后，</w:t>
            </w:r>
            <w:r>
              <w:rPr>
                <w:rFonts w:hint="default" w:ascii="Times New Roman" w:hAnsi="Times New Roman" w:eastAsia="宋体" w:cs="Times New Roman"/>
                <w:color w:val="FF0000"/>
                <w:sz w:val="21"/>
                <w:szCs w:val="21"/>
                <w:highlight w:val="none"/>
                <w:lang w:eastAsia="zh-CN"/>
              </w:rPr>
              <w:t>定期由当地环卫部门清运处置</w:t>
            </w:r>
            <w:r>
              <w:rPr>
                <w:rFonts w:hint="default" w:ascii="Times New Roman" w:hAnsi="Times New Roman" w:eastAsia="宋体" w:cs="Times New Roman"/>
                <w:color w:val="FF0000"/>
                <w:sz w:val="21"/>
                <w:szCs w:val="21"/>
                <w:highlight w:val="none"/>
                <w:lang w:eastAsia="zh-CN"/>
              </w:rPr>
              <w:t>；</w:t>
            </w:r>
          </w:p>
        </w:tc>
      </w:tr>
      <w:tr w14:paraId="534F51E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2874D69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993" w:type="dxa"/>
            <w:vMerge w:val="continue"/>
            <w:tcBorders>
              <w:left w:val="single" w:color="auto" w:sz="4" w:space="0"/>
              <w:right w:val="single" w:color="auto" w:sz="4" w:space="0"/>
            </w:tcBorders>
            <w:vAlign w:val="center"/>
          </w:tcPr>
          <w:p w14:paraId="6FE9A65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p>
        </w:tc>
        <w:tc>
          <w:tcPr>
            <w:tcW w:w="993" w:type="dxa"/>
            <w:tcBorders>
              <w:top w:val="single" w:color="auto" w:sz="4" w:space="0"/>
              <w:left w:val="single" w:color="auto" w:sz="4" w:space="0"/>
              <w:bottom w:val="single" w:color="auto" w:sz="4" w:space="0"/>
              <w:right w:val="single" w:color="auto" w:sz="4" w:space="0"/>
            </w:tcBorders>
            <w:vAlign w:val="center"/>
          </w:tcPr>
          <w:p w14:paraId="6F8E6F8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牛尿液</w:t>
            </w:r>
          </w:p>
        </w:tc>
        <w:tc>
          <w:tcPr>
            <w:tcW w:w="5298" w:type="dxa"/>
            <w:tcBorders>
              <w:top w:val="single" w:color="auto" w:sz="4" w:space="0"/>
              <w:left w:val="single" w:color="auto" w:sz="4" w:space="0"/>
              <w:bottom w:val="single" w:color="auto" w:sz="4" w:space="0"/>
              <w:right w:val="single" w:color="auto" w:sz="4" w:space="0"/>
            </w:tcBorders>
            <w:vAlign w:val="center"/>
          </w:tcPr>
          <w:p w14:paraId="07B9087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bCs/>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肉牛饲养过程中饮用水量较少，排放的尿液较少，并且牛粪较为干燥，在养殖区（牛舍、运动场）排放的尿液大部分由于当地气候干燥蒸发，剩余尿液与粪便完全黏结混合在一起，一起运往粪污处理池储存并堆肥，因此，没有尿液排放。</w:t>
            </w:r>
          </w:p>
        </w:tc>
      </w:tr>
      <w:tr w14:paraId="594A4E2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3966659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993" w:type="dxa"/>
            <w:vMerge w:val="continue"/>
            <w:tcBorders>
              <w:left w:val="single" w:color="auto" w:sz="4" w:space="0"/>
              <w:right w:val="single" w:color="auto" w:sz="4" w:space="0"/>
            </w:tcBorders>
            <w:vAlign w:val="center"/>
          </w:tcPr>
          <w:p w14:paraId="1DAF0FC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p>
        </w:tc>
        <w:tc>
          <w:tcPr>
            <w:tcW w:w="993" w:type="dxa"/>
            <w:tcBorders>
              <w:top w:val="single" w:color="auto" w:sz="4" w:space="0"/>
              <w:left w:val="single" w:color="auto" w:sz="4" w:space="0"/>
              <w:bottom w:val="single" w:color="auto" w:sz="4" w:space="0"/>
              <w:right w:val="single" w:color="auto" w:sz="4" w:space="0"/>
            </w:tcBorders>
            <w:vAlign w:val="center"/>
          </w:tcPr>
          <w:p w14:paraId="41DC995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运动场雨水</w:t>
            </w:r>
          </w:p>
        </w:tc>
        <w:tc>
          <w:tcPr>
            <w:tcW w:w="5298" w:type="dxa"/>
            <w:tcBorders>
              <w:top w:val="single" w:color="auto" w:sz="4" w:space="0"/>
              <w:left w:val="single" w:color="auto" w:sz="4" w:space="0"/>
              <w:bottom w:val="single" w:color="auto" w:sz="4" w:space="0"/>
              <w:right w:val="single" w:color="auto" w:sz="4" w:space="0"/>
            </w:tcBorders>
            <w:vAlign w:val="center"/>
          </w:tcPr>
          <w:p w14:paraId="4209805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bCs/>
                <w:color w:val="FF0000"/>
                <w:sz w:val="21"/>
                <w:szCs w:val="21"/>
                <w:highlight w:val="none"/>
                <w:lang w:eastAsia="zh-CN"/>
              </w:rPr>
            </w:pPr>
            <w:r>
              <w:rPr>
                <w:rFonts w:hint="default" w:ascii="Times New Roman" w:hAnsi="Times New Roman" w:eastAsia="宋体" w:cs="Times New Roman"/>
                <w:bCs/>
                <w:color w:val="FF0000"/>
                <w:sz w:val="21"/>
                <w:szCs w:val="21"/>
                <w:highlight w:val="none"/>
                <w:lang w:eastAsia="zh-CN"/>
              </w:rPr>
              <w:t>运动场四周设有挡水坡道以及雨水导流渠，运动场雨水</w:t>
            </w:r>
            <w:r>
              <w:rPr>
                <w:rFonts w:hint="default" w:ascii="Times New Roman" w:hAnsi="Times New Roman" w:eastAsia="宋体" w:cs="Times New Roman"/>
                <w:color w:val="FF0000"/>
                <w:sz w:val="21"/>
                <w:szCs w:val="21"/>
                <w:highlight w:val="none"/>
                <w:lang w:eastAsia="zh-CN"/>
              </w:rPr>
              <w:t>与</w:t>
            </w:r>
            <w:r>
              <w:rPr>
                <w:rFonts w:hint="default" w:ascii="Times New Roman" w:hAnsi="Times New Roman" w:eastAsia="宋体" w:cs="Times New Roman"/>
                <w:color w:val="FF0000"/>
                <w:sz w:val="21"/>
                <w:szCs w:val="21"/>
                <w:highlight w:val="none"/>
                <w:lang w:val="en-US" w:eastAsia="zh-CN"/>
              </w:rPr>
              <w:t>牛</w:t>
            </w:r>
            <w:r>
              <w:rPr>
                <w:rFonts w:hint="default" w:ascii="Times New Roman" w:hAnsi="Times New Roman" w:eastAsia="宋体" w:cs="Times New Roman"/>
                <w:color w:val="FF0000"/>
                <w:sz w:val="21"/>
                <w:szCs w:val="21"/>
                <w:highlight w:val="none"/>
                <w:lang w:eastAsia="zh-CN"/>
              </w:rPr>
              <w:t>粪便完全黏结混合在一起，一起运往粪污处理池储存并堆肥，因此，没有运动场雨水排放。</w:t>
            </w:r>
          </w:p>
        </w:tc>
      </w:tr>
      <w:tr w14:paraId="611EEAB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66B75BA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993" w:type="dxa"/>
            <w:vMerge w:val="continue"/>
            <w:tcBorders>
              <w:left w:val="single" w:color="auto" w:sz="4" w:space="0"/>
              <w:bottom w:val="single" w:color="auto" w:sz="4" w:space="0"/>
              <w:right w:val="single" w:color="auto" w:sz="4" w:space="0"/>
            </w:tcBorders>
            <w:vAlign w:val="center"/>
          </w:tcPr>
          <w:p w14:paraId="06C5F4E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p>
        </w:tc>
        <w:tc>
          <w:tcPr>
            <w:tcW w:w="993" w:type="dxa"/>
            <w:tcBorders>
              <w:top w:val="single" w:color="auto" w:sz="4" w:space="0"/>
              <w:left w:val="single" w:color="auto" w:sz="4" w:space="0"/>
              <w:bottom w:val="single" w:color="auto" w:sz="4" w:space="0"/>
              <w:right w:val="single" w:color="auto" w:sz="4" w:space="0"/>
            </w:tcBorders>
            <w:vAlign w:val="center"/>
          </w:tcPr>
          <w:p w14:paraId="3C4A8AE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0000FF"/>
                <w:sz w:val="21"/>
                <w:szCs w:val="21"/>
                <w:highlight w:val="none"/>
                <w:lang w:eastAsia="zh-CN"/>
              </w:rPr>
              <w:t>锅炉排污水、软水制备废水</w:t>
            </w:r>
          </w:p>
        </w:tc>
        <w:tc>
          <w:tcPr>
            <w:tcW w:w="5298" w:type="dxa"/>
            <w:tcBorders>
              <w:top w:val="single" w:color="auto" w:sz="4" w:space="0"/>
              <w:left w:val="single" w:color="auto" w:sz="4" w:space="0"/>
              <w:bottom w:val="single" w:color="auto" w:sz="4" w:space="0"/>
              <w:right w:val="single" w:color="auto" w:sz="4" w:space="0"/>
            </w:tcBorders>
            <w:vAlign w:val="center"/>
          </w:tcPr>
          <w:p w14:paraId="7103254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bCs/>
                <w:color w:val="FF0000"/>
                <w:sz w:val="21"/>
                <w:szCs w:val="21"/>
                <w:highlight w:val="none"/>
                <w:lang w:eastAsia="zh-CN"/>
              </w:rPr>
            </w:pPr>
            <w:r>
              <w:rPr>
                <w:rFonts w:hint="default" w:ascii="Times New Roman" w:hAnsi="Times New Roman" w:eastAsia="宋体" w:cs="Times New Roman"/>
                <w:color w:val="0000FF"/>
                <w:sz w:val="21"/>
                <w:szCs w:val="21"/>
                <w:highlight w:val="none"/>
                <w:lang w:eastAsia="zh-CN"/>
              </w:rPr>
              <w:t>锅炉排污水、软水制备废水用于厂区洒水抑尘</w:t>
            </w:r>
            <w:r>
              <w:rPr>
                <w:rFonts w:hint="default" w:ascii="Times New Roman" w:hAnsi="Times New Roman" w:eastAsia="宋体" w:cs="Times New Roman"/>
                <w:color w:val="0000FF"/>
                <w:sz w:val="21"/>
                <w:szCs w:val="21"/>
                <w:highlight w:val="none"/>
              </w:rPr>
              <w:t>。</w:t>
            </w:r>
          </w:p>
        </w:tc>
      </w:tr>
      <w:tr w14:paraId="5762CD2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2C7283A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993" w:type="dxa"/>
            <w:vMerge w:val="restart"/>
            <w:tcBorders>
              <w:top w:val="single" w:color="auto" w:sz="4" w:space="0"/>
              <w:left w:val="single" w:color="auto" w:sz="4" w:space="0"/>
              <w:bottom w:val="single" w:color="auto" w:sz="4" w:space="0"/>
              <w:right w:val="single" w:color="auto" w:sz="4" w:space="0"/>
            </w:tcBorders>
            <w:vAlign w:val="center"/>
          </w:tcPr>
          <w:p w14:paraId="3243FAA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固体废物</w:t>
            </w:r>
          </w:p>
        </w:tc>
        <w:tc>
          <w:tcPr>
            <w:tcW w:w="993" w:type="dxa"/>
            <w:tcBorders>
              <w:top w:val="single" w:color="auto" w:sz="4" w:space="0"/>
              <w:left w:val="single" w:color="auto" w:sz="4" w:space="0"/>
              <w:bottom w:val="single" w:color="auto" w:sz="4" w:space="0"/>
              <w:right w:val="single" w:color="auto" w:sz="4" w:space="0"/>
            </w:tcBorders>
            <w:vAlign w:val="center"/>
          </w:tcPr>
          <w:p w14:paraId="4C45D48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eastAsia="zh-CN"/>
              </w:rPr>
              <w:t>牛粪便</w:t>
            </w:r>
          </w:p>
        </w:tc>
        <w:tc>
          <w:tcPr>
            <w:tcW w:w="5298" w:type="dxa"/>
            <w:tcBorders>
              <w:top w:val="single" w:color="auto" w:sz="4" w:space="0"/>
              <w:left w:val="single" w:color="auto" w:sz="4" w:space="0"/>
              <w:bottom w:val="single" w:color="auto" w:sz="4" w:space="0"/>
              <w:right w:val="single" w:color="auto" w:sz="4" w:space="0"/>
            </w:tcBorders>
            <w:vAlign w:val="center"/>
          </w:tcPr>
          <w:p w14:paraId="74696A7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val="en-US" w:eastAsia="zh-CN"/>
              </w:rPr>
              <w:t>本项目</w:t>
            </w:r>
            <w:r>
              <w:rPr>
                <w:rFonts w:hint="default" w:ascii="Times New Roman" w:hAnsi="Times New Roman" w:eastAsia="宋体" w:cs="Times New Roman"/>
                <w:color w:val="FF0000"/>
                <w:kern w:val="0"/>
                <w:sz w:val="21"/>
                <w:szCs w:val="21"/>
                <w:highlight w:val="none"/>
              </w:rPr>
              <w:t>清粪方式</w:t>
            </w:r>
            <w:r>
              <w:rPr>
                <w:rFonts w:hint="default" w:ascii="Times New Roman" w:hAnsi="Times New Roman" w:eastAsia="宋体" w:cs="Times New Roman"/>
                <w:color w:val="FF0000"/>
                <w:sz w:val="21"/>
                <w:szCs w:val="21"/>
                <w:highlight w:val="none"/>
                <w:lang w:val="en-US" w:eastAsia="zh-CN"/>
              </w:rPr>
              <w:t>采用</w:t>
            </w:r>
            <w:r>
              <w:rPr>
                <w:rFonts w:hint="default" w:ascii="Times New Roman" w:hAnsi="Times New Roman" w:eastAsia="宋体" w:cs="Times New Roman"/>
                <w:color w:val="FF0000"/>
                <w:sz w:val="21"/>
                <w:szCs w:val="21"/>
                <w:highlight w:val="none"/>
              </w:rPr>
              <w:t>干清粪工艺</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rPr>
              <w:t>日产日清</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lang w:val="en-US" w:eastAsia="zh-CN"/>
              </w:rPr>
              <w:t>采用</w:t>
            </w:r>
            <w:r>
              <w:rPr>
                <w:rFonts w:hint="default" w:ascii="Times New Roman" w:hAnsi="Times New Roman" w:eastAsia="宋体" w:cs="Times New Roman"/>
                <w:color w:val="FF0000"/>
                <w:kern w:val="0"/>
                <w:sz w:val="21"/>
                <w:szCs w:val="21"/>
                <w:highlight w:val="none"/>
                <w:lang w:val="en-US" w:eastAsia="zh-CN"/>
              </w:rPr>
              <w:t>清粪车将牛舍内粪污铲出，后由清粪车运至</w:t>
            </w:r>
            <w:r>
              <w:rPr>
                <w:rFonts w:hint="default" w:ascii="Times New Roman" w:hAnsi="Times New Roman" w:eastAsia="宋体" w:cs="Times New Roman"/>
                <w:color w:val="FF0000"/>
                <w:kern w:val="0"/>
                <w:sz w:val="21"/>
                <w:szCs w:val="21"/>
                <w:highlight w:val="none"/>
                <w:lang w:val="en-US" w:eastAsia="zh-CN"/>
              </w:rPr>
              <w:t>粪污处理池储存并堆肥，作为有机肥还田利用</w:t>
            </w:r>
            <w:r>
              <w:rPr>
                <w:rFonts w:hint="default" w:ascii="Times New Roman" w:hAnsi="Times New Roman" w:eastAsia="宋体" w:cs="Times New Roman"/>
                <w:color w:val="FF0000"/>
                <w:kern w:val="0"/>
                <w:sz w:val="21"/>
                <w:szCs w:val="21"/>
                <w:highlight w:val="none"/>
                <w:lang w:val="en-US" w:eastAsia="zh-CN"/>
              </w:rPr>
              <w:t>。</w:t>
            </w:r>
          </w:p>
        </w:tc>
      </w:tr>
      <w:tr w14:paraId="703565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408300C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993" w:type="dxa"/>
            <w:vMerge w:val="continue"/>
            <w:tcBorders>
              <w:left w:val="single" w:color="auto" w:sz="4" w:space="0"/>
              <w:right w:val="single" w:color="auto" w:sz="4" w:space="0"/>
            </w:tcBorders>
            <w:vAlign w:val="center"/>
          </w:tcPr>
          <w:p w14:paraId="703ABDF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p>
        </w:tc>
        <w:tc>
          <w:tcPr>
            <w:tcW w:w="993" w:type="dxa"/>
            <w:tcBorders>
              <w:top w:val="single" w:color="auto" w:sz="4" w:space="0"/>
              <w:left w:val="single" w:color="auto" w:sz="4" w:space="0"/>
              <w:bottom w:val="single" w:color="auto" w:sz="4" w:space="0"/>
              <w:right w:val="single" w:color="auto" w:sz="4" w:space="0"/>
            </w:tcBorders>
            <w:vAlign w:val="center"/>
          </w:tcPr>
          <w:p w14:paraId="6D785A3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0000FF"/>
                <w:sz w:val="21"/>
                <w:szCs w:val="21"/>
                <w:highlight w:val="none"/>
                <w:lang w:eastAsia="zh-CN"/>
              </w:rPr>
            </w:pPr>
            <w:r>
              <w:rPr>
                <w:rFonts w:hint="default" w:ascii="Times New Roman" w:hAnsi="Times New Roman" w:eastAsia="宋体" w:cs="Times New Roman"/>
                <w:color w:val="0000FF"/>
                <w:sz w:val="21"/>
                <w:szCs w:val="21"/>
                <w:highlight w:val="none"/>
              </w:rPr>
              <w:t>垫</w:t>
            </w:r>
            <w:r>
              <w:rPr>
                <w:rFonts w:hint="default" w:ascii="Times New Roman" w:hAnsi="Times New Roman" w:eastAsia="宋体" w:cs="Times New Roman"/>
                <w:color w:val="0000FF"/>
                <w:sz w:val="21"/>
                <w:szCs w:val="21"/>
                <w:highlight w:val="none"/>
                <w:lang w:val="en-US" w:eastAsia="zh-CN"/>
              </w:rPr>
              <w:t>料</w:t>
            </w:r>
          </w:p>
        </w:tc>
        <w:tc>
          <w:tcPr>
            <w:tcW w:w="5298" w:type="dxa"/>
            <w:tcBorders>
              <w:top w:val="single" w:color="auto" w:sz="4" w:space="0"/>
              <w:left w:val="single" w:color="auto" w:sz="4" w:space="0"/>
              <w:bottom w:val="single" w:color="auto" w:sz="4" w:space="0"/>
              <w:right w:val="single" w:color="auto" w:sz="4" w:space="0"/>
            </w:tcBorders>
            <w:vAlign w:val="center"/>
          </w:tcPr>
          <w:p w14:paraId="52F6847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rPr>
              <w:t>采用清粪车将垫</w:t>
            </w:r>
            <w:r>
              <w:rPr>
                <w:rFonts w:hint="default" w:ascii="Times New Roman" w:hAnsi="Times New Roman" w:eastAsia="宋体" w:cs="Times New Roman"/>
                <w:color w:val="0000FF"/>
                <w:sz w:val="21"/>
                <w:szCs w:val="21"/>
                <w:highlight w:val="none"/>
                <w:lang w:val="en-US" w:eastAsia="zh-CN"/>
              </w:rPr>
              <w:t>料</w:t>
            </w:r>
            <w:r>
              <w:rPr>
                <w:rFonts w:hint="default" w:ascii="Times New Roman" w:hAnsi="Times New Roman" w:eastAsia="宋体" w:cs="Times New Roman"/>
                <w:color w:val="0000FF"/>
                <w:sz w:val="21"/>
                <w:szCs w:val="21"/>
                <w:highlight w:val="none"/>
              </w:rPr>
              <w:t>转运至</w:t>
            </w:r>
            <w:r>
              <w:rPr>
                <w:rFonts w:hint="default" w:ascii="Times New Roman" w:hAnsi="Times New Roman" w:eastAsia="宋体" w:cs="Times New Roman"/>
                <w:color w:val="0000FF"/>
                <w:sz w:val="21"/>
                <w:szCs w:val="21"/>
                <w:highlight w:val="none"/>
                <w:lang w:eastAsia="zh-CN"/>
              </w:rPr>
              <w:t>粪污处理池</w:t>
            </w:r>
            <w:r>
              <w:rPr>
                <w:rFonts w:hint="default" w:ascii="Times New Roman" w:hAnsi="Times New Roman" w:eastAsia="宋体" w:cs="Times New Roman"/>
                <w:color w:val="0000FF"/>
                <w:sz w:val="21"/>
                <w:szCs w:val="21"/>
                <w:highlight w:val="none"/>
                <w:lang w:val="en-US" w:eastAsia="zh-CN"/>
              </w:rPr>
              <w:t>与</w:t>
            </w:r>
            <w:r>
              <w:rPr>
                <w:rFonts w:hint="default" w:ascii="Times New Roman" w:hAnsi="Times New Roman" w:eastAsia="宋体" w:cs="Times New Roman"/>
                <w:color w:val="0000FF"/>
                <w:sz w:val="21"/>
                <w:szCs w:val="21"/>
                <w:highlight w:val="none"/>
                <w:lang w:eastAsia="zh-CN"/>
              </w:rPr>
              <w:t>牛粪便</w:t>
            </w:r>
            <w:r>
              <w:rPr>
                <w:rFonts w:hint="default" w:ascii="Times New Roman" w:hAnsi="Times New Roman" w:eastAsia="宋体" w:cs="Times New Roman"/>
                <w:color w:val="0000FF"/>
                <w:sz w:val="21"/>
                <w:szCs w:val="21"/>
                <w:highlight w:val="none"/>
                <w:lang w:val="en-US" w:eastAsia="zh-CN"/>
              </w:rPr>
              <w:t>一同发酵</w:t>
            </w:r>
            <w:r>
              <w:rPr>
                <w:rFonts w:hint="default" w:ascii="Times New Roman" w:hAnsi="Times New Roman" w:eastAsia="宋体" w:cs="Times New Roman"/>
                <w:color w:val="0000FF"/>
                <w:sz w:val="21"/>
                <w:szCs w:val="21"/>
                <w:highlight w:val="none"/>
                <w:lang w:eastAsia="zh-CN"/>
              </w:rPr>
              <w:t>，形成</w:t>
            </w:r>
            <w:r>
              <w:rPr>
                <w:rFonts w:hint="default" w:ascii="Times New Roman" w:hAnsi="Times New Roman" w:eastAsia="宋体" w:cs="Times New Roman"/>
                <w:color w:val="0000FF"/>
                <w:sz w:val="21"/>
                <w:szCs w:val="21"/>
                <w:highlight w:val="none"/>
              </w:rPr>
              <w:t>有机肥</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用于周边农田还田利用</w:t>
            </w:r>
            <w:r>
              <w:rPr>
                <w:rFonts w:hint="default" w:ascii="Times New Roman" w:hAnsi="Times New Roman" w:eastAsia="宋体" w:cs="Times New Roman"/>
                <w:color w:val="0000FF"/>
                <w:sz w:val="21"/>
                <w:szCs w:val="21"/>
                <w:highlight w:val="none"/>
                <w:lang w:eastAsia="zh-CN"/>
              </w:rPr>
              <w:t>。</w:t>
            </w:r>
          </w:p>
        </w:tc>
      </w:tr>
      <w:tr w14:paraId="15343E1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2A8CE88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993" w:type="dxa"/>
            <w:vMerge w:val="continue"/>
            <w:tcBorders>
              <w:top w:val="single" w:color="auto" w:sz="4" w:space="0"/>
              <w:left w:val="single" w:color="auto" w:sz="4" w:space="0"/>
              <w:bottom w:val="single" w:color="auto" w:sz="4" w:space="0"/>
              <w:right w:val="single" w:color="auto" w:sz="4" w:space="0"/>
            </w:tcBorders>
            <w:vAlign w:val="center"/>
          </w:tcPr>
          <w:p w14:paraId="7ED19A4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p>
        </w:tc>
        <w:tc>
          <w:tcPr>
            <w:tcW w:w="993" w:type="dxa"/>
            <w:tcBorders>
              <w:top w:val="single" w:color="auto" w:sz="4" w:space="0"/>
              <w:left w:val="single" w:color="auto" w:sz="4" w:space="0"/>
              <w:bottom w:val="single" w:color="auto" w:sz="4" w:space="0"/>
              <w:right w:val="single" w:color="auto" w:sz="4" w:space="0"/>
            </w:tcBorders>
            <w:vAlign w:val="center"/>
          </w:tcPr>
          <w:p w14:paraId="569207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kern w:val="0"/>
                <w:sz w:val="21"/>
                <w:szCs w:val="21"/>
                <w:highlight w:val="none"/>
                <w:lang w:eastAsia="zh-CN"/>
              </w:rPr>
            </w:pPr>
            <w:r>
              <w:rPr>
                <w:rFonts w:hint="default" w:ascii="Times New Roman" w:hAnsi="Times New Roman" w:eastAsia="宋体" w:cs="Times New Roman"/>
                <w:color w:val="FF0000"/>
                <w:sz w:val="21"/>
                <w:szCs w:val="21"/>
                <w:highlight w:val="none"/>
                <w:lang w:eastAsia="zh-CN"/>
              </w:rPr>
              <w:t>病死牛</w:t>
            </w:r>
          </w:p>
        </w:tc>
        <w:tc>
          <w:tcPr>
            <w:tcW w:w="5298" w:type="dxa"/>
            <w:tcBorders>
              <w:top w:val="single" w:color="auto" w:sz="4" w:space="0"/>
              <w:left w:val="single" w:color="auto" w:sz="4" w:space="0"/>
              <w:bottom w:val="single" w:color="auto" w:sz="4" w:space="0"/>
              <w:right w:val="single" w:color="auto" w:sz="4" w:space="0"/>
            </w:tcBorders>
            <w:vAlign w:val="center"/>
          </w:tcPr>
          <w:p w14:paraId="7619B27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eastAsia="zh-CN"/>
              </w:rPr>
              <w:t>病死牛暂存于</w:t>
            </w:r>
            <w:r>
              <w:rPr>
                <w:rFonts w:hint="default" w:ascii="Times New Roman" w:hAnsi="Times New Roman" w:eastAsia="宋体" w:cs="Times New Roman"/>
                <w:color w:val="FF0000"/>
                <w:kern w:val="2"/>
                <w:sz w:val="21"/>
                <w:szCs w:val="21"/>
                <w:highlight w:val="none"/>
                <w:lang w:val="en-US" w:eastAsia="zh-CN" w:bidi="ar-SA"/>
              </w:rPr>
              <w:t>冷藏间</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rPr>
              <w:t>交由巴彦淖尔市绿之源生物技术发展有限公司进行无害化处理。</w:t>
            </w:r>
          </w:p>
        </w:tc>
      </w:tr>
      <w:tr w14:paraId="7B59C5D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21CB005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993" w:type="dxa"/>
            <w:vMerge w:val="continue"/>
            <w:tcBorders>
              <w:top w:val="single" w:color="auto" w:sz="4" w:space="0"/>
              <w:left w:val="single" w:color="auto" w:sz="4" w:space="0"/>
              <w:bottom w:val="single" w:color="auto" w:sz="4" w:space="0"/>
              <w:right w:val="single" w:color="auto" w:sz="4" w:space="0"/>
            </w:tcBorders>
            <w:vAlign w:val="center"/>
          </w:tcPr>
          <w:p w14:paraId="6391EB5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p>
        </w:tc>
        <w:tc>
          <w:tcPr>
            <w:tcW w:w="993" w:type="dxa"/>
            <w:tcBorders>
              <w:top w:val="single" w:color="auto" w:sz="4" w:space="0"/>
              <w:left w:val="single" w:color="auto" w:sz="4" w:space="0"/>
              <w:bottom w:val="single" w:color="auto" w:sz="4" w:space="0"/>
              <w:right w:val="single" w:color="auto" w:sz="4" w:space="0"/>
            </w:tcBorders>
            <w:vAlign w:val="center"/>
          </w:tcPr>
          <w:p w14:paraId="18805E7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sz w:val="21"/>
                <w:szCs w:val="21"/>
                <w:highlight w:val="none"/>
                <w:lang w:bidi="zh-CN"/>
              </w:rPr>
              <w:t>医疗垃圾</w:t>
            </w:r>
          </w:p>
        </w:tc>
        <w:tc>
          <w:tcPr>
            <w:tcW w:w="5298" w:type="dxa"/>
            <w:tcBorders>
              <w:top w:val="single" w:color="auto" w:sz="4" w:space="0"/>
              <w:left w:val="single" w:color="auto" w:sz="4" w:space="0"/>
              <w:bottom w:val="single" w:color="auto" w:sz="4" w:space="0"/>
              <w:right w:val="single" w:color="auto" w:sz="4" w:space="0"/>
            </w:tcBorders>
            <w:vAlign w:val="center"/>
          </w:tcPr>
          <w:p w14:paraId="294F613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FF0000"/>
                <w:sz w:val="21"/>
                <w:szCs w:val="21"/>
                <w:highlight w:val="none"/>
                <w:lang w:val="en-US" w:bidi="zh-CN"/>
              </w:rPr>
            </w:pPr>
            <w:r>
              <w:rPr>
                <w:rFonts w:hint="default" w:ascii="Times New Roman" w:hAnsi="Times New Roman" w:eastAsia="宋体" w:cs="Times New Roman"/>
                <w:color w:val="FF0000"/>
                <w:sz w:val="21"/>
                <w:szCs w:val="21"/>
                <w:highlight w:val="none"/>
                <w:lang w:val="en-US" w:bidi="zh-CN"/>
              </w:rPr>
              <w:t>本</w:t>
            </w:r>
            <w:r>
              <w:rPr>
                <w:rFonts w:hint="default" w:ascii="Times New Roman" w:hAnsi="Times New Roman" w:eastAsia="宋体" w:cs="Times New Roman"/>
                <w:color w:val="FF0000"/>
                <w:sz w:val="21"/>
                <w:szCs w:val="21"/>
                <w:highlight w:val="none"/>
                <w:lang w:bidi="zh-CN"/>
              </w:rPr>
              <w:t>项目运营过程产生的医疗垃圾为危险废物，</w:t>
            </w:r>
            <w:r>
              <w:rPr>
                <w:rFonts w:hint="default" w:ascii="Times New Roman" w:hAnsi="Times New Roman" w:eastAsia="宋体" w:cs="Times New Roman"/>
                <w:color w:val="FF0000"/>
                <w:sz w:val="21"/>
                <w:szCs w:val="21"/>
                <w:highlight w:val="none"/>
                <w:lang w:val="en-US" w:bidi="zh-CN"/>
              </w:rPr>
              <w:t>密封</w:t>
            </w:r>
            <w:r>
              <w:rPr>
                <w:rFonts w:hint="default" w:ascii="Times New Roman" w:hAnsi="Times New Roman" w:eastAsia="宋体" w:cs="Times New Roman"/>
                <w:color w:val="FF0000"/>
                <w:sz w:val="21"/>
                <w:szCs w:val="21"/>
                <w:highlight w:val="none"/>
                <w:lang w:bidi="zh-CN"/>
              </w:rPr>
              <w:t>包装后分区存放</w:t>
            </w:r>
            <w:r>
              <w:rPr>
                <w:rFonts w:hint="default" w:ascii="Times New Roman" w:hAnsi="Times New Roman" w:eastAsia="宋体" w:cs="Times New Roman"/>
                <w:color w:val="FF0000"/>
                <w:sz w:val="21"/>
                <w:szCs w:val="21"/>
                <w:highlight w:val="none"/>
                <w:lang w:bidi="zh-CN"/>
              </w:rPr>
              <w:t>危废暂存间</w:t>
            </w:r>
            <w:r>
              <w:rPr>
                <w:rFonts w:hint="default" w:ascii="Times New Roman" w:hAnsi="Times New Roman" w:eastAsia="宋体" w:cs="Times New Roman"/>
                <w:color w:val="FF0000"/>
                <w:sz w:val="21"/>
                <w:szCs w:val="21"/>
                <w:highlight w:val="none"/>
                <w:lang w:bidi="zh-CN"/>
              </w:rPr>
              <w:t>，定期由有资质单位处置。</w:t>
            </w:r>
          </w:p>
        </w:tc>
      </w:tr>
      <w:tr w14:paraId="70B4A74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05BBFBC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993" w:type="dxa"/>
            <w:vMerge w:val="continue"/>
            <w:tcBorders>
              <w:top w:val="single" w:color="auto" w:sz="4" w:space="0"/>
              <w:left w:val="single" w:color="auto" w:sz="4" w:space="0"/>
              <w:bottom w:val="single" w:color="auto" w:sz="4" w:space="0"/>
              <w:right w:val="single" w:color="auto" w:sz="4" w:space="0"/>
            </w:tcBorders>
            <w:vAlign w:val="center"/>
          </w:tcPr>
          <w:p w14:paraId="46E83DF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p>
        </w:tc>
        <w:tc>
          <w:tcPr>
            <w:tcW w:w="993" w:type="dxa"/>
            <w:tcBorders>
              <w:top w:val="single" w:color="auto" w:sz="4" w:space="0"/>
              <w:left w:val="single" w:color="auto" w:sz="4" w:space="0"/>
              <w:bottom w:val="single" w:color="auto" w:sz="4" w:space="0"/>
              <w:right w:val="single" w:color="auto" w:sz="4" w:space="0"/>
            </w:tcBorders>
            <w:vAlign w:val="center"/>
          </w:tcPr>
          <w:p w14:paraId="7751D2A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0000FF"/>
                <w:sz w:val="21"/>
                <w:szCs w:val="21"/>
                <w:highlight w:val="none"/>
                <w:lang w:bidi="zh-CN"/>
              </w:rPr>
            </w:pPr>
            <w:r>
              <w:rPr>
                <w:rFonts w:hint="default" w:ascii="Times New Roman" w:hAnsi="Times New Roman" w:eastAsia="宋体" w:cs="Times New Roman"/>
                <w:color w:val="0000FF"/>
                <w:sz w:val="21"/>
                <w:szCs w:val="21"/>
                <w:highlight w:val="none"/>
                <w:lang w:val="en-US" w:bidi="zh-CN"/>
              </w:rPr>
              <w:t>废树脂</w:t>
            </w:r>
          </w:p>
        </w:tc>
        <w:tc>
          <w:tcPr>
            <w:tcW w:w="5298" w:type="dxa"/>
            <w:tcBorders>
              <w:top w:val="single" w:color="auto" w:sz="4" w:space="0"/>
              <w:left w:val="single" w:color="auto" w:sz="4" w:space="0"/>
              <w:bottom w:val="single" w:color="auto" w:sz="4" w:space="0"/>
              <w:right w:val="single" w:color="auto" w:sz="4" w:space="0"/>
            </w:tcBorders>
            <w:vAlign w:val="center"/>
          </w:tcPr>
          <w:p w14:paraId="4BBEE53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0000FF"/>
                <w:sz w:val="21"/>
                <w:szCs w:val="21"/>
                <w:highlight w:val="none"/>
                <w:lang w:val="en-US" w:bidi="zh-CN"/>
              </w:rPr>
            </w:pPr>
            <w:r>
              <w:rPr>
                <w:rFonts w:hint="default" w:ascii="Times New Roman" w:hAnsi="Times New Roman" w:eastAsia="宋体" w:cs="Times New Roman"/>
                <w:color w:val="0000FF"/>
                <w:sz w:val="21"/>
                <w:szCs w:val="21"/>
                <w:highlight w:val="none"/>
                <w:lang w:val="en-US" w:bidi="zh-CN"/>
              </w:rPr>
              <w:t>软水制备装置产生的废树脂，属于一般工业固体废物，由厂家</w:t>
            </w:r>
            <w:r>
              <w:rPr>
                <w:rFonts w:hint="default" w:ascii="Times New Roman" w:hAnsi="Times New Roman" w:eastAsia="宋体" w:cs="Times New Roman"/>
                <w:color w:val="0000FF"/>
                <w:sz w:val="21"/>
                <w:szCs w:val="21"/>
                <w:highlight w:val="none"/>
                <w:lang w:val="en-US" w:bidi="zh-CN"/>
              </w:rPr>
              <w:t>更换后</w:t>
            </w:r>
            <w:r>
              <w:rPr>
                <w:rFonts w:hint="default" w:ascii="Times New Roman" w:hAnsi="Times New Roman" w:eastAsia="宋体" w:cs="Times New Roman"/>
                <w:color w:val="0000FF"/>
                <w:sz w:val="21"/>
                <w:szCs w:val="21"/>
                <w:highlight w:val="none"/>
                <w:lang w:val="en-US" w:bidi="zh-CN"/>
              </w:rPr>
              <w:t>回收综合利用</w:t>
            </w:r>
            <w:r>
              <w:rPr>
                <w:rFonts w:hint="default" w:ascii="Times New Roman" w:hAnsi="Times New Roman" w:eastAsia="宋体" w:cs="Times New Roman"/>
                <w:color w:val="0000FF"/>
                <w:sz w:val="21"/>
                <w:szCs w:val="21"/>
                <w:highlight w:val="none"/>
                <w:lang w:val="en-US" w:bidi="zh-CN"/>
              </w:rPr>
              <w:t>，不在本项目厂区内暂存。</w:t>
            </w:r>
          </w:p>
        </w:tc>
      </w:tr>
      <w:tr w14:paraId="1C0CF00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3690111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993" w:type="dxa"/>
            <w:vMerge w:val="continue"/>
            <w:tcBorders>
              <w:top w:val="single" w:color="auto" w:sz="4" w:space="0"/>
              <w:left w:val="single" w:color="auto" w:sz="4" w:space="0"/>
              <w:bottom w:val="single" w:color="auto" w:sz="4" w:space="0"/>
              <w:right w:val="single" w:color="auto" w:sz="4" w:space="0"/>
            </w:tcBorders>
            <w:vAlign w:val="center"/>
          </w:tcPr>
          <w:p w14:paraId="7805EF8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p>
        </w:tc>
        <w:tc>
          <w:tcPr>
            <w:tcW w:w="993" w:type="dxa"/>
            <w:tcBorders>
              <w:top w:val="single" w:color="auto" w:sz="4" w:space="0"/>
              <w:left w:val="single" w:color="auto" w:sz="4" w:space="0"/>
              <w:bottom w:val="single" w:color="auto" w:sz="4" w:space="0"/>
              <w:right w:val="single" w:color="auto" w:sz="4" w:space="0"/>
            </w:tcBorders>
            <w:vAlign w:val="center"/>
          </w:tcPr>
          <w:p w14:paraId="596870C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rPr>
              <w:t>生活垃圾</w:t>
            </w:r>
          </w:p>
        </w:tc>
        <w:tc>
          <w:tcPr>
            <w:tcW w:w="5298" w:type="dxa"/>
            <w:tcBorders>
              <w:top w:val="single" w:color="auto" w:sz="4" w:space="0"/>
              <w:left w:val="single" w:color="auto" w:sz="4" w:space="0"/>
              <w:bottom w:val="single" w:color="auto" w:sz="4" w:space="0"/>
              <w:right w:val="single" w:color="auto" w:sz="4" w:space="0"/>
            </w:tcBorders>
            <w:vAlign w:val="center"/>
          </w:tcPr>
          <w:p w14:paraId="4B6F4A2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bidi="zh-CN"/>
              </w:rPr>
              <w:t>场区</w:t>
            </w:r>
            <w:r>
              <w:rPr>
                <w:rFonts w:hint="default" w:ascii="Times New Roman" w:hAnsi="Times New Roman" w:eastAsia="宋体" w:cs="Times New Roman"/>
                <w:color w:val="FF0000"/>
                <w:sz w:val="21"/>
                <w:szCs w:val="21"/>
                <w:highlight w:val="none"/>
                <w:lang w:bidi="zh-CN"/>
              </w:rPr>
              <w:t>设置垃圾桶，分类收集</w:t>
            </w:r>
            <w:r>
              <w:rPr>
                <w:rFonts w:hint="default" w:ascii="Times New Roman" w:hAnsi="Times New Roman" w:eastAsia="宋体" w:cs="Times New Roman"/>
                <w:color w:val="FF0000"/>
                <w:sz w:val="21"/>
                <w:szCs w:val="21"/>
                <w:highlight w:val="none"/>
                <w:lang w:val="en-US" w:bidi="zh-CN"/>
              </w:rPr>
              <w:t>工作人员产生的生活垃圾</w:t>
            </w:r>
            <w:r>
              <w:rPr>
                <w:rFonts w:hint="default" w:ascii="Times New Roman" w:hAnsi="Times New Roman" w:eastAsia="宋体" w:cs="Times New Roman"/>
                <w:color w:val="FF0000"/>
                <w:sz w:val="21"/>
                <w:szCs w:val="21"/>
                <w:highlight w:val="none"/>
                <w:lang w:bidi="zh-CN"/>
              </w:rPr>
              <w:t>，</w:t>
            </w:r>
            <w:r>
              <w:rPr>
                <w:rFonts w:hint="default" w:ascii="Times New Roman" w:hAnsi="Times New Roman" w:eastAsia="宋体" w:cs="Times New Roman"/>
                <w:color w:val="FF0000"/>
                <w:sz w:val="21"/>
                <w:szCs w:val="21"/>
                <w:highlight w:val="none"/>
                <w:lang w:val="en-US" w:bidi="zh-CN"/>
              </w:rPr>
              <w:t>定期</w:t>
            </w:r>
            <w:r>
              <w:rPr>
                <w:rFonts w:hint="default" w:ascii="Times New Roman" w:hAnsi="Times New Roman" w:eastAsia="宋体" w:cs="Times New Roman"/>
                <w:color w:val="FF0000"/>
                <w:sz w:val="21"/>
                <w:szCs w:val="21"/>
                <w:highlight w:val="none"/>
                <w:lang w:bidi="zh-CN"/>
              </w:rPr>
              <w:t>清运到环卫部门指定的地点集中处理。</w:t>
            </w:r>
          </w:p>
        </w:tc>
      </w:tr>
      <w:tr w14:paraId="3220189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1ED481E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1986" w:type="dxa"/>
            <w:gridSpan w:val="2"/>
            <w:tcBorders>
              <w:top w:val="single" w:color="auto" w:sz="4" w:space="0"/>
              <w:left w:val="single" w:color="auto" w:sz="4" w:space="0"/>
              <w:bottom w:val="single" w:color="auto" w:sz="4" w:space="0"/>
              <w:right w:val="single" w:color="auto" w:sz="4" w:space="0"/>
            </w:tcBorders>
            <w:vAlign w:val="center"/>
          </w:tcPr>
          <w:p w14:paraId="6220E34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kern w:val="0"/>
                <w:sz w:val="21"/>
                <w:szCs w:val="21"/>
                <w:highlight w:val="none"/>
              </w:rPr>
            </w:pPr>
            <w:r>
              <w:rPr>
                <w:rFonts w:hint="default" w:ascii="Times New Roman" w:hAnsi="Times New Roman" w:eastAsia="宋体" w:cs="Times New Roman"/>
                <w:bCs/>
                <w:color w:val="FF0000"/>
                <w:sz w:val="21"/>
                <w:szCs w:val="21"/>
                <w:highlight w:val="none"/>
              </w:rPr>
              <w:t>噪声</w:t>
            </w:r>
          </w:p>
        </w:tc>
        <w:tc>
          <w:tcPr>
            <w:tcW w:w="5298" w:type="dxa"/>
            <w:tcBorders>
              <w:top w:val="single" w:color="auto" w:sz="4" w:space="0"/>
              <w:left w:val="single" w:color="auto" w:sz="4" w:space="0"/>
              <w:bottom w:val="single" w:color="auto" w:sz="4" w:space="0"/>
              <w:right w:val="single" w:color="auto" w:sz="4" w:space="0"/>
            </w:tcBorders>
            <w:vAlign w:val="center"/>
          </w:tcPr>
          <w:p w14:paraId="452D540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52" w:firstLineChars="200"/>
              <w:jc w:val="left"/>
              <w:textAlignment w:val="center"/>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pacing w:val="8"/>
                <w:sz w:val="21"/>
                <w:szCs w:val="21"/>
                <w:highlight w:val="none"/>
              </w:rPr>
              <w:t>采取减振、隔声、合理布局等降噪措施</w:t>
            </w:r>
            <w:r>
              <w:rPr>
                <w:rFonts w:hint="default" w:ascii="Times New Roman" w:hAnsi="Times New Roman" w:eastAsia="宋体" w:cs="Times New Roman"/>
                <w:color w:val="FF0000"/>
                <w:spacing w:val="8"/>
                <w:sz w:val="21"/>
                <w:szCs w:val="21"/>
                <w:highlight w:val="none"/>
                <w:lang w:eastAsia="zh-CN"/>
              </w:rPr>
              <w:t>。</w:t>
            </w:r>
          </w:p>
        </w:tc>
      </w:tr>
      <w:tr w14:paraId="76D2EF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65718D2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993" w:type="dxa"/>
            <w:vMerge w:val="restart"/>
            <w:tcBorders>
              <w:top w:val="single" w:color="auto" w:sz="4" w:space="0"/>
              <w:left w:val="single" w:color="auto" w:sz="4" w:space="0"/>
              <w:bottom w:val="single" w:color="auto" w:sz="4" w:space="0"/>
              <w:right w:val="single" w:color="auto" w:sz="4" w:space="0"/>
            </w:tcBorders>
            <w:vAlign w:val="center"/>
          </w:tcPr>
          <w:p w14:paraId="7BA281E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地下水</w:t>
            </w:r>
          </w:p>
        </w:tc>
        <w:tc>
          <w:tcPr>
            <w:tcW w:w="993" w:type="dxa"/>
            <w:tcBorders>
              <w:top w:val="single" w:color="auto" w:sz="4" w:space="0"/>
              <w:left w:val="single" w:color="auto" w:sz="4" w:space="0"/>
              <w:bottom w:val="single" w:color="auto" w:sz="4" w:space="0"/>
              <w:right w:val="single" w:color="auto" w:sz="4" w:space="0"/>
            </w:tcBorders>
            <w:vAlign w:val="center"/>
          </w:tcPr>
          <w:p w14:paraId="2349C6F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kern w:val="0"/>
                <w:sz w:val="21"/>
                <w:szCs w:val="21"/>
                <w:highlight w:val="none"/>
              </w:rPr>
            </w:pPr>
            <w:r>
              <w:rPr>
                <w:rFonts w:hint="default" w:ascii="Times New Roman" w:hAnsi="Times New Roman" w:eastAsia="宋体" w:cs="Times New Roman"/>
                <w:color w:val="FF0000"/>
                <w:kern w:val="0"/>
                <w:sz w:val="21"/>
                <w:szCs w:val="21"/>
                <w:highlight w:val="none"/>
              </w:rPr>
              <w:t>地下水监控井</w:t>
            </w:r>
          </w:p>
        </w:tc>
        <w:tc>
          <w:tcPr>
            <w:tcW w:w="5298" w:type="dxa"/>
            <w:tcBorders>
              <w:top w:val="single" w:color="auto" w:sz="4" w:space="0"/>
              <w:left w:val="single" w:color="auto" w:sz="4" w:space="0"/>
              <w:bottom w:val="single" w:color="auto" w:sz="4" w:space="0"/>
              <w:right w:val="single" w:color="auto" w:sz="4" w:space="0"/>
            </w:tcBorders>
            <w:vAlign w:val="center"/>
          </w:tcPr>
          <w:p w14:paraId="29EEDD1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eastAsia="zh-CN"/>
              </w:rPr>
              <w:t>场区地下水下游（场区南侧）设置</w:t>
            </w:r>
            <w:r>
              <w:rPr>
                <w:rFonts w:hint="default" w:ascii="Times New Roman" w:hAnsi="Times New Roman" w:eastAsia="宋体" w:cs="Times New Roman"/>
                <w:color w:val="FF0000"/>
                <w:sz w:val="21"/>
                <w:szCs w:val="21"/>
                <w:highlight w:val="none"/>
                <w:lang w:val="en-US" w:eastAsia="zh-CN"/>
              </w:rPr>
              <w:t>1个</w:t>
            </w:r>
            <w:r>
              <w:rPr>
                <w:rFonts w:hint="default" w:ascii="Times New Roman" w:hAnsi="Times New Roman" w:eastAsia="宋体" w:cs="Times New Roman"/>
                <w:color w:val="FF0000"/>
                <w:sz w:val="21"/>
                <w:szCs w:val="21"/>
                <w:highlight w:val="none"/>
              </w:rPr>
              <w:t>地下水监控井</w:t>
            </w:r>
            <w:r>
              <w:rPr>
                <w:rFonts w:hint="default" w:ascii="Times New Roman" w:hAnsi="Times New Roman" w:eastAsia="宋体" w:cs="Times New Roman"/>
                <w:color w:val="FF0000"/>
                <w:sz w:val="21"/>
                <w:szCs w:val="21"/>
                <w:highlight w:val="none"/>
                <w:lang w:eastAsia="zh-CN"/>
              </w:rPr>
              <w:t>（坐标：</w:t>
            </w:r>
            <w:r>
              <w:rPr>
                <w:rFonts w:hint="default" w:ascii="Times New Roman" w:hAnsi="Times New Roman" w:eastAsia="宋体" w:cs="Times New Roman"/>
                <w:color w:val="FF0000"/>
                <w:sz w:val="21"/>
                <w:szCs w:val="21"/>
                <w:highlight w:val="none"/>
              </w:rPr>
              <w:t>N</w:t>
            </w:r>
            <w:r>
              <w:rPr>
                <w:rFonts w:hint="default" w:ascii="Times New Roman" w:hAnsi="Times New Roman" w:eastAsia="宋体" w:cs="Times New Roman"/>
                <w:color w:val="FF0000"/>
                <w:sz w:val="21"/>
                <w:szCs w:val="21"/>
                <w:highlight w:val="none"/>
                <w:lang w:val="en-US" w:eastAsia="zh-CN"/>
              </w:rPr>
              <w:t>41°07'</w:t>
            </w:r>
            <w:r>
              <w:rPr>
                <w:rFonts w:hint="default" w:ascii="Times New Roman" w:hAnsi="Times New Roman" w:eastAsia="宋体" w:cs="Times New Roman"/>
                <w:color w:val="FF0000"/>
                <w:sz w:val="21"/>
                <w:szCs w:val="21"/>
                <w:highlight w:val="none"/>
                <w:lang w:val="en-US" w:eastAsia="zh-CN"/>
              </w:rPr>
              <w:t>9.31</w:t>
            </w:r>
            <w:r>
              <w:rPr>
                <w:rFonts w:hint="default"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rPr>
              <w:t>E</w:t>
            </w:r>
            <w:r>
              <w:rPr>
                <w:rFonts w:hint="default" w:ascii="Times New Roman" w:hAnsi="Times New Roman" w:eastAsia="宋体" w:cs="Times New Roman"/>
                <w:color w:val="FF0000"/>
                <w:sz w:val="21"/>
                <w:szCs w:val="21"/>
                <w:highlight w:val="none"/>
                <w:lang w:eastAsia="zh-CN"/>
              </w:rPr>
              <w:t>10</w:t>
            </w:r>
            <w:r>
              <w:rPr>
                <w:rFonts w:hint="default" w:ascii="Times New Roman" w:hAnsi="Times New Roman" w:eastAsia="宋体" w:cs="Times New Roman"/>
                <w:color w:val="FF0000"/>
                <w:sz w:val="21"/>
                <w:szCs w:val="21"/>
                <w:highlight w:val="none"/>
                <w:lang w:val="en-US" w:eastAsia="zh-CN"/>
              </w:rPr>
              <w:t>8</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lang w:val="en-US" w:eastAsia="zh-CN"/>
              </w:rPr>
              <w:t>5</w:t>
            </w:r>
            <w:r>
              <w:rPr>
                <w:rFonts w:hint="default" w:ascii="Times New Roman" w:hAnsi="Times New Roman" w:eastAsia="宋体" w:cs="Times New Roman"/>
                <w:color w:val="FF0000"/>
                <w:sz w:val="21"/>
                <w:szCs w:val="21"/>
                <w:highlight w:val="none"/>
                <w:lang w:val="en-US" w:eastAsia="zh-CN"/>
              </w:rPr>
              <w:t>6</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lang w:val="en-US" w:eastAsia="zh-CN"/>
              </w:rPr>
              <w:t>5.36</w:t>
            </w:r>
            <w:r>
              <w:rPr>
                <w:rFonts w:hint="default" w:ascii="Times New Roman" w:hAnsi="Times New Roman" w:eastAsia="宋体" w:cs="Times New Roman"/>
                <w:color w:val="FF0000"/>
                <w:sz w:val="21"/>
                <w:szCs w:val="21"/>
                <w:highlight w:val="none"/>
                <w:lang w:eastAsia="zh-CN"/>
              </w:rPr>
              <w:t>"）。</w:t>
            </w:r>
          </w:p>
        </w:tc>
      </w:tr>
      <w:tr w14:paraId="6F43CE6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0039504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993" w:type="dxa"/>
            <w:vMerge w:val="continue"/>
            <w:tcBorders>
              <w:top w:val="single" w:color="auto" w:sz="4" w:space="0"/>
              <w:left w:val="single" w:color="auto" w:sz="4" w:space="0"/>
              <w:bottom w:val="single" w:color="auto" w:sz="4" w:space="0"/>
              <w:right w:val="single" w:color="auto" w:sz="4" w:space="0"/>
            </w:tcBorders>
            <w:vAlign w:val="center"/>
          </w:tcPr>
          <w:p w14:paraId="4FD7AAA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p>
        </w:tc>
        <w:tc>
          <w:tcPr>
            <w:tcW w:w="993" w:type="dxa"/>
            <w:tcBorders>
              <w:top w:val="single" w:color="auto" w:sz="4" w:space="0"/>
              <w:left w:val="single" w:color="auto" w:sz="4" w:space="0"/>
              <w:bottom w:val="single" w:color="auto" w:sz="4" w:space="0"/>
              <w:right w:val="single" w:color="auto" w:sz="4" w:space="0"/>
            </w:tcBorders>
            <w:vAlign w:val="center"/>
          </w:tcPr>
          <w:p w14:paraId="1780456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kern w:val="0"/>
                <w:sz w:val="21"/>
                <w:szCs w:val="21"/>
                <w:highlight w:val="none"/>
              </w:rPr>
            </w:pPr>
            <w:r>
              <w:rPr>
                <w:rFonts w:hint="default" w:ascii="Times New Roman" w:hAnsi="Times New Roman" w:eastAsia="宋体" w:cs="Times New Roman"/>
                <w:color w:val="FF0000"/>
                <w:kern w:val="0"/>
                <w:sz w:val="21"/>
                <w:szCs w:val="21"/>
                <w:highlight w:val="none"/>
              </w:rPr>
              <w:t>重点防渗区</w:t>
            </w:r>
          </w:p>
        </w:tc>
        <w:tc>
          <w:tcPr>
            <w:tcW w:w="5298" w:type="dxa"/>
            <w:tcBorders>
              <w:top w:val="single" w:color="auto" w:sz="4" w:space="0"/>
              <w:left w:val="single" w:color="auto" w:sz="4" w:space="0"/>
              <w:bottom w:val="single" w:color="auto" w:sz="4" w:space="0"/>
              <w:right w:val="single" w:color="auto" w:sz="4" w:space="0"/>
            </w:tcBorders>
            <w:vAlign w:val="center"/>
          </w:tcPr>
          <w:p w14:paraId="3E9A9C9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危废暂存间</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kern w:val="2"/>
                <w:sz w:val="21"/>
                <w:szCs w:val="21"/>
                <w:highlight w:val="none"/>
                <w:lang w:val="en-US" w:eastAsia="zh-CN" w:bidi="ar-SA"/>
              </w:rPr>
              <w:t>冷藏间</w:t>
            </w:r>
            <w:r>
              <w:rPr>
                <w:rFonts w:hint="default" w:ascii="Times New Roman" w:hAnsi="Times New Roman" w:eastAsia="宋体" w:cs="Times New Roman"/>
                <w:color w:val="FF0000"/>
                <w:sz w:val="21"/>
                <w:szCs w:val="21"/>
                <w:highlight w:val="none"/>
                <w:lang w:val="en-US" w:eastAsia="zh-CN"/>
              </w:rPr>
              <w:t>属于</w:t>
            </w:r>
            <w:r>
              <w:rPr>
                <w:rFonts w:hint="default" w:ascii="Times New Roman" w:hAnsi="Times New Roman" w:eastAsia="宋体" w:cs="Times New Roman"/>
                <w:color w:val="FF0000"/>
                <w:sz w:val="21"/>
                <w:szCs w:val="21"/>
                <w:highlight w:val="none"/>
              </w:rPr>
              <w:t>重点防渗区</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lang w:eastAsia="zh-CN"/>
              </w:rPr>
              <w:t>采用至少2mm厚HDPE或其他人工材料进行防渗处理，</w:t>
            </w:r>
            <w:r>
              <w:rPr>
                <w:rFonts w:hint="default" w:ascii="Times New Roman" w:hAnsi="Times New Roman" w:eastAsia="宋体" w:cs="Times New Roman"/>
                <w:color w:val="FF0000"/>
                <w:sz w:val="21"/>
                <w:szCs w:val="21"/>
                <w:highlight w:val="none"/>
                <w:lang w:eastAsia="zh-CN"/>
              </w:rPr>
              <w:t>渗透系数</w:t>
            </w:r>
            <w:r>
              <w:rPr>
                <w:rFonts w:hint="default" w:ascii="Times New Roman" w:hAnsi="Times New Roman" w:eastAsia="宋体" w:cs="Times New Roman"/>
                <w:color w:val="FF0000"/>
                <w:sz w:val="21"/>
                <w:szCs w:val="21"/>
                <w:highlight w:val="none"/>
                <w:lang w:eastAsia="zh-CN"/>
              </w:rPr>
              <w:t>不大于1.0×10</w:t>
            </w:r>
            <w:r>
              <w:rPr>
                <w:rFonts w:hint="default" w:ascii="Times New Roman" w:hAnsi="Times New Roman" w:eastAsia="宋体" w:cs="Times New Roman"/>
                <w:color w:val="FF0000"/>
                <w:sz w:val="21"/>
                <w:szCs w:val="21"/>
                <w:highlight w:val="none"/>
                <w:vertAlign w:val="superscript"/>
                <w:lang w:eastAsia="zh-CN"/>
              </w:rPr>
              <w:t>-10</w:t>
            </w:r>
            <w:r>
              <w:rPr>
                <w:rFonts w:hint="default" w:ascii="Times New Roman" w:hAnsi="Times New Roman" w:eastAsia="宋体" w:cs="Times New Roman"/>
                <w:color w:val="FF0000"/>
                <w:sz w:val="21"/>
                <w:szCs w:val="21"/>
                <w:highlight w:val="none"/>
                <w:lang w:eastAsia="zh-CN"/>
              </w:rPr>
              <w:t>cm/s；</w:t>
            </w:r>
          </w:p>
        </w:tc>
      </w:tr>
      <w:tr w14:paraId="155C262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046914B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993" w:type="dxa"/>
            <w:vMerge w:val="continue"/>
            <w:tcBorders>
              <w:top w:val="single" w:color="auto" w:sz="4" w:space="0"/>
              <w:left w:val="single" w:color="auto" w:sz="4" w:space="0"/>
              <w:bottom w:val="single" w:color="auto" w:sz="4" w:space="0"/>
              <w:right w:val="single" w:color="auto" w:sz="4" w:space="0"/>
            </w:tcBorders>
            <w:vAlign w:val="center"/>
          </w:tcPr>
          <w:p w14:paraId="624B37B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p>
        </w:tc>
        <w:tc>
          <w:tcPr>
            <w:tcW w:w="993" w:type="dxa"/>
            <w:tcBorders>
              <w:top w:val="single" w:color="auto" w:sz="4" w:space="0"/>
              <w:left w:val="single" w:color="auto" w:sz="4" w:space="0"/>
              <w:bottom w:val="single" w:color="auto" w:sz="4" w:space="0"/>
              <w:right w:val="single" w:color="auto" w:sz="4" w:space="0"/>
            </w:tcBorders>
            <w:vAlign w:val="center"/>
          </w:tcPr>
          <w:p w14:paraId="12CE3B5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kern w:val="0"/>
                <w:sz w:val="21"/>
                <w:szCs w:val="21"/>
                <w:highlight w:val="none"/>
              </w:rPr>
            </w:pPr>
            <w:r>
              <w:rPr>
                <w:rFonts w:hint="default" w:ascii="Times New Roman" w:hAnsi="Times New Roman" w:eastAsia="宋体" w:cs="Times New Roman"/>
                <w:color w:val="FF0000"/>
                <w:kern w:val="0"/>
                <w:sz w:val="21"/>
                <w:szCs w:val="21"/>
                <w:highlight w:val="none"/>
              </w:rPr>
              <w:t>一般防渗区</w:t>
            </w:r>
          </w:p>
        </w:tc>
        <w:tc>
          <w:tcPr>
            <w:tcW w:w="5298" w:type="dxa"/>
            <w:tcBorders>
              <w:top w:val="single" w:color="auto" w:sz="4" w:space="0"/>
              <w:left w:val="single" w:color="auto" w:sz="4" w:space="0"/>
              <w:bottom w:val="single" w:color="auto" w:sz="4" w:space="0"/>
              <w:right w:val="single" w:color="auto" w:sz="4" w:space="0"/>
            </w:tcBorders>
            <w:vAlign w:val="center"/>
          </w:tcPr>
          <w:p w14:paraId="0ACC3D2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val="en-US" w:eastAsia="zh-CN"/>
              </w:rPr>
              <w:t>牛舍、</w:t>
            </w:r>
            <w:r>
              <w:rPr>
                <w:rFonts w:hint="default" w:ascii="Times New Roman" w:hAnsi="Times New Roman" w:eastAsia="宋体" w:cs="Times New Roman"/>
                <w:color w:val="FF0000"/>
                <w:sz w:val="21"/>
                <w:szCs w:val="21"/>
                <w:highlight w:val="none"/>
                <w:lang w:eastAsia="zh-CN"/>
              </w:rPr>
              <w:t>青贮平台</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pacing w:val="-13"/>
                <w:sz w:val="21"/>
                <w:szCs w:val="21"/>
                <w:highlight w:val="none"/>
                <w:lang w:eastAsia="zh-CN"/>
              </w:rPr>
              <w:t>粪污处理池</w:t>
            </w:r>
            <w:r>
              <w:rPr>
                <w:rFonts w:hint="default" w:ascii="Times New Roman" w:hAnsi="Times New Roman" w:eastAsia="宋体" w:cs="Times New Roman"/>
                <w:color w:val="FF0000"/>
                <w:spacing w:val="-13"/>
                <w:sz w:val="21"/>
                <w:szCs w:val="21"/>
                <w:highlight w:val="none"/>
              </w:rPr>
              <w:t>、</w:t>
            </w:r>
            <w:r>
              <w:rPr>
                <w:rFonts w:hint="default" w:ascii="Times New Roman" w:hAnsi="Times New Roman" w:eastAsia="宋体" w:cs="Times New Roman"/>
                <w:color w:val="FF0000"/>
                <w:spacing w:val="-13"/>
                <w:sz w:val="21"/>
                <w:szCs w:val="21"/>
                <w:highlight w:val="none"/>
                <w:lang w:val="en-US" w:eastAsia="zh-CN"/>
              </w:rPr>
              <w:t>化粪池</w:t>
            </w:r>
            <w:r>
              <w:rPr>
                <w:rFonts w:hint="default" w:ascii="Times New Roman" w:hAnsi="Times New Roman" w:eastAsia="宋体" w:cs="Times New Roman"/>
                <w:color w:val="FF0000"/>
                <w:spacing w:val="-4"/>
                <w:sz w:val="21"/>
                <w:szCs w:val="21"/>
                <w:highlight w:val="none"/>
              </w:rPr>
              <w:t>等构筑物</w:t>
            </w:r>
            <w:r>
              <w:rPr>
                <w:rFonts w:hint="default" w:ascii="Times New Roman" w:hAnsi="Times New Roman" w:eastAsia="宋体" w:cs="Times New Roman"/>
                <w:color w:val="FF0000"/>
                <w:sz w:val="21"/>
                <w:szCs w:val="21"/>
                <w:highlight w:val="none"/>
                <w:lang w:val="en-US" w:eastAsia="zh-CN"/>
              </w:rPr>
              <w:t>属于</w:t>
            </w:r>
            <w:r>
              <w:rPr>
                <w:rFonts w:hint="default" w:ascii="Times New Roman" w:hAnsi="Times New Roman" w:eastAsia="宋体" w:cs="Times New Roman"/>
                <w:color w:val="FF0000"/>
                <w:kern w:val="0"/>
                <w:sz w:val="21"/>
                <w:szCs w:val="21"/>
                <w:highlight w:val="none"/>
              </w:rPr>
              <w:t>一般防渗区</w:t>
            </w:r>
            <w:r>
              <w:rPr>
                <w:rFonts w:hint="default" w:ascii="Times New Roman" w:hAnsi="Times New Roman" w:eastAsia="宋体" w:cs="Times New Roman"/>
                <w:color w:val="FF0000"/>
                <w:spacing w:val="-4"/>
                <w:sz w:val="21"/>
                <w:szCs w:val="21"/>
                <w:highlight w:val="none"/>
              </w:rPr>
              <w:t>，</w:t>
            </w:r>
            <w:r>
              <w:rPr>
                <w:rFonts w:hint="default" w:ascii="Times New Roman" w:hAnsi="Times New Roman" w:eastAsia="宋体" w:cs="Times New Roman"/>
                <w:color w:val="FF0000"/>
                <w:spacing w:val="-3"/>
                <w:sz w:val="21"/>
                <w:szCs w:val="21"/>
                <w:highlight w:val="none"/>
              </w:rPr>
              <w:t>参照《一般工业固体废物贮存和填埋污染控制标准》（GB18599-2020）的相关要求进行防渗，渗透系数≤1.0×10</w:t>
            </w:r>
            <w:r>
              <w:rPr>
                <w:rFonts w:hint="default" w:ascii="Times New Roman" w:hAnsi="Times New Roman" w:eastAsia="宋体" w:cs="Times New Roman"/>
                <w:color w:val="FF0000"/>
                <w:spacing w:val="-3"/>
                <w:sz w:val="21"/>
                <w:szCs w:val="21"/>
                <w:highlight w:val="none"/>
                <w:vertAlign w:val="superscript"/>
              </w:rPr>
              <w:t>-7</w:t>
            </w:r>
            <w:r>
              <w:rPr>
                <w:rFonts w:hint="default" w:ascii="Times New Roman" w:hAnsi="Times New Roman" w:eastAsia="宋体" w:cs="Times New Roman"/>
                <w:color w:val="FF0000"/>
                <w:spacing w:val="-3"/>
                <w:sz w:val="21"/>
                <w:szCs w:val="21"/>
                <w:highlight w:val="none"/>
              </w:rPr>
              <w:t>cm/s；</w:t>
            </w:r>
          </w:p>
        </w:tc>
      </w:tr>
      <w:tr w14:paraId="5508F09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70EA28A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993" w:type="dxa"/>
            <w:vMerge w:val="continue"/>
            <w:tcBorders>
              <w:top w:val="single" w:color="auto" w:sz="4" w:space="0"/>
              <w:left w:val="single" w:color="auto" w:sz="4" w:space="0"/>
              <w:bottom w:val="single" w:color="auto" w:sz="4" w:space="0"/>
              <w:right w:val="single" w:color="auto" w:sz="4" w:space="0"/>
            </w:tcBorders>
            <w:vAlign w:val="center"/>
          </w:tcPr>
          <w:p w14:paraId="2A6EECB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sz w:val="21"/>
                <w:szCs w:val="21"/>
                <w:highlight w:val="none"/>
              </w:rPr>
            </w:pPr>
          </w:p>
        </w:tc>
        <w:tc>
          <w:tcPr>
            <w:tcW w:w="993" w:type="dxa"/>
            <w:tcBorders>
              <w:top w:val="single" w:color="auto" w:sz="4" w:space="0"/>
              <w:left w:val="single" w:color="auto" w:sz="4" w:space="0"/>
              <w:bottom w:val="single" w:color="auto" w:sz="4" w:space="0"/>
              <w:right w:val="single" w:color="auto" w:sz="4" w:space="0"/>
            </w:tcBorders>
            <w:vAlign w:val="center"/>
          </w:tcPr>
          <w:p w14:paraId="73FAC28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eastAsia="zh-CN"/>
              </w:rPr>
              <w:t>简单防渗区</w:t>
            </w:r>
          </w:p>
        </w:tc>
        <w:tc>
          <w:tcPr>
            <w:tcW w:w="5298" w:type="dxa"/>
            <w:tcBorders>
              <w:top w:val="single" w:color="auto" w:sz="4" w:space="0"/>
              <w:left w:val="single" w:color="auto" w:sz="4" w:space="0"/>
              <w:bottom w:val="single" w:color="auto" w:sz="4" w:space="0"/>
              <w:right w:val="single" w:color="auto" w:sz="4" w:space="0"/>
            </w:tcBorders>
            <w:vAlign w:val="center"/>
          </w:tcPr>
          <w:p w14:paraId="6D33212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FF0000"/>
                <w:spacing w:val="-13"/>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草棚、TMR车间、场区道路、牛舍饲料通道、运输道路单元，采取水泥</w:t>
            </w:r>
            <w:r>
              <w:rPr>
                <w:rFonts w:hint="default" w:ascii="Times New Roman" w:hAnsi="Times New Roman" w:eastAsia="宋体" w:cs="Times New Roman"/>
                <w:color w:val="FF0000"/>
                <w:sz w:val="21"/>
                <w:szCs w:val="21"/>
                <w:highlight w:val="none"/>
                <w:lang w:val="en-US" w:eastAsia="zh-CN"/>
              </w:rPr>
              <w:t>混凝土</w:t>
            </w:r>
            <w:r>
              <w:rPr>
                <w:rFonts w:hint="default" w:ascii="Times New Roman" w:hAnsi="Times New Roman" w:eastAsia="宋体" w:cs="Times New Roman"/>
                <w:color w:val="FF0000"/>
                <w:sz w:val="21"/>
                <w:szCs w:val="21"/>
                <w:highlight w:val="none"/>
              </w:rPr>
              <w:t>硬化处理</w:t>
            </w:r>
            <w:r>
              <w:rPr>
                <w:rFonts w:hint="default" w:ascii="Times New Roman" w:hAnsi="Times New Roman" w:eastAsia="宋体" w:cs="Times New Roman"/>
                <w:color w:val="FF0000"/>
                <w:sz w:val="21"/>
                <w:szCs w:val="21"/>
                <w:highlight w:val="none"/>
                <w:lang w:eastAsia="zh-CN"/>
              </w:rPr>
              <w:t>。</w:t>
            </w:r>
          </w:p>
        </w:tc>
      </w:tr>
      <w:tr w14:paraId="62006F7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93" w:type="dxa"/>
            <w:vMerge w:val="continue"/>
            <w:tcBorders>
              <w:top w:val="single" w:color="auto" w:sz="4" w:space="0"/>
              <w:left w:val="single" w:color="auto" w:sz="4" w:space="0"/>
              <w:bottom w:val="single" w:color="auto" w:sz="4" w:space="0"/>
              <w:right w:val="single" w:color="auto" w:sz="4" w:space="0"/>
            </w:tcBorders>
            <w:vAlign w:val="center"/>
          </w:tcPr>
          <w:p w14:paraId="68E74F5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p>
        </w:tc>
        <w:tc>
          <w:tcPr>
            <w:tcW w:w="1986" w:type="dxa"/>
            <w:gridSpan w:val="2"/>
            <w:tcBorders>
              <w:top w:val="single" w:color="auto" w:sz="4" w:space="0"/>
              <w:left w:val="single" w:color="auto" w:sz="4" w:space="0"/>
              <w:bottom w:val="single" w:color="auto" w:sz="4" w:space="0"/>
              <w:right w:val="single" w:color="auto" w:sz="4" w:space="0"/>
            </w:tcBorders>
            <w:vAlign w:val="center"/>
          </w:tcPr>
          <w:p w14:paraId="71ECF71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FF0000"/>
                <w:kern w:val="0"/>
                <w:sz w:val="21"/>
                <w:szCs w:val="21"/>
                <w:highlight w:val="none"/>
              </w:rPr>
            </w:pPr>
            <w:r>
              <w:rPr>
                <w:rFonts w:hint="default" w:ascii="Times New Roman" w:hAnsi="Times New Roman" w:eastAsia="宋体" w:cs="Times New Roman"/>
                <w:color w:val="FF0000"/>
                <w:kern w:val="0"/>
                <w:sz w:val="21"/>
                <w:szCs w:val="21"/>
                <w:highlight w:val="none"/>
              </w:rPr>
              <w:t>生态</w:t>
            </w:r>
          </w:p>
        </w:tc>
        <w:tc>
          <w:tcPr>
            <w:tcW w:w="5298" w:type="dxa"/>
            <w:tcBorders>
              <w:top w:val="single" w:color="auto" w:sz="4" w:space="0"/>
              <w:left w:val="single" w:color="auto" w:sz="4" w:space="0"/>
              <w:bottom w:val="single" w:color="auto" w:sz="4" w:space="0"/>
              <w:right w:val="single" w:color="auto" w:sz="4" w:space="0"/>
            </w:tcBorders>
            <w:vAlign w:val="center"/>
          </w:tcPr>
          <w:p w14:paraId="6DA3697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绿化面积</w:t>
            </w:r>
            <w:r>
              <w:rPr>
                <w:rFonts w:hint="default" w:ascii="Times New Roman" w:hAnsi="Times New Roman" w:eastAsia="宋体" w:cs="Times New Roman"/>
                <w:color w:val="FF0000"/>
                <w:sz w:val="21"/>
                <w:szCs w:val="21"/>
                <w:highlight w:val="none"/>
                <w:lang w:val="en-US" w:eastAsia="zh-CN"/>
              </w:rPr>
              <w:t>10000</w:t>
            </w:r>
            <w:r>
              <w:rPr>
                <w:rFonts w:hint="default" w:ascii="Times New Roman" w:hAnsi="Times New Roman" w:eastAsia="宋体" w:cs="Times New Roman"/>
                <w:color w:val="FF0000"/>
                <w:sz w:val="21"/>
                <w:szCs w:val="21"/>
                <w:highlight w:val="none"/>
              </w:rPr>
              <w:t>m</w:t>
            </w:r>
            <w:r>
              <w:rPr>
                <w:rFonts w:hint="default" w:ascii="Times New Roman" w:hAnsi="Times New Roman" w:eastAsia="宋体" w:cs="Times New Roman"/>
                <w:color w:val="FF0000"/>
                <w:sz w:val="21"/>
                <w:szCs w:val="21"/>
                <w:highlight w:val="none"/>
                <w:vertAlign w:val="superscript"/>
              </w:rPr>
              <w:t>2</w:t>
            </w:r>
            <w:r>
              <w:rPr>
                <w:rFonts w:hint="default" w:ascii="Times New Roman" w:hAnsi="Times New Roman" w:eastAsia="宋体" w:cs="Times New Roman"/>
                <w:color w:val="FF0000"/>
                <w:sz w:val="21"/>
                <w:szCs w:val="21"/>
                <w:highlight w:val="none"/>
              </w:rPr>
              <w:t>。</w:t>
            </w:r>
          </w:p>
        </w:tc>
      </w:tr>
    </w:tbl>
    <w:p w14:paraId="61B9C63B">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205" w:name="_Toc19918"/>
      <w:r>
        <w:rPr>
          <w:rFonts w:hint="default" w:ascii="Times New Roman" w:hAnsi="Times New Roman" w:eastAsia="宋体" w:cs="Times New Roman"/>
          <w:color w:val="auto"/>
          <w:highlight w:val="none"/>
        </w:rPr>
        <w:t>3.1.3产品方案及技术指标</w:t>
      </w:r>
      <w:bookmarkEnd w:id="205"/>
    </w:p>
    <w:p w14:paraId="62300BBA">
      <w:pPr>
        <w:keepNext w:val="0"/>
        <w:keepLines w:val="0"/>
        <w:pageBreakBefore w:val="0"/>
        <w:widowControl w:val="0"/>
        <w:tabs>
          <w:tab w:val="left" w:pos="1050"/>
        </w:tabs>
        <w:kinsoku/>
        <w:wordWrap/>
        <w:overflowPunct/>
        <w:topLinePunct w:val="0"/>
        <w:autoSpaceDE w:val="0"/>
        <w:autoSpaceDN w:val="0"/>
        <w:bidi w:val="0"/>
        <w:adjustRightInd/>
        <w:snapToGrid w:val="0"/>
        <w:spacing w:line="360" w:lineRule="auto"/>
        <w:ind w:left="0" w:leftChars="0" w:right="0" w:rightChars="0" w:firstLine="480" w:firstLineChars="200"/>
        <w:contextualSpacing/>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本项目按照公司总体规划，新建存栏2500头肉牛建设项目，建成后年出栏育肥牛2500头。</w:t>
      </w:r>
    </w:p>
    <w:p w14:paraId="04333FBB">
      <w:pPr>
        <w:keepNext w:val="0"/>
        <w:keepLines w:val="0"/>
        <w:pageBreakBefore w:val="0"/>
        <w:widowControl w:val="0"/>
        <w:tabs>
          <w:tab w:val="left" w:pos="1050"/>
        </w:tabs>
        <w:kinsoku/>
        <w:wordWrap/>
        <w:overflowPunct/>
        <w:topLinePunct w:val="0"/>
        <w:autoSpaceDE w:val="0"/>
        <w:autoSpaceDN w:val="0"/>
        <w:bidi w:val="0"/>
        <w:adjustRightInd/>
        <w:snapToGrid w:val="0"/>
        <w:spacing w:line="360" w:lineRule="auto"/>
        <w:ind w:left="0" w:leftChars="0" w:right="0" w:rightChars="0" w:firstLine="480" w:firstLineChars="200"/>
        <w:contextualSpacing/>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highlight w:val="none"/>
          <w:lang w:val="en-US" w:eastAsia="zh-CN"/>
        </w:rPr>
        <w:t>本项目养殖场内存栏200头母牛，母牛采用精子库内的优良品种进行人工授精方式受孕，孕期为10个月，则犊牛存栏量约200头，犊牛经过哺乳阶段、保育阶段、育肥阶段，成长期为18个月。外购架子牛（4月-8月）2300头/次，架子牛在场内育肥12个月后体重可达800公斤以上后出栏。产品方案</w:t>
      </w:r>
      <w:r>
        <w:rPr>
          <w:rFonts w:hint="default" w:ascii="Times New Roman" w:hAnsi="Times New Roman" w:eastAsia="宋体" w:cs="Times New Roman"/>
          <w:color w:val="auto"/>
          <w:sz w:val="24"/>
          <w:szCs w:val="24"/>
          <w:highlight w:val="none"/>
        </w:rPr>
        <w:t>详见表</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w:t>
      </w:r>
    </w:p>
    <w:p w14:paraId="4CB20805">
      <w:pPr>
        <w:pageBreakBefore w:val="0"/>
        <w:widowControl w:val="0"/>
        <w:kinsoku/>
        <w:wordWrap/>
        <w:bidi w:val="0"/>
        <w:snapToGrid w:val="0"/>
        <w:spacing w:line="360" w:lineRule="auto"/>
        <w:ind w:left="0" w:leftChars="0" w:right="0" w:rightChars="0" w:firstLine="482"/>
        <w:contextualSpacing/>
        <w:jc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w:t>
      </w:r>
      <w:r>
        <w:rPr>
          <w:rFonts w:hint="default" w:ascii="Times New Roman" w:hAnsi="Times New Roman" w:eastAsia="宋体" w:cs="Times New Roman"/>
          <w:b/>
          <w:color w:val="auto"/>
          <w:sz w:val="24"/>
          <w:szCs w:val="24"/>
          <w:highlight w:val="none"/>
          <w:lang w:val="en-US" w:eastAsia="zh-CN"/>
        </w:rPr>
        <w:t>3</w:t>
      </w:r>
      <w:r>
        <w:rPr>
          <w:rFonts w:hint="default" w:ascii="Times New Roman" w:hAnsi="Times New Roman" w:eastAsia="宋体" w:cs="Times New Roman"/>
          <w:b/>
          <w:color w:val="auto"/>
          <w:sz w:val="24"/>
          <w:szCs w:val="24"/>
          <w:highlight w:val="none"/>
        </w:rPr>
        <w:t>.1-</w:t>
      </w:r>
      <w:r>
        <w:rPr>
          <w:rFonts w:hint="default" w:ascii="Times New Roman" w:hAnsi="Times New Roman" w:eastAsia="宋体" w:cs="Times New Roman"/>
          <w:b/>
          <w:color w:val="auto"/>
          <w:sz w:val="24"/>
          <w:szCs w:val="24"/>
          <w:highlight w:val="none"/>
          <w:lang w:val="en-US" w:eastAsia="zh-CN"/>
        </w:rPr>
        <w:t>4</w:t>
      </w:r>
      <w:r>
        <w:rPr>
          <w:rFonts w:hint="default" w:ascii="Times New Roman" w:hAnsi="Times New Roman" w:eastAsia="宋体" w:cs="Times New Roman"/>
          <w:b/>
          <w:color w:val="auto"/>
          <w:sz w:val="24"/>
          <w:szCs w:val="24"/>
          <w:highlight w:val="none"/>
        </w:rPr>
        <w:t>产品方案一览表</w:t>
      </w:r>
    </w:p>
    <w:tbl>
      <w:tblPr>
        <w:tblStyle w:val="40"/>
        <w:tblW w:w="8277"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655"/>
        <w:gridCol w:w="1655"/>
        <w:gridCol w:w="1655"/>
        <w:gridCol w:w="1656"/>
        <w:gridCol w:w="1656"/>
      </w:tblGrid>
      <w:tr w14:paraId="55D5F12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noWrap w:val="0"/>
            <w:vAlign w:val="center"/>
          </w:tcPr>
          <w:p w14:paraId="3C59214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序号</w:t>
            </w:r>
          </w:p>
        </w:tc>
        <w:tc>
          <w:tcPr>
            <w:tcW w:w="567" w:type="dxa"/>
            <w:tcBorders>
              <w:top w:val="single" w:color="auto" w:sz="4" w:space="0"/>
              <w:left w:val="single" w:color="auto" w:sz="4" w:space="0"/>
              <w:bottom w:val="single" w:color="auto" w:sz="4" w:space="0"/>
              <w:right w:val="single" w:color="auto" w:sz="4" w:space="0"/>
            </w:tcBorders>
            <w:noWrap w:val="0"/>
            <w:vAlign w:val="center"/>
          </w:tcPr>
          <w:p w14:paraId="48F45CF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产品名称</w:t>
            </w:r>
          </w:p>
        </w:tc>
        <w:tc>
          <w:tcPr>
            <w:tcW w:w="567" w:type="dxa"/>
            <w:tcBorders>
              <w:top w:val="single" w:color="auto" w:sz="4" w:space="0"/>
              <w:left w:val="single" w:color="auto" w:sz="4" w:space="0"/>
              <w:bottom w:val="single" w:color="auto" w:sz="4" w:space="0"/>
              <w:right w:val="single" w:color="auto" w:sz="4" w:space="0"/>
            </w:tcBorders>
            <w:noWrap w:val="0"/>
            <w:vAlign w:val="center"/>
          </w:tcPr>
          <w:p w14:paraId="225C4C4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单位</w:t>
            </w:r>
          </w:p>
        </w:tc>
        <w:tc>
          <w:tcPr>
            <w:tcW w:w="567" w:type="dxa"/>
            <w:tcBorders>
              <w:top w:val="single" w:color="auto" w:sz="4" w:space="0"/>
              <w:left w:val="single" w:color="auto" w:sz="4" w:space="0"/>
              <w:bottom w:val="single" w:color="auto" w:sz="4" w:space="0"/>
              <w:right w:val="single" w:color="auto" w:sz="4" w:space="0"/>
            </w:tcBorders>
            <w:noWrap w:val="0"/>
            <w:vAlign w:val="center"/>
          </w:tcPr>
          <w:p w14:paraId="4CA6FF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数量</w:t>
            </w:r>
          </w:p>
        </w:tc>
        <w:tc>
          <w:tcPr>
            <w:tcW w:w="567" w:type="dxa"/>
            <w:tcBorders>
              <w:top w:val="single" w:color="auto" w:sz="4" w:space="0"/>
              <w:left w:val="single" w:color="auto" w:sz="4" w:space="0"/>
              <w:bottom w:val="single" w:color="auto" w:sz="4" w:space="0"/>
              <w:right w:val="single" w:color="auto" w:sz="4" w:space="0"/>
            </w:tcBorders>
            <w:noWrap w:val="0"/>
            <w:vAlign w:val="center"/>
          </w:tcPr>
          <w:p w14:paraId="53F8410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备注</w:t>
            </w:r>
          </w:p>
        </w:tc>
      </w:tr>
      <w:tr w14:paraId="33313F4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noWrap w:val="0"/>
            <w:vAlign w:val="center"/>
          </w:tcPr>
          <w:p w14:paraId="3A731E9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1</w:t>
            </w:r>
          </w:p>
        </w:tc>
        <w:tc>
          <w:tcPr>
            <w:tcW w:w="567" w:type="dxa"/>
            <w:tcBorders>
              <w:top w:val="single" w:color="auto" w:sz="4" w:space="0"/>
              <w:left w:val="single" w:color="auto" w:sz="4" w:space="0"/>
              <w:bottom w:val="single" w:color="auto" w:sz="4" w:space="0"/>
              <w:right w:val="single" w:color="auto" w:sz="4" w:space="0"/>
            </w:tcBorders>
            <w:noWrap w:val="0"/>
            <w:vAlign w:val="center"/>
          </w:tcPr>
          <w:p w14:paraId="60BAA765">
            <w:pPr>
              <w:keepNext w:val="0"/>
              <w:keepLines w:val="0"/>
              <w:pageBreakBefore w:val="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autoSpaceDE/>
              <w:autoSpaceDN/>
              <w:bidi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肉牛</w:t>
            </w:r>
          </w:p>
        </w:tc>
        <w:tc>
          <w:tcPr>
            <w:tcW w:w="567" w:type="dxa"/>
            <w:tcBorders>
              <w:top w:val="single" w:color="auto" w:sz="4" w:space="0"/>
              <w:left w:val="single" w:color="auto" w:sz="4" w:space="0"/>
              <w:bottom w:val="single" w:color="auto" w:sz="4" w:space="0"/>
              <w:right w:val="single" w:color="auto" w:sz="4" w:space="0"/>
            </w:tcBorders>
            <w:noWrap w:val="0"/>
            <w:vAlign w:val="center"/>
          </w:tcPr>
          <w:p w14:paraId="0A029F9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头</w:t>
            </w:r>
          </w:p>
        </w:tc>
        <w:tc>
          <w:tcPr>
            <w:tcW w:w="567" w:type="dxa"/>
            <w:tcBorders>
              <w:top w:val="single" w:color="auto" w:sz="4" w:space="0"/>
              <w:left w:val="single" w:color="auto" w:sz="4" w:space="0"/>
              <w:bottom w:val="single" w:color="auto" w:sz="4" w:space="0"/>
              <w:right w:val="single" w:color="auto" w:sz="4" w:space="0"/>
            </w:tcBorders>
            <w:noWrap w:val="0"/>
            <w:vAlign w:val="center"/>
          </w:tcPr>
          <w:p w14:paraId="14E440D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2500</w:t>
            </w:r>
          </w:p>
        </w:tc>
        <w:tc>
          <w:tcPr>
            <w:tcW w:w="567" w:type="dxa"/>
            <w:tcBorders>
              <w:top w:val="single" w:color="auto" w:sz="4" w:space="0"/>
              <w:left w:val="single" w:color="auto" w:sz="4" w:space="0"/>
              <w:bottom w:val="single" w:color="auto" w:sz="4" w:space="0"/>
              <w:right w:val="single" w:color="auto" w:sz="4" w:space="0"/>
            </w:tcBorders>
            <w:noWrap w:val="0"/>
            <w:vAlign w:val="center"/>
          </w:tcPr>
          <w:p w14:paraId="1F5D219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出栏总量</w:t>
            </w:r>
          </w:p>
        </w:tc>
      </w:tr>
    </w:tbl>
    <w:p w14:paraId="40157DDA">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206" w:name="_Toc5912"/>
      <w:r>
        <w:rPr>
          <w:rFonts w:hint="default" w:ascii="Times New Roman" w:hAnsi="Times New Roman" w:eastAsia="宋体" w:cs="Times New Roman"/>
          <w:color w:val="auto"/>
          <w:highlight w:val="none"/>
        </w:rPr>
        <w:t>3.1.4主要原辅料消耗能源消耗</w:t>
      </w:r>
      <w:bookmarkEnd w:id="206"/>
    </w:p>
    <w:p w14:paraId="1E272AC3">
      <w:pPr>
        <w:pStyle w:val="6"/>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3.1.</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eastAsia="zh-CN"/>
        </w:rPr>
        <w:t>原辅料消耗</w:t>
      </w:r>
    </w:p>
    <w:p w14:paraId="5747F8D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本项目养殖</w:t>
      </w:r>
      <w:r>
        <w:rPr>
          <w:rFonts w:hint="default" w:ascii="Times New Roman" w:hAnsi="Times New Roman" w:eastAsia="宋体" w:cs="Times New Roman"/>
          <w:color w:val="auto"/>
          <w:highlight w:val="none"/>
          <w:lang w:eastAsia="zh-CN"/>
        </w:rPr>
        <w:t>肉牛</w:t>
      </w:r>
      <w:r>
        <w:rPr>
          <w:rFonts w:hint="default" w:ascii="Times New Roman" w:hAnsi="Times New Roman" w:eastAsia="宋体" w:cs="Times New Roman"/>
          <w:color w:val="auto"/>
          <w:highlight w:val="none"/>
        </w:rPr>
        <w:t>主要原料为优质饲草料及青贮玉米，项目区是传统农牧业地区，项目原料资源丰富</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本项目的原辅饲料消耗见下表。</w:t>
      </w:r>
    </w:p>
    <w:p w14:paraId="49AAD372">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表3.1-</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本项目饲料消耗一览表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48"/>
        <w:gridCol w:w="1389"/>
        <w:gridCol w:w="2751"/>
        <w:gridCol w:w="1389"/>
      </w:tblGrid>
      <w:tr w14:paraId="548070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996" w:type="dxa"/>
            <w:tcBorders>
              <w:top w:val="single" w:color="auto" w:sz="4" w:space="0"/>
              <w:left w:val="single" w:color="auto" w:sz="4" w:space="0"/>
            </w:tcBorders>
            <w:shd w:val="clear" w:color="auto" w:fill="auto"/>
            <w:vAlign w:val="center"/>
          </w:tcPr>
          <w:p w14:paraId="115DD01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1504" w:type="dxa"/>
            <w:tcBorders>
              <w:top w:val="single" w:color="auto" w:sz="4" w:space="0"/>
            </w:tcBorders>
            <w:shd w:val="clear" w:color="auto" w:fill="auto"/>
            <w:vAlign w:val="center"/>
          </w:tcPr>
          <w:p w14:paraId="42A5CE1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2999" w:type="dxa"/>
            <w:tcBorders>
              <w:top w:val="single" w:color="auto" w:sz="4" w:space="0"/>
            </w:tcBorders>
            <w:shd w:val="clear" w:color="auto" w:fill="auto"/>
            <w:vAlign w:val="center"/>
          </w:tcPr>
          <w:p w14:paraId="42E978C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消耗量</w:t>
            </w:r>
          </w:p>
        </w:tc>
        <w:tc>
          <w:tcPr>
            <w:tcW w:w="1504" w:type="dxa"/>
            <w:tcBorders>
              <w:top w:val="single" w:color="auto" w:sz="4" w:space="0"/>
              <w:right w:val="single" w:color="auto" w:sz="4" w:space="0"/>
            </w:tcBorders>
            <w:shd w:val="clear" w:color="auto" w:fill="auto"/>
            <w:vAlign w:val="center"/>
          </w:tcPr>
          <w:p w14:paraId="7A1AF90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来源</w:t>
            </w:r>
          </w:p>
        </w:tc>
      </w:tr>
      <w:tr w14:paraId="4DF5A2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96" w:type="dxa"/>
            <w:tcBorders>
              <w:left w:val="single" w:color="auto" w:sz="4" w:space="0"/>
            </w:tcBorders>
            <w:shd w:val="clear" w:color="auto" w:fill="auto"/>
            <w:vAlign w:val="center"/>
          </w:tcPr>
          <w:p w14:paraId="5A281A1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干草（含</w:t>
            </w:r>
            <w:r>
              <w:rPr>
                <w:rFonts w:hint="default" w:ascii="Times New Roman" w:hAnsi="Times New Roman" w:eastAsia="宋体" w:cs="Times New Roman"/>
                <w:color w:val="auto"/>
                <w:sz w:val="21"/>
                <w:szCs w:val="21"/>
                <w:highlight w:val="none"/>
                <w:lang w:eastAsia="zh-CN"/>
              </w:rPr>
              <w:t>秸秆</w:t>
            </w:r>
            <w:r>
              <w:rPr>
                <w:rFonts w:hint="default" w:ascii="Times New Roman" w:hAnsi="Times New Roman" w:eastAsia="宋体" w:cs="Times New Roman"/>
                <w:color w:val="auto"/>
                <w:sz w:val="21"/>
                <w:szCs w:val="21"/>
                <w:highlight w:val="none"/>
              </w:rPr>
              <w:t>）</w:t>
            </w:r>
          </w:p>
        </w:tc>
        <w:tc>
          <w:tcPr>
            <w:tcW w:w="1504" w:type="dxa"/>
            <w:shd w:val="clear" w:color="auto" w:fill="auto"/>
            <w:vAlign w:val="center"/>
          </w:tcPr>
          <w:p w14:paraId="04B89E0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t/a</w:t>
            </w:r>
          </w:p>
        </w:tc>
        <w:tc>
          <w:tcPr>
            <w:tcW w:w="2999" w:type="dxa"/>
            <w:shd w:val="clear" w:color="auto" w:fill="auto"/>
            <w:vAlign w:val="bottom"/>
          </w:tcPr>
          <w:p w14:paraId="3F889E4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5000</w:t>
            </w:r>
          </w:p>
        </w:tc>
        <w:tc>
          <w:tcPr>
            <w:tcW w:w="1504" w:type="dxa"/>
            <w:tcBorders>
              <w:right w:val="single" w:color="auto" w:sz="4" w:space="0"/>
            </w:tcBorders>
            <w:shd w:val="clear" w:color="auto" w:fill="auto"/>
            <w:vAlign w:val="center"/>
          </w:tcPr>
          <w:p w14:paraId="1196A97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外购</w:t>
            </w:r>
          </w:p>
        </w:tc>
      </w:tr>
      <w:tr w14:paraId="31C91E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96" w:type="dxa"/>
            <w:tcBorders>
              <w:left w:val="single" w:color="auto" w:sz="4" w:space="0"/>
            </w:tcBorders>
            <w:shd w:val="clear" w:color="auto" w:fill="auto"/>
            <w:vAlign w:val="center"/>
          </w:tcPr>
          <w:p w14:paraId="1C483CB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精料（玉米、辅助饲料）</w:t>
            </w:r>
          </w:p>
        </w:tc>
        <w:tc>
          <w:tcPr>
            <w:tcW w:w="1504" w:type="dxa"/>
            <w:shd w:val="clear" w:color="auto" w:fill="auto"/>
            <w:vAlign w:val="center"/>
          </w:tcPr>
          <w:p w14:paraId="5867298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t/a</w:t>
            </w:r>
          </w:p>
        </w:tc>
        <w:tc>
          <w:tcPr>
            <w:tcW w:w="2999" w:type="dxa"/>
            <w:shd w:val="clear" w:color="auto" w:fill="auto"/>
            <w:vAlign w:val="bottom"/>
          </w:tcPr>
          <w:p w14:paraId="2385325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12500</w:t>
            </w:r>
          </w:p>
        </w:tc>
        <w:tc>
          <w:tcPr>
            <w:tcW w:w="1504" w:type="dxa"/>
            <w:tcBorders>
              <w:right w:val="single" w:color="auto" w:sz="4" w:space="0"/>
            </w:tcBorders>
            <w:shd w:val="clear" w:color="auto" w:fill="auto"/>
            <w:vAlign w:val="center"/>
          </w:tcPr>
          <w:p w14:paraId="49E8574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外购</w:t>
            </w:r>
          </w:p>
        </w:tc>
      </w:tr>
      <w:tr w14:paraId="33D7DD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96" w:type="dxa"/>
            <w:tcBorders>
              <w:left w:val="single" w:color="auto" w:sz="4" w:space="0"/>
              <w:bottom w:val="single" w:color="auto" w:sz="4" w:space="0"/>
            </w:tcBorders>
            <w:shd w:val="clear" w:color="auto" w:fill="auto"/>
            <w:vAlign w:val="center"/>
          </w:tcPr>
          <w:p w14:paraId="6B03D54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青贮料</w:t>
            </w:r>
            <w:r>
              <w:rPr>
                <w:rFonts w:hint="default" w:ascii="Times New Roman" w:hAnsi="Times New Roman" w:eastAsia="宋体" w:cs="Times New Roman"/>
                <w:color w:val="auto"/>
                <w:sz w:val="21"/>
                <w:szCs w:val="21"/>
                <w:highlight w:val="none"/>
                <w:lang w:eastAsia="zh-CN"/>
              </w:rPr>
              <w:t>（玉米）</w:t>
            </w:r>
          </w:p>
        </w:tc>
        <w:tc>
          <w:tcPr>
            <w:tcW w:w="1504" w:type="dxa"/>
            <w:tcBorders>
              <w:bottom w:val="single" w:color="auto" w:sz="4" w:space="0"/>
            </w:tcBorders>
            <w:shd w:val="clear" w:color="auto" w:fill="auto"/>
            <w:vAlign w:val="center"/>
          </w:tcPr>
          <w:p w14:paraId="7ECE88F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t/a</w:t>
            </w:r>
          </w:p>
        </w:tc>
        <w:tc>
          <w:tcPr>
            <w:tcW w:w="2999" w:type="dxa"/>
            <w:tcBorders>
              <w:bottom w:val="single" w:color="auto" w:sz="4" w:space="0"/>
            </w:tcBorders>
            <w:shd w:val="clear" w:color="auto" w:fill="auto"/>
            <w:vAlign w:val="bottom"/>
          </w:tcPr>
          <w:p w14:paraId="4983539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2500</w:t>
            </w:r>
          </w:p>
        </w:tc>
        <w:tc>
          <w:tcPr>
            <w:tcW w:w="1504" w:type="dxa"/>
            <w:tcBorders>
              <w:bottom w:val="single" w:color="auto" w:sz="4" w:space="0"/>
              <w:right w:val="single" w:color="auto" w:sz="4" w:space="0"/>
            </w:tcBorders>
            <w:shd w:val="clear" w:color="auto" w:fill="auto"/>
            <w:vAlign w:val="center"/>
          </w:tcPr>
          <w:p w14:paraId="1E66663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外购</w:t>
            </w:r>
          </w:p>
        </w:tc>
      </w:tr>
    </w:tbl>
    <w:p w14:paraId="6388D098">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3.1.4.2动力消耗</w:t>
      </w:r>
    </w:p>
    <w:p w14:paraId="392A598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项目动力消耗情况见下表。</w:t>
      </w:r>
    </w:p>
    <w:p w14:paraId="3F935CBF">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表3.1-</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动力消耗一览表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55"/>
        <w:gridCol w:w="1655"/>
        <w:gridCol w:w="1655"/>
        <w:gridCol w:w="1656"/>
        <w:gridCol w:w="1656"/>
      </w:tblGrid>
      <w:tr w14:paraId="19CCD7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tcBorders>
              <w:top w:val="single" w:color="auto" w:sz="4" w:space="0"/>
              <w:left w:val="single" w:color="auto" w:sz="4" w:space="0"/>
            </w:tcBorders>
            <w:shd w:val="clear" w:color="auto" w:fill="auto"/>
            <w:vAlign w:val="center"/>
          </w:tcPr>
          <w:p w14:paraId="5912334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1134" w:type="dxa"/>
            <w:tcBorders>
              <w:top w:val="single" w:color="auto" w:sz="4" w:space="0"/>
            </w:tcBorders>
            <w:shd w:val="clear" w:color="auto" w:fill="auto"/>
            <w:vAlign w:val="center"/>
          </w:tcPr>
          <w:p w14:paraId="29A9CF3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1134" w:type="dxa"/>
            <w:tcBorders>
              <w:top w:val="single" w:color="auto" w:sz="4" w:space="0"/>
            </w:tcBorders>
            <w:shd w:val="clear" w:color="auto" w:fill="auto"/>
            <w:vAlign w:val="center"/>
          </w:tcPr>
          <w:p w14:paraId="67065BA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消耗量</w:t>
            </w:r>
          </w:p>
        </w:tc>
        <w:tc>
          <w:tcPr>
            <w:tcW w:w="1134" w:type="dxa"/>
            <w:tcBorders>
              <w:top w:val="single" w:color="auto" w:sz="4" w:space="0"/>
              <w:right w:val="single" w:color="auto" w:sz="4" w:space="0"/>
            </w:tcBorders>
            <w:shd w:val="clear" w:color="auto" w:fill="auto"/>
            <w:vAlign w:val="center"/>
          </w:tcPr>
          <w:p w14:paraId="24B63AD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来源</w:t>
            </w:r>
          </w:p>
        </w:tc>
        <w:tc>
          <w:tcPr>
            <w:tcW w:w="1134" w:type="dxa"/>
            <w:tcBorders>
              <w:top w:val="single" w:color="auto" w:sz="4" w:space="0"/>
              <w:right w:val="single" w:color="auto" w:sz="4" w:space="0"/>
            </w:tcBorders>
            <w:shd w:val="clear" w:color="auto" w:fill="auto"/>
            <w:vAlign w:val="center"/>
          </w:tcPr>
          <w:p w14:paraId="6C750FD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备注</w:t>
            </w:r>
          </w:p>
        </w:tc>
      </w:tr>
      <w:tr w14:paraId="58C3D9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tcBorders>
              <w:left w:val="single" w:color="auto" w:sz="4" w:space="0"/>
            </w:tcBorders>
            <w:shd w:val="clear" w:color="auto" w:fill="auto"/>
            <w:vAlign w:val="center"/>
          </w:tcPr>
          <w:p w14:paraId="77C575C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新鲜水</w:t>
            </w:r>
          </w:p>
        </w:tc>
        <w:tc>
          <w:tcPr>
            <w:tcW w:w="1134" w:type="dxa"/>
            <w:shd w:val="clear" w:color="auto" w:fill="auto"/>
            <w:vAlign w:val="center"/>
          </w:tcPr>
          <w:p w14:paraId="3099230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/a</w:t>
            </w:r>
          </w:p>
        </w:tc>
        <w:tc>
          <w:tcPr>
            <w:tcW w:w="1134" w:type="dxa"/>
            <w:shd w:val="clear" w:color="auto" w:fill="auto"/>
            <w:vAlign w:val="center"/>
          </w:tcPr>
          <w:p w14:paraId="0FE85D0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55045</w:t>
            </w:r>
          </w:p>
        </w:tc>
        <w:tc>
          <w:tcPr>
            <w:tcW w:w="1134" w:type="dxa"/>
            <w:tcBorders>
              <w:right w:val="single" w:color="auto" w:sz="4" w:space="0"/>
            </w:tcBorders>
            <w:shd w:val="clear" w:color="auto" w:fill="auto"/>
            <w:vAlign w:val="center"/>
          </w:tcPr>
          <w:p w14:paraId="4B22FBB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深井水</w:t>
            </w:r>
          </w:p>
        </w:tc>
        <w:tc>
          <w:tcPr>
            <w:tcW w:w="1134" w:type="dxa"/>
            <w:tcBorders>
              <w:right w:val="single" w:color="auto" w:sz="4" w:space="0"/>
            </w:tcBorders>
            <w:shd w:val="clear" w:color="auto" w:fill="auto"/>
            <w:vAlign w:val="center"/>
          </w:tcPr>
          <w:p w14:paraId="262D154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55DEB9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tcBorders>
              <w:left w:val="single" w:color="auto" w:sz="4" w:space="0"/>
            </w:tcBorders>
            <w:shd w:val="clear" w:color="auto" w:fill="auto"/>
            <w:vAlign w:val="center"/>
          </w:tcPr>
          <w:p w14:paraId="3304011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电</w:t>
            </w:r>
          </w:p>
        </w:tc>
        <w:tc>
          <w:tcPr>
            <w:tcW w:w="1134" w:type="dxa"/>
            <w:shd w:val="clear" w:color="auto" w:fill="auto"/>
            <w:vAlign w:val="center"/>
          </w:tcPr>
          <w:p w14:paraId="3863FA6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万kwh/a</w:t>
            </w:r>
          </w:p>
        </w:tc>
        <w:tc>
          <w:tcPr>
            <w:tcW w:w="1134" w:type="dxa"/>
            <w:shd w:val="clear" w:color="auto" w:fill="auto"/>
            <w:vAlign w:val="center"/>
          </w:tcPr>
          <w:p w14:paraId="470034B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211.88</w:t>
            </w:r>
          </w:p>
        </w:tc>
        <w:tc>
          <w:tcPr>
            <w:tcW w:w="1134" w:type="dxa"/>
            <w:tcBorders>
              <w:right w:val="single" w:color="auto" w:sz="4" w:space="0"/>
            </w:tcBorders>
            <w:shd w:val="clear" w:color="auto" w:fill="auto"/>
            <w:vAlign w:val="center"/>
          </w:tcPr>
          <w:p w14:paraId="35C7D24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外供</w:t>
            </w:r>
          </w:p>
        </w:tc>
        <w:tc>
          <w:tcPr>
            <w:tcW w:w="1134" w:type="dxa"/>
            <w:tcBorders>
              <w:right w:val="single" w:color="auto" w:sz="4" w:space="0"/>
            </w:tcBorders>
            <w:shd w:val="clear" w:color="auto" w:fill="auto"/>
            <w:vAlign w:val="center"/>
          </w:tcPr>
          <w:p w14:paraId="4317C42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60E3FF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tcBorders>
              <w:left w:val="single" w:color="auto" w:sz="4" w:space="0"/>
            </w:tcBorders>
            <w:shd w:val="clear" w:color="auto" w:fill="auto"/>
            <w:vAlign w:val="center"/>
          </w:tcPr>
          <w:p w14:paraId="26E8D3B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生物除臭剂</w:t>
            </w:r>
          </w:p>
        </w:tc>
        <w:tc>
          <w:tcPr>
            <w:tcW w:w="1134" w:type="dxa"/>
            <w:shd w:val="clear" w:color="auto" w:fill="auto"/>
            <w:vAlign w:val="center"/>
          </w:tcPr>
          <w:p w14:paraId="635B3C7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t/a</w:t>
            </w:r>
          </w:p>
        </w:tc>
        <w:tc>
          <w:tcPr>
            <w:tcW w:w="1134" w:type="dxa"/>
            <w:shd w:val="clear" w:color="auto" w:fill="auto"/>
            <w:vAlign w:val="center"/>
          </w:tcPr>
          <w:p w14:paraId="218B825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w:t>
            </w:r>
          </w:p>
        </w:tc>
        <w:tc>
          <w:tcPr>
            <w:tcW w:w="1134" w:type="dxa"/>
            <w:tcBorders>
              <w:right w:val="single" w:color="auto" w:sz="4" w:space="0"/>
            </w:tcBorders>
            <w:shd w:val="clear" w:color="auto" w:fill="auto"/>
            <w:vAlign w:val="center"/>
          </w:tcPr>
          <w:p w14:paraId="2C24E3C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外购</w:t>
            </w:r>
          </w:p>
        </w:tc>
        <w:tc>
          <w:tcPr>
            <w:tcW w:w="1134" w:type="dxa"/>
            <w:tcBorders>
              <w:right w:val="single" w:color="auto" w:sz="4" w:space="0"/>
            </w:tcBorders>
            <w:shd w:val="clear" w:color="auto" w:fill="auto"/>
            <w:vAlign w:val="center"/>
          </w:tcPr>
          <w:p w14:paraId="3F9ED5C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瓶装、兽医室</w:t>
            </w:r>
          </w:p>
        </w:tc>
      </w:tr>
      <w:tr w14:paraId="5D9261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tcBorders>
              <w:left w:val="single" w:color="auto" w:sz="4" w:space="0"/>
            </w:tcBorders>
            <w:shd w:val="clear" w:color="auto" w:fill="auto"/>
            <w:vAlign w:val="center"/>
          </w:tcPr>
          <w:p w14:paraId="419C2E2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消毒液</w:t>
            </w:r>
          </w:p>
        </w:tc>
        <w:tc>
          <w:tcPr>
            <w:tcW w:w="1134" w:type="dxa"/>
            <w:shd w:val="clear" w:color="auto" w:fill="auto"/>
            <w:vAlign w:val="center"/>
          </w:tcPr>
          <w:p w14:paraId="4E2F95E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t/a</w:t>
            </w:r>
          </w:p>
        </w:tc>
        <w:tc>
          <w:tcPr>
            <w:tcW w:w="1134" w:type="dxa"/>
            <w:shd w:val="clear" w:color="auto" w:fill="auto"/>
            <w:vAlign w:val="center"/>
          </w:tcPr>
          <w:p w14:paraId="56621D3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w:t>
            </w:r>
          </w:p>
        </w:tc>
        <w:tc>
          <w:tcPr>
            <w:tcW w:w="1134" w:type="dxa"/>
            <w:tcBorders>
              <w:right w:val="single" w:color="auto" w:sz="4" w:space="0"/>
            </w:tcBorders>
            <w:shd w:val="clear" w:color="auto" w:fill="auto"/>
            <w:vAlign w:val="center"/>
          </w:tcPr>
          <w:p w14:paraId="6E05202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外购</w:t>
            </w:r>
          </w:p>
        </w:tc>
        <w:tc>
          <w:tcPr>
            <w:tcW w:w="1134" w:type="dxa"/>
            <w:tcBorders>
              <w:right w:val="single" w:color="auto" w:sz="4" w:space="0"/>
            </w:tcBorders>
            <w:shd w:val="clear" w:color="auto" w:fill="auto"/>
            <w:vAlign w:val="center"/>
          </w:tcPr>
          <w:p w14:paraId="05BA97B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lang w:val="en-US" w:eastAsia="zh-CN"/>
              </w:rPr>
              <w:t>瓶装、兽医室</w:t>
            </w:r>
          </w:p>
        </w:tc>
      </w:tr>
      <w:tr w14:paraId="1B357A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tcBorders>
              <w:left w:val="single" w:color="auto" w:sz="4" w:space="0"/>
              <w:bottom w:val="single" w:color="auto" w:sz="4" w:space="0"/>
            </w:tcBorders>
            <w:shd w:val="clear" w:color="auto" w:fill="auto"/>
            <w:vAlign w:val="center"/>
          </w:tcPr>
          <w:p w14:paraId="500A63A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酒精</w:t>
            </w:r>
          </w:p>
        </w:tc>
        <w:tc>
          <w:tcPr>
            <w:tcW w:w="1134" w:type="dxa"/>
            <w:tcBorders>
              <w:bottom w:val="single" w:color="auto" w:sz="4" w:space="0"/>
            </w:tcBorders>
            <w:shd w:val="clear" w:color="auto" w:fill="auto"/>
            <w:vAlign w:val="center"/>
          </w:tcPr>
          <w:p w14:paraId="1F556CD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t/a</w:t>
            </w:r>
          </w:p>
        </w:tc>
        <w:tc>
          <w:tcPr>
            <w:tcW w:w="1134" w:type="dxa"/>
            <w:tcBorders>
              <w:bottom w:val="single" w:color="auto" w:sz="4" w:space="0"/>
            </w:tcBorders>
            <w:shd w:val="clear" w:color="auto" w:fill="auto"/>
            <w:vAlign w:val="center"/>
          </w:tcPr>
          <w:p w14:paraId="2539522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0.3</w:t>
            </w:r>
          </w:p>
        </w:tc>
        <w:tc>
          <w:tcPr>
            <w:tcW w:w="1134" w:type="dxa"/>
            <w:tcBorders>
              <w:bottom w:val="single" w:color="auto" w:sz="4" w:space="0"/>
              <w:right w:val="single" w:color="auto" w:sz="4" w:space="0"/>
            </w:tcBorders>
            <w:shd w:val="clear" w:color="auto" w:fill="auto"/>
            <w:vAlign w:val="center"/>
          </w:tcPr>
          <w:p w14:paraId="73DE67B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外购</w:t>
            </w:r>
          </w:p>
        </w:tc>
        <w:tc>
          <w:tcPr>
            <w:tcW w:w="1134" w:type="dxa"/>
            <w:tcBorders>
              <w:bottom w:val="single" w:color="auto" w:sz="4" w:space="0"/>
              <w:right w:val="single" w:color="auto" w:sz="4" w:space="0"/>
            </w:tcBorders>
            <w:shd w:val="clear" w:color="auto" w:fill="auto"/>
            <w:vAlign w:val="center"/>
          </w:tcPr>
          <w:p w14:paraId="6C99463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lang w:val="en-US"/>
              </w:rPr>
            </w:pPr>
            <w:r>
              <w:rPr>
                <w:rFonts w:hint="default" w:ascii="Times New Roman" w:hAnsi="Times New Roman" w:eastAsia="宋体" w:cs="Times New Roman"/>
                <w:color w:val="0000FF"/>
                <w:sz w:val="21"/>
                <w:szCs w:val="21"/>
                <w:highlight w:val="none"/>
                <w:lang w:val="en-US" w:eastAsia="zh-CN"/>
              </w:rPr>
              <w:t>瓶装、兽医室</w:t>
            </w:r>
          </w:p>
        </w:tc>
      </w:tr>
    </w:tbl>
    <w:p w14:paraId="314146EA">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207" w:name="_Toc15190"/>
      <w:r>
        <w:rPr>
          <w:rFonts w:hint="default" w:ascii="Times New Roman" w:hAnsi="Times New Roman" w:eastAsia="宋体" w:cs="Times New Roman"/>
          <w:color w:val="auto"/>
          <w:highlight w:val="none"/>
        </w:rPr>
        <w:t>3.1.5主要设备</w:t>
      </w:r>
      <w:bookmarkEnd w:id="207"/>
    </w:p>
    <w:p w14:paraId="291FB01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项目主要生产设备、设施见表3.1-</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w:t>
      </w:r>
    </w:p>
    <w:p w14:paraId="218C29EE">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表3.1-</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主要生产设备、设施一览表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61"/>
        <w:gridCol w:w="5390"/>
        <w:gridCol w:w="963"/>
        <w:gridCol w:w="963"/>
      </w:tblGrid>
      <w:tr w14:paraId="52E7CB7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03" w:type="dxa"/>
            <w:tcBorders>
              <w:top w:val="single" w:color="auto" w:sz="4" w:space="0"/>
              <w:left w:val="single" w:color="auto" w:sz="4" w:space="0"/>
              <w:bottom w:val="single" w:color="auto" w:sz="4" w:space="0"/>
              <w:right w:val="single" w:color="auto" w:sz="4" w:space="0"/>
            </w:tcBorders>
            <w:vAlign w:val="center"/>
          </w:tcPr>
          <w:p w14:paraId="60DD7EA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53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983524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设备名称</w:t>
            </w:r>
          </w:p>
        </w:tc>
        <w:tc>
          <w:tcPr>
            <w:tcW w:w="1205" w:type="dxa"/>
            <w:tcBorders>
              <w:top w:val="single" w:color="auto" w:sz="4" w:space="0"/>
              <w:left w:val="single" w:color="auto" w:sz="4" w:space="0"/>
              <w:bottom w:val="single" w:color="auto" w:sz="4" w:space="0"/>
              <w:right w:val="single" w:color="auto" w:sz="4" w:space="0"/>
            </w:tcBorders>
            <w:vAlign w:val="center"/>
          </w:tcPr>
          <w:p w14:paraId="28F3714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1205" w:type="dxa"/>
            <w:tcBorders>
              <w:top w:val="single" w:color="auto" w:sz="4" w:space="0"/>
              <w:left w:val="single" w:color="auto" w:sz="4" w:space="0"/>
              <w:bottom w:val="single" w:color="auto" w:sz="4" w:space="0"/>
              <w:right w:val="single" w:color="auto" w:sz="4" w:space="0"/>
            </w:tcBorders>
            <w:vAlign w:val="center"/>
          </w:tcPr>
          <w:p w14:paraId="3AA4134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数量</w:t>
            </w:r>
          </w:p>
        </w:tc>
      </w:tr>
      <w:tr w14:paraId="5200AF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03" w:type="dxa"/>
            <w:tcBorders>
              <w:top w:val="single" w:color="auto" w:sz="4" w:space="0"/>
              <w:left w:val="single" w:color="auto" w:sz="4" w:space="0"/>
              <w:bottom w:val="single" w:color="auto" w:sz="4" w:space="0"/>
              <w:right w:val="single" w:color="auto" w:sz="4" w:space="0"/>
            </w:tcBorders>
            <w:vAlign w:val="center"/>
          </w:tcPr>
          <w:p w14:paraId="2483ABE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1</w:t>
            </w:r>
          </w:p>
        </w:tc>
        <w:tc>
          <w:tcPr>
            <w:tcW w:w="53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802AF5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电热水槽</w:t>
            </w:r>
          </w:p>
        </w:tc>
        <w:tc>
          <w:tcPr>
            <w:tcW w:w="1205" w:type="dxa"/>
            <w:tcBorders>
              <w:top w:val="single" w:color="auto" w:sz="4" w:space="0"/>
              <w:left w:val="single" w:color="auto" w:sz="4" w:space="0"/>
              <w:bottom w:val="single" w:color="auto" w:sz="4" w:space="0"/>
              <w:right w:val="single" w:color="auto" w:sz="4" w:space="0"/>
            </w:tcBorders>
            <w:vAlign w:val="center"/>
          </w:tcPr>
          <w:p w14:paraId="5AFA03D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1205" w:type="dxa"/>
            <w:tcBorders>
              <w:top w:val="single" w:color="auto" w:sz="4" w:space="0"/>
              <w:left w:val="single" w:color="auto" w:sz="4" w:space="0"/>
              <w:bottom w:val="single" w:color="auto" w:sz="4" w:space="0"/>
              <w:right w:val="single" w:color="auto" w:sz="4" w:space="0"/>
            </w:tcBorders>
            <w:vAlign w:val="center"/>
          </w:tcPr>
          <w:p w14:paraId="1183F27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台</w:t>
            </w:r>
          </w:p>
        </w:tc>
      </w:tr>
      <w:tr w14:paraId="6570EF1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03" w:type="dxa"/>
            <w:tcBorders>
              <w:top w:val="single" w:color="auto" w:sz="4" w:space="0"/>
              <w:left w:val="single" w:color="auto" w:sz="4" w:space="0"/>
              <w:bottom w:val="single" w:color="auto" w:sz="4" w:space="0"/>
              <w:right w:val="single" w:color="auto" w:sz="4" w:space="0"/>
            </w:tcBorders>
            <w:vAlign w:val="center"/>
          </w:tcPr>
          <w:p w14:paraId="27418D6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w:t>
            </w:r>
          </w:p>
        </w:tc>
        <w:tc>
          <w:tcPr>
            <w:tcW w:w="53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E08799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TMR混合机</w:t>
            </w:r>
          </w:p>
        </w:tc>
        <w:tc>
          <w:tcPr>
            <w:tcW w:w="1205" w:type="dxa"/>
            <w:tcBorders>
              <w:top w:val="single" w:color="auto" w:sz="4" w:space="0"/>
              <w:left w:val="single" w:color="auto" w:sz="4" w:space="0"/>
              <w:bottom w:val="single" w:color="auto" w:sz="4" w:space="0"/>
              <w:right w:val="single" w:color="auto" w:sz="4" w:space="0"/>
            </w:tcBorders>
            <w:vAlign w:val="center"/>
          </w:tcPr>
          <w:p w14:paraId="0DE252C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1205" w:type="dxa"/>
            <w:tcBorders>
              <w:top w:val="single" w:color="auto" w:sz="4" w:space="0"/>
              <w:left w:val="single" w:color="auto" w:sz="4" w:space="0"/>
              <w:bottom w:val="single" w:color="auto" w:sz="4" w:space="0"/>
              <w:right w:val="single" w:color="auto" w:sz="4" w:space="0"/>
            </w:tcBorders>
            <w:vAlign w:val="center"/>
          </w:tcPr>
          <w:p w14:paraId="780ADE6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台</w:t>
            </w:r>
          </w:p>
        </w:tc>
      </w:tr>
      <w:tr w14:paraId="3F57B20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03" w:type="dxa"/>
            <w:tcBorders>
              <w:top w:val="single" w:color="auto" w:sz="4" w:space="0"/>
              <w:left w:val="single" w:color="auto" w:sz="4" w:space="0"/>
              <w:bottom w:val="single" w:color="auto" w:sz="4" w:space="0"/>
              <w:right w:val="single" w:color="auto" w:sz="4" w:space="0"/>
            </w:tcBorders>
            <w:vAlign w:val="center"/>
          </w:tcPr>
          <w:p w14:paraId="68EC02F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w:t>
            </w:r>
          </w:p>
        </w:tc>
        <w:tc>
          <w:tcPr>
            <w:tcW w:w="53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FED8C9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饲料粉碎机</w:t>
            </w:r>
          </w:p>
        </w:tc>
        <w:tc>
          <w:tcPr>
            <w:tcW w:w="1205" w:type="dxa"/>
            <w:tcBorders>
              <w:top w:val="single" w:color="auto" w:sz="4" w:space="0"/>
              <w:left w:val="single" w:color="auto" w:sz="4" w:space="0"/>
              <w:bottom w:val="single" w:color="auto" w:sz="4" w:space="0"/>
              <w:right w:val="single" w:color="auto" w:sz="4" w:space="0"/>
            </w:tcBorders>
            <w:vAlign w:val="center"/>
          </w:tcPr>
          <w:p w14:paraId="02AB6AE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p>
        </w:tc>
        <w:tc>
          <w:tcPr>
            <w:tcW w:w="1205" w:type="dxa"/>
            <w:tcBorders>
              <w:top w:val="single" w:color="auto" w:sz="4" w:space="0"/>
              <w:left w:val="single" w:color="auto" w:sz="4" w:space="0"/>
              <w:bottom w:val="single" w:color="auto" w:sz="4" w:space="0"/>
              <w:right w:val="single" w:color="auto" w:sz="4" w:space="0"/>
            </w:tcBorders>
            <w:vAlign w:val="center"/>
          </w:tcPr>
          <w:p w14:paraId="204E4B6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台</w:t>
            </w:r>
          </w:p>
        </w:tc>
      </w:tr>
      <w:tr w14:paraId="44B84F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03" w:type="dxa"/>
            <w:tcBorders>
              <w:top w:val="single" w:color="auto" w:sz="4" w:space="0"/>
              <w:left w:val="single" w:color="auto" w:sz="4" w:space="0"/>
              <w:bottom w:val="single" w:color="auto" w:sz="4" w:space="0"/>
              <w:right w:val="single" w:color="auto" w:sz="4" w:space="0"/>
            </w:tcBorders>
            <w:vAlign w:val="center"/>
          </w:tcPr>
          <w:p w14:paraId="69D49EC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w:t>
            </w:r>
          </w:p>
        </w:tc>
        <w:tc>
          <w:tcPr>
            <w:tcW w:w="53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8E2D5E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精饲料配料机</w:t>
            </w:r>
          </w:p>
        </w:tc>
        <w:tc>
          <w:tcPr>
            <w:tcW w:w="1205" w:type="dxa"/>
            <w:tcBorders>
              <w:top w:val="single" w:color="auto" w:sz="4" w:space="0"/>
              <w:left w:val="single" w:color="auto" w:sz="4" w:space="0"/>
              <w:bottom w:val="single" w:color="auto" w:sz="4" w:space="0"/>
              <w:right w:val="single" w:color="auto" w:sz="4" w:space="0"/>
            </w:tcBorders>
            <w:vAlign w:val="center"/>
          </w:tcPr>
          <w:p w14:paraId="66777B2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1205" w:type="dxa"/>
            <w:tcBorders>
              <w:top w:val="single" w:color="auto" w:sz="4" w:space="0"/>
              <w:left w:val="single" w:color="auto" w:sz="4" w:space="0"/>
              <w:bottom w:val="single" w:color="auto" w:sz="4" w:space="0"/>
              <w:right w:val="single" w:color="auto" w:sz="4" w:space="0"/>
            </w:tcBorders>
            <w:vAlign w:val="center"/>
          </w:tcPr>
          <w:p w14:paraId="4601ABB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台</w:t>
            </w:r>
          </w:p>
        </w:tc>
      </w:tr>
      <w:tr w14:paraId="6E23331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03" w:type="dxa"/>
            <w:tcBorders>
              <w:top w:val="single" w:color="auto" w:sz="4" w:space="0"/>
              <w:left w:val="single" w:color="auto" w:sz="4" w:space="0"/>
              <w:bottom w:val="single" w:color="auto" w:sz="4" w:space="0"/>
              <w:right w:val="single" w:color="auto" w:sz="4" w:space="0"/>
            </w:tcBorders>
            <w:vAlign w:val="center"/>
          </w:tcPr>
          <w:p w14:paraId="6DD616D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w:t>
            </w:r>
          </w:p>
        </w:tc>
        <w:tc>
          <w:tcPr>
            <w:tcW w:w="53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144863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饲料分选设备</w:t>
            </w:r>
          </w:p>
        </w:tc>
        <w:tc>
          <w:tcPr>
            <w:tcW w:w="1205" w:type="dxa"/>
            <w:tcBorders>
              <w:top w:val="single" w:color="auto" w:sz="4" w:space="0"/>
              <w:left w:val="single" w:color="auto" w:sz="4" w:space="0"/>
              <w:bottom w:val="single" w:color="auto" w:sz="4" w:space="0"/>
              <w:right w:val="single" w:color="auto" w:sz="4" w:space="0"/>
            </w:tcBorders>
            <w:vAlign w:val="center"/>
          </w:tcPr>
          <w:p w14:paraId="48C0B3B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1205" w:type="dxa"/>
            <w:tcBorders>
              <w:top w:val="single" w:color="auto" w:sz="4" w:space="0"/>
              <w:left w:val="single" w:color="auto" w:sz="4" w:space="0"/>
              <w:bottom w:val="single" w:color="auto" w:sz="4" w:space="0"/>
              <w:right w:val="single" w:color="auto" w:sz="4" w:space="0"/>
            </w:tcBorders>
            <w:vAlign w:val="center"/>
          </w:tcPr>
          <w:p w14:paraId="00A8D1E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台</w:t>
            </w:r>
          </w:p>
        </w:tc>
      </w:tr>
      <w:tr w14:paraId="2EADC68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03" w:type="dxa"/>
            <w:tcBorders>
              <w:top w:val="single" w:color="auto" w:sz="4" w:space="0"/>
              <w:left w:val="single" w:color="auto" w:sz="4" w:space="0"/>
              <w:bottom w:val="single" w:color="auto" w:sz="4" w:space="0"/>
              <w:right w:val="single" w:color="auto" w:sz="4" w:space="0"/>
            </w:tcBorders>
            <w:vAlign w:val="center"/>
          </w:tcPr>
          <w:p w14:paraId="7EB4892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6</w:t>
            </w:r>
          </w:p>
        </w:tc>
        <w:tc>
          <w:tcPr>
            <w:tcW w:w="53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73728B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机井水泵</w:t>
            </w:r>
          </w:p>
        </w:tc>
        <w:tc>
          <w:tcPr>
            <w:tcW w:w="1205" w:type="dxa"/>
            <w:tcBorders>
              <w:top w:val="single" w:color="auto" w:sz="4" w:space="0"/>
              <w:left w:val="single" w:color="auto" w:sz="4" w:space="0"/>
              <w:bottom w:val="single" w:color="auto" w:sz="4" w:space="0"/>
              <w:right w:val="single" w:color="auto" w:sz="4" w:space="0"/>
            </w:tcBorders>
            <w:vAlign w:val="center"/>
          </w:tcPr>
          <w:p w14:paraId="5AC30F4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c>
          <w:tcPr>
            <w:tcW w:w="1205" w:type="dxa"/>
            <w:tcBorders>
              <w:top w:val="single" w:color="auto" w:sz="4" w:space="0"/>
              <w:left w:val="single" w:color="auto" w:sz="4" w:space="0"/>
              <w:bottom w:val="single" w:color="auto" w:sz="4" w:space="0"/>
              <w:right w:val="single" w:color="auto" w:sz="4" w:space="0"/>
            </w:tcBorders>
            <w:vAlign w:val="center"/>
          </w:tcPr>
          <w:p w14:paraId="4615305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台</w:t>
            </w:r>
          </w:p>
        </w:tc>
      </w:tr>
      <w:tr w14:paraId="2B800D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03" w:type="dxa"/>
            <w:tcBorders>
              <w:top w:val="single" w:color="auto" w:sz="4" w:space="0"/>
              <w:left w:val="single" w:color="auto" w:sz="4" w:space="0"/>
              <w:bottom w:val="single" w:color="auto" w:sz="4" w:space="0"/>
              <w:right w:val="single" w:color="auto" w:sz="4" w:space="0"/>
            </w:tcBorders>
            <w:vAlign w:val="center"/>
          </w:tcPr>
          <w:p w14:paraId="1309825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7</w:t>
            </w:r>
          </w:p>
        </w:tc>
        <w:tc>
          <w:tcPr>
            <w:tcW w:w="53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074490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eastAsia="zh-CN"/>
              </w:rPr>
              <w:t>电锅炉</w:t>
            </w:r>
          </w:p>
        </w:tc>
        <w:tc>
          <w:tcPr>
            <w:tcW w:w="1205" w:type="dxa"/>
            <w:tcBorders>
              <w:top w:val="single" w:color="auto" w:sz="4" w:space="0"/>
              <w:left w:val="single" w:color="auto" w:sz="4" w:space="0"/>
              <w:bottom w:val="single" w:color="auto" w:sz="4" w:space="0"/>
              <w:right w:val="single" w:color="auto" w:sz="4" w:space="0"/>
            </w:tcBorders>
            <w:vAlign w:val="center"/>
          </w:tcPr>
          <w:p w14:paraId="389D018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p>
        </w:tc>
        <w:tc>
          <w:tcPr>
            <w:tcW w:w="1205" w:type="dxa"/>
            <w:tcBorders>
              <w:top w:val="single" w:color="auto" w:sz="4" w:space="0"/>
              <w:left w:val="single" w:color="auto" w:sz="4" w:space="0"/>
              <w:bottom w:val="single" w:color="auto" w:sz="4" w:space="0"/>
              <w:right w:val="single" w:color="auto" w:sz="4" w:space="0"/>
            </w:tcBorders>
            <w:vAlign w:val="center"/>
          </w:tcPr>
          <w:p w14:paraId="3ABFE60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i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val="en-US" w:eastAsia="zh-CN"/>
              </w:rPr>
              <w:t>台</w:t>
            </w:r>
          </w:p>
        </w:tc>
      </w:tr>
    </w:tbl>
    <w:p w14:paraId="160532A2">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208" w:name="_Toc11259"/>
      <w:r>
        <w:rPr>
          <w:rFonts w:hint="default" w:ascii="Times New Roman" w:hAnsi="Times New Roman" w:eastAsia="宋体" w:cs="Times New Roman"/>
          <w:color w:val="auto"/>
          <w:highlight w:val="none"/>
        </w:rPr>
        <w:t>3.1.6公用工程</w:t>
      </w:r>
      <w:bookmarkEnd w:id="208"/>
    </w:p>
    <w:p w14:paraId="6CFD5FC0">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3.1.6.1给排水</w:t>
      </w:r>
    </w:p>
    <w:p w14:paraId="320B4FD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本项目排水采用雨污分流制，雨水通过场区雨水排水系统排走</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牛舍搭建防雨棚，雨棚设置雨檐，防止雨水进入牛舍，牛舍外雨檐下设置排水渠，通过雨水排水管排出场区外。</w:t>
      </w:r>
    </w:p>
    <w:p w14:paraId="55027F5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1、水源</w:t>
      </w:r>
    </w:p>
    <w:p w14:paraId="678CD01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生产用水采用地下水供水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水质可满足牛群饮用水需求</w:t>
      </w:r>
      <w:r>
        <w:rPr>
          <w:rFonts w:hint="default" w:ascii="Times New Roman" w:hAnsi="Times New Roman" w:eastAsia="宋体" w:cs="Times New Roman"/>
          <w:color w:val="FF0000"/>
          <w:highlight w:val="none"/>
          <w:lang w:eastAsia="zh-CN"/>
        </w:rPr>
        <w:t>。水井已取得《取水许可证》（</w:t>
      </w:r>
      <w:r>
        <w:rPr>
          <w:rFonts w:hint="default" w:ascii="Times New Roman" w:hAnsi="Times New Roman" w:eastAsia="宋体" w:cs="Times New Roman"/>
          <w:color w:val="FF0000"/>
          <w:highlight w:val="none"/>
          <w:lang w:val="en-US" w:eastAsia="zh-CN"/>
        </w:rPr>
        <w:t>取水乌前</w:t>
      </w:r>
      <w:r>
        <w:rPr>
          <w:rFonts w:hint="default" w:ascii="Times New Roman" w:hAnsi="Times New Roman" w:eastAsia="宋体" w:cs="Times New Roman"/>
          <w:color w:val="FF0000"/>
          <w:highlight w:val="none"/>
          <w:lang w:eastAsia="zh-CN"/>
        </w:rPr>
        <w:t>[20</w:t>
      </w:r>
      <w:r>
        <w:rPr>
          <w:rFonts w:hint="default" w:ascii="Times New Roman" w:hAnsi="Times New Roman" w:eastAsia="宋体" w:cs="Times New Roman"/>
          <w:color w:val="FF0000"/>
          <w:highlight w:val="none"/>
          <w:lang w:val="en-US" w:eastAsia="zh-CN"/>
        </w:rPr>
        <w:t>07</w:t>
      </w:r>
      <w:r>
        <w:rPr>
          <w:rFonts w:hint="default" w:ascii="Times New Roman" w:hAnsi="Times New Roman" w:eastAsia="宋体" w:cs="Times New Roman"/>
          <w:color w:val="FF0000"/>
          <w:highlight w:val="none"/>
          <w:lang w:eastAsia="zh-CN"/>
        </w:rPr>
        <w:t>]第</w:t>
      </w:r>
      <w:r>
        <w:rPr>
          <w:rFonts w:hint="default" w:ascii="Times New Roman" w:hAnsi="Times New Roman" w:eastAsia="宋体" w:cs="Times New Roman"/>
          <w:color w:val="FF0000"/>
          <w:highlight w:val="none"/>
          <w:lang w:val="en-US" w:eastAsia="zh-CN"/>
        </w:rPr>
        <w:t>01170</w:t>
      </w:r>
      <w:r>
        <w:rPr>
          <w:rFonts w:hint="default" w:ascii="Times New Roman" w:hAnsi="Times New Roman" w:eastAsia="宋体" w:cs="Times New Roman"/>
          <w:color w:val="FF0000"/>
          <w:highlight w:val="none"/>
          <w:lang w:eastAsia="zh-CN"/>
        </w:rPr>
        <w:t>号），许可取水量16万m</w:t>
      </w:r>
      <w:r>
        <w:rPr>
          <w:rFonts w:hint="default" w:ascii="Times New Roman" w:hAnsi="Times New Roman" w:eastAsia="宋体" w:cs="Times New Roman"/>
          <w:color w:val="FF0000"/>
          <w:highlight w:val="none"/>
          <w:vertAlign w:val="superscript"/>
          <w:lang w:eastAsia="zh-CN"/>
        </w:rPr>
        <w:t>3</w:t>
      </w:r>
      <w:r>
        <w:rPr>
          <w:rFonts w:hint="default" w:ascii="Times New Roman" w:hAnsi="Times New Roman" w:eastAsia="宋体" w:cs="Times New Roman"/>
          <w:color w:val="FF0000"/>
          <w:highlight w:val="none"/>
          <w:lang w:eastAsia="zh-CN"/>
        </w:rPr>
        <w:t>/a；</w:t>
      </w:r>
      <w:r>
        <w:rPr>
          <w:rFonts w:hint="default" w:ascii="Times New Roman" w:hAnsi="Times New Roman" w:eastAsia="宋体" w:cs="Times New Roman"/>
          <w:color w:val="FF0000"/>
          <w:highlight w:val="none"/>
          <w:lang w:val="en-US" w:eastAsia="zh-CN"/>
        </w:rPr>
        <w:t>根据用水量核算，</w:t>
      </w:r>
      <w:r>
        <w:rPr>
          <w:rFonts w:hint="default" w:ascii="Times New Roman" w:hAnsi="Times New Roman" w:eastAsia="宋体" w:cs="Times New Roman"/>
          <w:color w:val="FF0000"/>
          <w:highlight w:val="none"/>
          <w:lang w:eastAsia="zh-CN"/>
        </w:rPr>
        <w:t>本项目年用水量</w:t>
      </w:r>
      <w:r>
        <w:rPr>
          <w:rFonts w:hint="default" w:ascii="Times New Roman" w:hAnsi="Times New Roman" w:eastAsia="宋体" w:cs="Times New Roman"/>
          <w:color w:val="FF0000"/>
          <w:highlight w:val="none"/>
          <w:lang w:val="en-US" w:eastAsia="zh-CN"/>
        </w:rPr>
        <w:t>55045</w:t>
      </w:r>
      <w:r>
        <w:rPr>
          <w:rFonts w:hint="default" w:ascii="Times New Roman" w:hAnsi="Times New Roman" w:eastAsia="宋体" w:cs="Times New Roman"/>
          <w:color w:val="FF0000"/>
          <w:highlight w:val="none"/>
          <w:lang w:eastAsia="zh-CN"/>
        </w:rPr>
        <w:t>m</w:t>
      </w:r>
      <w:r>
        <w:rPr>
          <w:rFonts w:hint="default" w:ascii="Times New Roman" w:hAnsi="Times New Roman" w:eastAsia="宋体" w:cs="Times New Roman"/>
          <w:color w:val="FF0000"/>
          <w:highlight w:val="none"/>
          <w:vertAlign w:val="superscript"/>
          <w:lang w:eastAsia="zh-CN"/>
        </w:rPr>
        <w:t>3</w:t>
      </w:r>
      <w:r>
        <w:rPr>
          <w:rFonts w:hint="default" w:ascii="Times New Roman" w:hAnsi="Times New Roman" w:eastAsia="宋体" w:cs="Times New Roman"/>
          <w:color w:val="FF0000"/>
          <w:highlight w:val="none"/>
          <w:lang w:eastAsia="zh-CN"/>
        </w:rPr>
        <w:t>，在许可取水量范围内</w:t>
      </w:r>
      <w:r>
        <w:rPr>
          <w:rFonts w:hint="default" w:ascii="Times New Roman" w:hAnsi="Times New Roman" w:eastAsia="宋体" w:cs="Times New Roman"/>
          <w:color w:val="FF0000"/>
          <w:highlight w:val="none"/>
        </w:rPr>
        <w:t>。</w:t>
      </w:r>
    </w:p>
    <w:p w14:paraId="15E4586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2、水平衡分析</w:t>
      </w:r>
    </w:p>
    <w:p w14:paraId="6506511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（1）牛群饮用水</w:t>
      </w:r>
    </w:p>
    <w:p w14:paraId="36A5F5D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根据</w:t>
      </w:r>
      <w:r>
        <w:rPr>
          <w:rFonts w:hint="default" w:ascii="Times New Roman" w:hAnsi="Times New Roman" w:eastAsia="宋体" w:cs="Times New Roman"/>
          <w:color w:val="auto"/>
          <w:highlight w:val="none"/>
        </w:rPr>
        <w:t>《内蒙古自治区</w:t>
      </w:r>
      <w:r>
        <w:rPr>
          <w:rFonts w:hint="default" w:ascii="Times New Roman" w:hAnsi="Times New Roman" w:eastAsia="宋体" w:cs="Times New Roman"/>
          <w:color w:val="auto"/>
          <w:highlight w:val="none"/>
          <w:lang w:eastAsia="zh-CN"/>
        </w:rPr>
        <w:t>行业用水定额（2020版）</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DB15/T385-2020</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，肉牛（工厂集约化养殖）饮用水</w:t>
      </w:r>
      <w:r>
        <w:rPr>
          <w:rFonts w:hint="default" w:ascii="Times New Roman" w:hAnsi="Times New Roman" w:eastAsia="宋体" w:cs="Times New Roman"/>
          <w:color w:val="auto"/>
          <w:highlight w:val="none"/>
        </w:rPr>
        <w:t>量定额按60L/</w:t>
      </w:r>
      <w:r>
        <w:rPr>
          <w:rFonts w:hint="default" w:ascii="Times New Roman" w:hAnsi="Times New Roman" w:eastAsia="宋体" w:cs="Times New Roman"/>
          <w:color w:val="auto"/>
          <w:highlight w:val="none"/>
          <w:lang w:eastAsia="zh-CN"/>
        </w:rPr>
        <w:t>头</w:t>
      </w:r>
      <w:r>
        <w:rPr>
          <w:rFonts w:hint="default" w:ascii="Times New Roman" w:hAnsi="Times New Roman" w:eastAsia="宋体" w:cs="Times New Roman"/>
          <w:color w:val="auto"/>
          <w:highlight w:val="none"/>
        </w:rPr>
        <w:t>·d计</w:t>
      </w:r>
      <w:r>
        <w:rPr>
          <w:rFonts w:hint="default" w:ascii="Times New Roman" w:hAnsi="Times New Roman" w:eastAsia="宋体" w:cs="Times New Roman"/>
          <w:color w:val="auto"/>
          <w:highlight w:val="none"/>
          <w:lang w:eastAsia="zh-CN"/>
        </w:rPr>
        <w:t>，存栏肉牛</w:t>
      </w:r>
      <w:r>
        <w:rPr>
          <w:rFonts w:hint="default" w:ascii="Times New Roman" w:hAnsi="Times New Roman" w:eastAsia="宋体" w:cs="Times New Roman"/>
          <w:color w:val="auto"/>
          <w:highlight w:val="none"/>
          <w:lang w:val="en-US" w:eastAsia="zh-CN"/>
        </w:rPr>
        <w:t>25</w:t>
      </w:r>
      <w:r>
        <w:rPr>
          <w:rFonts w:hint="default" w:ascii="Times New Roman" w:hAnsi="Times New Roman" w:eastAsia="宋体" w:cs="Times New Roman"/>
          <w:color w:val="auto"/>
          <w:highlight w:val="none"/>
          <w:lang w:eastAsia="zh-CN"/>
        </w:rPr>
        <w:t>00头，详见</w:t>
      </w:r>
      <w:r>
        <w:rPr>
          <w:rFonts w:hint="default" w:ascii="Times New Roman" w:hAnsi="Times New Roman" w:eastAsia="宋体" w:cs="Times New Roman"/>
          <w:color w:val="auto"/>
          <w:highlight w:val="none"/>
        </w:rPr>
        <w:t>表3.1-</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rPr>
        <w:t>。</w:t>
      </w:r>
    </w:p>
    <w:p w14:paraId="52612068">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表3.1-</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rPr>
        <w:t>牛场牛群用水定额</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379"/>
        <w:gridCol w:w="1379"/>
        <w:gridCol w:w="1379"/>
        <w:gridCol w:w="1380"/>
        <w:gridCol w:w="1380"/>
        <w:gridCol w:w="1380"/>
      </w:tblGrid>
      <w:tr w14:paraId="1320976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500" w:type="dxa"/>
            <w:vMerge w:val="restart"/>
            <w:tcBorders>
              <w:top w:val="single" w:color="auto" w:sz="4" w:space="0"/>
              <w:left w:val="single" w:color="auto" w:sz="4" w:space="0"/>
              <w:bottom w:val="single" w:color="auto" w:sz="4" w:space="0"/>
              <w:right w:val="single" w:color="auto" w:sz="4" w:space="0"/>
            </w:tcBorders>
            <w:vAlign w:val="center"/>
          </w:tcPr>
          <w:p w14:paraId="186C81D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牛群种类</w:t>
            </w:r>
          </w:p>
        </w:tc>
        <w:tc>
          <w:tcPr>
            <w:tcW w:w="150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DB19BB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数目</w:t>
            </w:r>
          </w:p>
        </w:tc>
        <w:tc>
          <w:tcPr>
            <w:tcW w:w="3001"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3F4F998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夏季（180天计）</w:t>
            </w:r>
          </w:p>
        </w:tc>
        <w:tc>
          <w:tcPr>
            <w:tcW w:w="300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439A468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冬季（185天计）</w:t>
            </w:r>
          </w:p>
        </w:tc>
      </w:tr>
      <w:tr w14:paraId="4C054BD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500" w:type="dxa"/>
            <w:vMerge w:val="continue"/>
            <w:tcBorders>
              <w:top w:val="single" w:color="auto" w:sz="4" w:space="0"/>
              <w:left w:val="single" w:color="auto" w:sz="4" w:space="0"/>
              <w:bottom w:val="single" w:color="auto" w:sz="4" w:space="0"/>
              <w:right w:val="single" w:color="auto" w:sz="4" w:space="0"/>
            </w:tcBorders>
            <w:vAlign w:val="center"/>
          </w:tcPr>
          <w:p w14:paraId="2DA0D6A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500" w:type="dxa"/>
            <w:vMerge w:val="continue"/>
            <w:tcBorders>
              <w:top w:val="single" w:color="auto" w:sz="4" w:space="0"/>
              <w:left w:val="single" w:color="auto" w:sz="4" w:space="0"/>
              <w:bottom w:val="single" w:color="auto" w:sz="4" w:space="0"/>
              <w:right w:val="single" w:color="auto" w:sz="4" w:space="0"/>
            </w:tcBorders>
            <w:vAlign w:val="center"/>
          </w:tcPr>
          <w:p w14:paraId="7193821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5994714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kg/d</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头</w:t>
            </w:r>
          </w:p>
        </w:tc>
        <w:tc>
          <w:tcPr>
            <w:tcW w:w="1501" w:type="dxa"/>
            <w:tcBorders>
              <w:top w:val="single" w:color="auto" w:sz="4" w:space="0"/>
              <w:left w:val="single" w:color="auto" w:sz="4" w:space="0"/>
              <w:bottom w:val="single" w:color="auto" w:sz="4" w:space="0"/>
              <w:right w:val="single" w:color="auto" w:sz="4" w:space="0"/>
            </w:tcBorders>
            <w:shd w:val="clear" w:color="auto" w:fill="auto"/>
            <w:vAlign w:val="center"/>
          </w:tcPr>
          <w:p w14:paraId="34EF66C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t/d</w:t>
            </w:r>
          </w:p>
        </w:tc>
        <w:tc>
          <w:tcPr>
            <w:tcW w:w="1501" w:type="dxa"/>
            <w:tcBorders>
              <w:top w:val="single" w:color="auto" w:sz="4" w:space="0"/>
              <w:left w:val="single" w:color="auto" w:sz="4" w:space="0"/>
              <w:bottom w:val="single" w:color="auto" w:sz="4" w:space="0"/>
              <w:right w:val="single" w:color="auto" w:sz="4" w:space="0"/>
            </w:tcBorders>
            <w:shd w:val="clear" w:color="auto" w:fill="auto"/>
            <w:vAlign w:val="center"/>
          </w:tcPr>
          <w:p w14:paraId="4D98BA5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kg/d</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头</w:t>
            </w:r>
          </w:p>
        </w:tc>
        <w:tc>
          <w:tcPr>
            <w:tcW w:w="1501" w:type="dxa"/>
            <w:tcBorders>
              <w:top w:val="single" w:color="auto" w:sz="4" w:space="0"/>
              <w:left w:val="single" w:color="auto" w:sz="4" w:space="0"/>
              <w:bottom w:val="single" w:color="auto" w:sz="4" w:space="0"/>
              <w:right w:val="single" w:color="auto" w:sz="4" w:space="0"/>
            </w:tcBorders>
            <w:shd w:val="clear" w:color="auto" w:fill="auto"/>
            <w:vAlign w:val="center"/>
          </w:tcPr>
          <w:p w14:paraId="528CECC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t/d</w:t>
            </w:r>
          </w:p>
        </w:tc>
      </w:tr>
      <w:tr w14:paraId="3018649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500" w:type="dxa"/>
            <w:tcBorders>
              <w:top w:val="single" w:color="auto" w:sz="4" w:space="0"/>
              <w:left w:val="single" w:color="auto" w:sz="4" w:space="0"/>
              <w:bottom w:val="single" w:color="auto" w:sz="4" w:space="0"/>
              <w:right w:val="single" w:color="auto" w:sz="4" w:space="0"/>
            </w:tcBorders>
            <w:vAlign w:val="center"/>
          </w:tcPr>
          <w:p w14:paraId="548B380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肉牛</w:t>
            </w:r>
          </w:p>
        </w:tc>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7667185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2500</w:t>
            </w:r>
          </w:p>
        </w:tc>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4EC68A3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c>
          <w:tcPr>
            <w:tcW w:w="1501" w:type="dxa"/>
            <w:tcBorders>
              <w:top w:val="single" w:color="auto" w:sz="4" w:space="0"/>
              <w:left w:val="single" w:color="auto" w:sz="4" w:space="0"/>
              <w:bottom w:val="single" w:color="auto" w:sz="4" w:space="0"/>
              <w:right w:val="single" w:color="auto" w:sz="4" w:space="0"/>
            </w:tcBorders>
            <w:shd w:val="clear" w:color="auto" w:fill="auto"/>
            <w:vAlign w:val="center"/>
          </w:tcPr>
          <w:p w14:paraId="6C57656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150</w:t>
            </w:r>
          </w:p>
        </w:tc>
        <w:tc>
          <w:tcPr>
            <w:tcW w:w="1501" w:type="dxa"/>
            <w:tcBorders>
              <w:top w:val="single" w:color="auto" w:sz="4" w:space="0"/>
              <w:left w:val="single" w:color="auto" w:sz="4" w:space="0"/>
              <w:bottom w:val="single" w:color="auto" w:sz="4" w:space="0"/>
              <w:right w:val="single" w:color="auto" w:sz="4" w:space="0"/>
            </w:tcBorders>
            <w:shd w:val="clear" w:color="auto" w:fill="auto"/>
            <w:vAlign w:val="center"/>
          </w:tcPr>
          <w:p w14:paraId="119CDB9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1501" w:type="dxa"/>
            <w:tcBorders>
              <w:top w:val="single" w:color="auto" w:sz="4" w:space="0"/>
              <w:left w:val="single" w:color="auto" w:sz="4" w:space="0"/>
              <w:bottom w:val="single" w:color="auto" w:sz="4" w:space="0"/>
              <w:right w:val="single" w:color="auto" w:sz="4" w:space="0"/>
            </w:tcBorders>
            <w:shd w:val="clear" w:color="auto" w:fill="auto"/>
            <w:vAlign w:val="center"/>
          </w:tcPr>
          <w:p w14:paraId="759DEB1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125</w:t>
            </w:r>
          </w:p>
        </w:tc>
      </w:tr>
      <w:tr w14:paraId="68D8A0F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000" w:type="dxa"/>
            <w:gridSpan w:val="2"/>
            <w:tcBorders>
              <w:top w:val="single" w:color="auto" w:sz="4" w:space="0"/>
              <w:left w:val="single" w:color="auto" w:sz="4" w:space="0"/>
              <w:bottom w:val="single" w:color="auto" w:sz="4" w:space="0"/>
              <w:right w:val="single" w:color="auto" w:sz="4" w:space="0"/>
            </w:tcBorders>
            <w:vAlign w:val="center"/>
          </w:tcPr>
          <w:p w14:paraId="7AD4D14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牛群日饮用水量m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/d</w:t>
            </w:r>
          </w:p>
        </w:tc>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7540ABB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501" w:type="dxa"/>
            <w:tcBorders>
              <w:top w:val="single" w:color="auto" w:sz="4" w:space="0"/>
              <w:left w:val="single" w:color="auto" w:sz="4" w:space="0"/>
              <w:bottom w:val="single" w:color="auto" w:sz="4" w:space="0"/>
              <w:right w:val="single" w:color="auto" w:sz="4" w:space="0"/>
            </w:tcBorders>
            <w:shd w:val="clear" w:color="auto" w:fill="auto"/>
            <w:vAlign w:val="center"/>
          </w:tcPr>
          <w:p w14:paraId="5250280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150</w:t>
            </w:r>
          </w:p>
        </w:tc>
        <w:tc>
          <w:tcPr>
            <w:tcW w:w="1501" w:type="dxa"/>
            <w:tcBorders>
              <w:top w:val="single" w:color="auto" w:sz="4" w:space="0"/>
              <w:left w:val="single" w:color="auto" w:sz="4" w:space="0"/>
              <w:bottom w:val="single" w:color="auto" w:sz="4" w:space="0"/>
              <w:right w:val="single" w:color="auto" w:sz="4" w:space="0"/>
            </w:tcBorders>
            <w:shd w:val="clear" w:color="auto" w:fill="auto"/>
            <w:vAlign w:val="center"/>
          </w:tcPr>
          <w:p w14:paraId="348D0B8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501" w:type="dxa"/>
            <w:tcBorders>
              <w:top w:val="single" w:color="auto" w:sz="4" w:space="0"/>
              <w:left w:val="single" w:color="auto" w:sz="4" w:space="0"/>
              <w:bottom w:val="single" w:color="auto" w:sz="4" w:space="0"/>
              <w:right w:val="single" w:color="auto" w:sz="4" w:space="0"/>
            </w:tcBorders>
            <w:shd w:val="clear" w:color="auto" w:fill="auto"/>
            <w:vAlign w:val="center"/>
          </w:tcPr>
          <w:p w14:paraId="7176911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125</w:t>
            </w:r>
          </w:p>
        </w:tc>
      </w:tr>
    </w:tbl>
    <w:p w14:paraId="114274C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项目牛群存栏</w:t>
      </w:r>
      <w:r>
        <w:rPr>
          <w:rFonts w:hint="default" w:ascii="Times New Roman" w:hAnsi="Times New Roman" w:eastAsia="宋体" w:cs="Times New Roman"/>
          <w:color w:val="auto"/>
          <w:highlight w:val="none"/>
          <w:lang w:val="en-US" w:eastAsia="zh-CN"/>
        </w:rPr>
        <w:t>25</w:t>
      </w:r>
      <w:r>
        <w:rPr>
          <w:rFonts w:hint="default" w:ascii="Times New Roman" w:hAnsi="Times New Roman" w:eastAsia="宋体" w:cs="Times New Roman"/>
          <w:color w:val="auto"/>
          <w:highlight w:val="none"/>
        </w:rPr>
        <w:t>00头，夏季用水量</w:t>
      </w:r>
      <w:r>
        <w:rPr>
          <w:rFonts w:hint="default" w:ascii="Times New Roman" w:hAnsi="Times New Roman" w:eastAsia="宋体" w:cs="Times New Roman"/>
          <w:color w:val="auto"/>
          <w:highlight w:val="none"/>
          <w:lang w:val="en-US" w:eastAsia="zh-CN"/>
        </w:rPr>
        <w:t>150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/d，冬季用水量</w:t>
      </w:r>
      <w:r>
        <w:rPr>
          <w:rFonts w:hint="default" w:ascii="Times New Roman" w:hAnsi="Times New Roman" w:eastAsia="宋体" w:cs="Times New Roman"/>
          <w:color w:val="auto"/>
          <w:highlight w:val="none"/>
          <w:lang w:val="en-US" w:eastAsia="zh-CN"/>
        </w:rPr>
        <w:t>125</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/d，全年牛群饮用水</w:t>
      </w:r>
      <w:r>
        <w:rPr>
          <w:rFonts w:hint="default" w:ascii="Times New Roman" w:hAnsi="Times New Roman" w:eastAsia="宋体" w:cs="Times New Roman"/>
          <w:color w:val="auto"/>
          <w:highlight w:val="none"/>
          <w:lang w:val="en-US" w:eastAsia="zh-CN"/>
        </w:rPr>
        <w:t>总</w:t>
      </w:r>
      <w:r>
        <w:rPr>
          <w:rFonts w:hint="default" w:ascii="Times New Roman" w:hAnsi="Times New Roman" w:eastAsia="宋体" w:cs="Times New Roman"/>
          <w:color w:val="auto"/>
          <w:highlight w:val="none"/>
        </w:rPr>
        <w:t>量为</w:t>
      </w:r>
      <w:r>
        <w:rPr>
          <w:rFonts w:hint="default" w:ascii="Times New Roman" w:hAnsi="Times New Roman" w:eastAsia="宋体" w:cs="Times New Roman"/>
          <w:color w:val="auto"/>
          <w:highlight w:val="none"/>
          <w:lang w:val="en-US" w:eastAsia="zh-CN"/>
        </w:rPr>
        <w:t>50125</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/a</w:t>
      </w:r>
      <w:r>
        <w:rPr>
          <w:rFonts w:hint="default" w:ascii="Times New Roman" w:hAnsi="Times New Roman" w:eastAsia="宋体" w:cs="Times New Roman"/>
          <w:color w:val="auto"/>
          <w:highlight w:val="none"/>
          <w:lang w:eastAsia="zh-CN"/>
        </w:rPr>
        <w:t>。</w:t>
      </w:r>
    </w:p>
    <w:p w14:paraId="30B3C9A7">
      <w:pPr>
        <w:pageBreakBefore w:val="0"/>
        <w:kinsoku/>
        <w:wordWrap/>
        <w:bidi w:val="0"/>
        <w:snapToGrid w:val="0"/>
        <w:spacing w:line="360" w:lineRule="auto"/>
        <w:ind w:left="0" w:leftChars="0" w:right="0" w:rightChars="0"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）饲料</w:t>
      </w:r>
      <w:r>
        <w:rPr>
          <w:rFonts w:hint="default" w:ascii="Times New Roman" w:hAnsi="Times New Roman" w:eastAsia="宋体" w:cs="Times New Roman"/>
          <w:color w:val="auto"/>
          <w:highlight w:val="none"/>
          <w:lang w:val="en-US" w:eastAsia="zh-CN"/>
        </w:rPr>
        <w:t>搅拌抑尘用水</w:t>
      </w:r>
    </w:p>
    <w:p w14:paraId="16F3246E">
      <w:pPr>
        <w:pageBreakBefore w:val="0"/>
        <w:kinsoku/>
        <w:wordWrap/>
        <w:bidi w:val="0"/>
        <w:snapToGrid w:val="0"/>
        <w:spacing w:line="360" w:lineRule="auto"/>
        <w:ind w:left="0" w:leftChars="0" w:right="0" w:rightChars="0"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饲料</w:t>
      </w:r>
      <w:r>
        <w:rPr>
          <w:rFonts w:hint="default" w:ascii="Times New Roman" w:hAnsi="Times New Roman" w:eastAsia="宋体" w:cs="Times New Roman"/>
          <w:color w:val="auto"/>
          <w:highlight w:val="none"/>
          <w:lang w:val="en-US" w:eastAsia="zh-CN"/>
        </w:rPr>
        <w:t>搅拌</w:t>
      </w:r>
      <w:r>
        <w:rPr>
          <w:rFonts w:hint="default" w:ascii="Times New Roman" w:hAnsi="Times New Roman" w:eastAsia="宋体" w:cs="Times New Roman"/>
          <w:color w:val="auto"/>
          <w:highlight w:val="none"/>
        </w:rPr>
        <w:t>工段</w:t>
      </w:r>
      <w:r>
        <w:rPr>
          <w:rFonts w:hint="default" w:ascii="Times New Roman" w:hAnsi="Times New Roman" w:eastAsia="宋体" w:cs="Times New Roman"/>
          <w:color w:val="auto"/>
          <w:highlight w:val="none"/>
          <w:lang w:val="en-US" w:eastAsia="zh-CN"/>
        </w:rPr>
        <w:t>进行</w:t>
      </w:r>
      <w:r>
        <w:rPr>
          <w:rFonts w:hint="default" w:ascii="Times New Roman" w:hAnsi="Times New Roman" w:eastAsia="宋体" w:cs="Times New Roman"/>
          <w:color w:val="auto"/>
          <w:highlight w:val="none"/>
        </w:rPr>
        <w:t>洒水抑尘，用水量为</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.0m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/d（1</w:t>
      </w:r>
      <w:r>
        <w:rPr>
          <w:rFonts w:hint="default" w:ascii="Times New Roman" w:hAnsi="Times New Roman" w:eastAsia="宋体" w:cs="Times New Roman"/>
          <w:color w:val="auto"/>
          <w:highlight w:val="none"/>
          <w:lang w:val="en-US" w:eastAsia="zh-CN"/>
        </w:rPr>
        <w:t>09</w:t>
      </w:r>
      <w:r>
        <w:rPr>
          <w:rFonts w:hint="default" w:ascii="Times New Roman" w:hAnsi="Times New Roman" w:eastAsia="宋体" w:cs="Times New Roman"/>
          <w:color w:val="auto"/>
          <w:highlight w:val="none"/>
        </w:rPr>
        <w:t>5m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/a）。</w:t>
      </w:r>
    </w:p>
    <w:p w14:paraId="27950C3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0000"/>
          <w:highlight w:val="none"/>
          <w:lang w:eastAsia="zh-CN"/>
        </w:rPr>
      </w:pPr>
      <w:r>
        <w:rPr>
          <w:rFonts w:hint="default" w:ascii="Times New Roman" w:hAnsi="Times New Roman" w:eastAsia="宋体" w:cs="Times New Roman"/>
          <w:color w:val="FF0000"/>
          <w:highlight w:val="none"/>
        </w:rPr>
        <w:t>（</w:t>
      </w:r>
      <w:r>
        <w:rPr>
          <w:rFonts w:hint="default" w:ascii="Times New Roman" w:hAnsi="Times New Roman" w:eastAsia="宋体" w:cs="Times New Roman"/>
          <w:color w:val="FF0000"/>
          <w:highlight w:val="none"/>
          <w:lang w:val="en-US" w:eastAsia="zh-CN"/>
        </w:rPr>
        <w:t>3</w:t>
      </w:r>
      <w:r>
        <w:rPr>
          <w:rFonts w:hint="default" w:ascii="Times New Roman" w:hAnsi="Times New Roman" w:eastAsia="宋体" w:cs="Times New Roman"/>
          <w:color w:val="FF0000"/>
          <w:highlight w:val="none"/>
        </w:rPr>
        <w:t>）</w:t>
      </w:r>
      <w:r>
        <w:rPr>
          <w:rFonts w:hint="default" w:ascii="Times New Roman" w:hAnsi="Times New Roman" w:eastAsia="宋体" w:cs="Times New Roman"/>
          <w:color w:val="FF0000"/>
          <w:highlight w:val="none"/>
          <w:lang w:eastAsia="zh-CN"/>
        </w:rPr>
        <w:t>生活用水</w:t>
      </w:r>
    </w:p>
    <w:p w14:paraId="5095A4E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0000"/>
          <w:highlight w:val="none"/>
          <w:lang w:eastAsia="zh-CN"/>
        </w:rPr>
      </w:pPr>
      <w:r>
        <w:rPr>
          <w:rFonts w:hint="default" w:ascii="Times New Roman" w:hAnsi="Times New Roman" w:eastAsia="宋体" w:cs="Times New Roman"/>
          <w:color w:val="FF0000"/>
          <w:highlight w:val="none"/>
          <w:lang w:eastAsia="zh-CN"/>
        </w:rPr>
        <w:t>根据</w:t>
      </w:r>
      <w:r>
        <w:rPr>
          <w:rFonts w:hint="default" w:ascii="Times New Roman" w:hAnsi="Times New Roman" w:eastAsia="宋体" w:cs="Times New Roman"/>
          <w:color w:val="FF0000"/>
          <w:highlight w:val="none"/>
        </w:rPr>
        <w:t>《内蒙古自治区</w:t>
      </w:r>
      <w:r>
        <w:rPr>
          <w:rFonts w:hint="default" w:ascii="Times New Roman" w:hAnsi="Times New Roman" w:eastAsia="宋体" w:cs="Times New Roman"/>
          <w:color w:val="FF0000"/>
          <w:highlight w:val="none"/>
          <w:lang w:eastAsia="zh-CN"/>
        </w:rPr>
        <w:t>行业用水定额（2020版）</w:t>
      </w:r>
      <w:r>
        <w:rPr>
          <w:rFonts w:hint="default" w:ascii="Times New Roman" w:hAnsi="Times New Roman" w:eastAsia="宋体" w:cs="Times New Roman"/>
          <w:color w:val="FF0000"/>
          <w:highlight w:val="none"/>
        </w:rPr>
        <w:t>》（</w:t>
      </w:r>
      <w:r>
        <w:rPr>
          <w:rFonts w:hint="default" w:ascii="Times New Roman" w:hAnsi="Times New Roman" w:eastAsia="宋体" w:cs="Times New Roman"/>
          <w:color w:val="FF0000"/>
          <w:highlight w:val="none"/>
          <w:lang w:eastAsia="zh-CN"/>
        </w:rPr>
        <w:t>DB15/T385-2020</w:t>
      </w:r>
      <w:r>
        <w:rPr>
          <w:rFonts w:hint="default" w:ascii="Times New Roman" w:hAnsi="Times New Roman" w:eastAsia="宋体" w:cs="Times New Roman"/>
          <w:color w:val="FF0000"/>
          <w:highlight w:val="none"/>
        </w:rPr>
        <w:t>）</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rPr>
        <w:t>职工生活用水按</w:t>
      </w:r>
      <w:r>
        <w:rPr>
          <w:rFonts w:hint="default" w:ascii="Times New Roman" w:hAnsi="Times New Roman" w:eastAsia="宋体" w:cs="Times New Roman"/>
          <w:color w:val="FF0000"/>
          <w:highlight w:val="none"/>
          <w:lang w:val="en-US" w:eastAsia="zh-CN"/>
        </w:rPr>
        <w:t>6</w:t>
      </w:r>
      <w:r>
        <w:rPr>
          <w:rFonts w:hint="default" w:ascii="Times New Roman" w:hAnsi="Times New Roman" w:eastAsia="宋体" w:cs="Times New Roman"/>
          <w:color w:val="FF0000"/>
          <w:highlight w:val="none"/>
        </w:rPr>
        <w:t>0L/人·d计，劳动定员</w:t>
      </w:r>
      <w:r>
        <w:rPr>
          <w:rFonts w:hint="default" w:ascii="Times New Roman" w:hAnsi="Times New Roman" w:eastAsia="宋体" w:cs="Times New Roman"/>
          <w:color w:val="FF0000"/>
          <w:highlight w:val="none"/>
          <w:lang w:val="en-US" w:eastAsia="zh-CN"/>
        </w:rPr>
        <w:t>5</w:t>
      </w:r>
      <w:r>
        <w:rPr>
          <w:rFonts w:hint="default" w:ascii="Times New Roman" w:hAnsi="Times New Roman" w:eastAsia="宋体" w:cs="Times New Roman"/>
          <w:color w:val="FF0000"/>
          <w:highlight w:val="none"/>
        </w:rPr>
        <w:t>0人，生活用水</w:t>
      </w:r>
      <w:r>
        <w:rPr>
          <w:rFonts w:hint="default" w:ascii="Times New Roman" w:hAnsi="Times New Roman" w:eastAsia="宋体" w:cs="Times New Roman"/>
          <w:color w:val="FF0000"/>
          <w:highlight w:val="none"/>
          <w:lang w:val="en-US" w:eastAsia="zh-CN"/>
        </w:rPr>
        <w:t>3</w:t>
      </w:r>
      <w:r>
        <w:rPr>
          <w:rFonts w:hint="default" w:ascii="Times New Roman" w:hAnsi="Times New Roman" w:eastAsia="宋体" w:cs="Times New Roman"/>
          <w:color w:val="FF0000"/>
          <w:highlight w:val="none"/>
        </w:rPr>
        <w:t>.0m</w:t>
      </w:r>
      <w:r>
        <w:rPr>
          <w:rFonts w:hint="default" w:ascii="Times New Roman" w:hAnsi="Times New Roman" w:eastAsia="宋体" w:cs="Times New Roman"/>
          <w:color w:val="FF0000"/>
          <w:highlight w:val="none"/>
          <w:vertAlign w:val="superscript"/>
        </w:rPr>
        <w:t>3</w:t>
      </w:r>
      <w:r>
        <w:rPr>
          <w:rFonts w:hint="default" w:ascii="Times New Roman" w:hAnsi="Times New Roman" w:eastAsia="宋体" w:cs="Times New Roman"/>
          <w:color w:val="FF0000"/>
          <w:highlight w:val="none"/>
        </w:rPr>
        <w:t>/d（1</w:t>
      </w:r>
      <w:r>
        <w:rPr>
          <w:rFonts w:hint="default" w:ascii="Times New Roman" w:hAnsi="Times New Roman" w:eastAsia="宋体" w:cs="Times New Roman"/>
          <w:color w:val="FF0000"/>
          <w:highlight w:val="none"/>
          <w:lang w:val="en-US" w:eastAsia="zh-CN"/>
        </w:rPr>
        <w:t>09</w:t>
      </w:r>
      <w:r>
        <w:rPr>
          <w:rFonts w:hint="default" w:ascii="Times New Roman" w:hAnsi="Times New Roman" w:eastAsia="宋体" w:cs="Times New Roman"/>
          <w:color w:val="FF0000"/>
          <w:highlight w:val="none"/>
        </w:rPr>
        <w:t>5m</w:t>
      </w:r>
      <w:r>
        <w:rPr>
          <w:rFonts w:hint="default" w:ascii="Times New Roman" w:hAnsi="Times New Roman" w:eastAsia="宋体" w:cs="Times New Roman"/>
          <w:color w:val="FF0000"/>
          <w:highlight w:val="none"/>
          <w:vertAlign w:val="superscript"/>
        </w:rPr>
        <w:t>3</w:t>
      </w:r>
      <w:r>
        <w:rPr>
          <w:rFonts w:hint="default" w:ascii="Times New Roman" w:hAnsi="Times New Roman" w:eastAsia="宋体" w:cs="Times New Roman"/>
          <w:color w:val="FF0000"/>
          <w:highlight w:val="none"/>
        </w:rPr>
        <w:t>/a）</w:t>
      </w:r>
      <w:r>
        <w:rPr>
          <w:rFonts w:hint="default" w:ascii="Times New Roman" w:hAnsi="Times New Roman" w:eastAsia="宋体" w:cs="Times New Roman"/>
          <w:color w:val="FF0000"/>
          <w:highlight w:val="none"/>
          <w:lang w:eastAsia="zh-CN"/>
        </w:rPr>
        <w:t>。</w:t>
      </w:r>
    </w:p>
    <w:p w14:paraId="57A76FA5">
      <w:pPr>
        <w:spacing w:line="360" w:lineRule="auto"/>
        <w:ind w:firstLine="480" w:firstLineChars="200"/>
        <w:rPr>
          <w:rFonts w:hint="default" w:ascii="Times New Roman" w:hAnsi="Times New Roman" w:eastAsia="宋体" w:cs="Times New Roman"/>
          <w:color w:val="0000FF"/>
          <w:sz w:val="24"/>
          <w:szCs w:val="24"/>
          <w:highlight w:val="none"/>
          <w:lang w:eastAsia="zh-CN"/>
        </w:rPr>
      </w:pPr>
      <w:r>
        <w:rPr>
          <w:rFonts w:hint="default" w:ascii="Times New Roman" w:hAnsi="Times New Roman" w:eastAsia="宋体" w:cs="Times New Roman"/>
          <w:color w:val="0000FF"/>
          <w:sz w:val="24"/>
          <w:szCs w:val="24"/>
          <w:highlight w:val="none"/>
          <w:lang w:eastAsia="zh-CN"/>
        </w:rPr>
        <w:t>（</w:t>
      </w:r>
      <w:r>
        <w:rPr>
          <w:rFonts w:hint="default" w:ascii="Times New Roman" w:hAnsi="Times New Roman" w:eastAsia="宋体" w:cs="Times New Roman"/>
          <w:color w:val="0000FF"/>
          <w:sz w:val="24"/>
          <w:szCs w:val="24"/>
          <w:highlight w:val="none"/>
          <w:lang w:val="en-US" w:eastAsia="zh-CN"/>
        </w:rPr>
        <w:t>4</w:t>
      </w:r>
      <w:r>
        <w:rPr>
          <w:rFonts w:hint="default" w:ascii="Times New Roman" w:hAnsi="Times New Roman" w:eastAsia="宋体" w:cs="Times New Roman"/>
          <w:color w:val="0000FF"/>
          <w:sz w:val="24"/>
          <w:szCs w:val="24"/>
          <w:highlight w:val="none"/>
          <w:lang w:eastAsia="zh-CN"/>
        </w:rPr>
        <w:t>）</w:t>
      </w:r>
      <w:r>
        <w:rPr>
          <w:rFonts w:hint="default" w:ascii="Times New Roman" w:hAnsi="Times New Roman" w:eastAsia="宋体" w:cs="Times New Roman"/>
          <w:color w:val="0000FF"/>
          <w:sz w:val="24"/>
          <w:szCs w:val="24"/>
          <w:highlight w:val="none"/>
          <w:lang w:eastAsia="zh-CN"/>
        </w:rPr>
        <w:t>电</w:t>
      </w:r>
      <w:r>
        <w:rPr>
          <w:rFonts w:hint="default" w:ascii="Times New Roman" w:hAnsi="Times New Roman" w:eastAsia="宋体" w:cs="Times New Roman"/>
          <w:color w:val="0000FF"/>
          <w:sz w:val="24"/>
          <w:szCs w:val="24"/>
          <w:highlight w:val="none"/>
          <w:lang w:eastAsia="zh-CN"/>
        </w:rPr>
        <w:t>锅炉用水</w:t>
      </w:r>
    </w:p>
    <w:p w14:paraId="61189C6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FF"/>
          <w:sz w:val="24"/>
          <w:szCs w:val="24"/>
          <w:highlight w:val="none"/>
          <w:lang w:val="en-US" w:eastAsia="zh-CN"/>
        </w:rPr>
      </w:pPr>
      <w:r>
        <w:rPr>
          <w:rFonts w:hint="default" w:ascii="Times New Roman" w:hAnsi="Times New Roman" w:eastAsia="宋体" w:cs="Times New Roman"/>
          <w:color w:val="0000FF"/>
          <w:sz w:val="24"/>
          <w:szCs w:val="24"/>
          <w:highlight w:val="none"/>
          <w:lang w:eastAsia="zh-CN"/>
        </w:rPr>
        <w:t>本项目软水装置制备的软水输入</w:t>
      </w:r>
      <w:r>
        <w:rPr>
          <w:rFonts w:hint="default" w:ascii="Times New Roman" w:hAnsi="Times New Roman" w:eastAsia="宋体" w:cs="Times New Roman"/>
          <w:color w:val="0000FF"/>
          <w:sz w:val="24"/>
          <w:szCs w:val="24"/>
          <w:highlight w:val="none"/>
          <w:lang w:eastAsia="zh-CN"/>
        </w:rPr>
        <w:t>电锅炉内，项目选用2台40KW电锅炉，</w:t>
      </w:r>
      <w:r>
        <w:rPr>
          <w:rFonts w:hint="default" w:ascii="Times New Roman" w:hAnsi="Times New Roman" w:eastAsia="宋体" w:cs="Times New Roman"/>
          <w:color w:val="0000FF"/>
          <w:sz w:val="24"/>
          <w:szCs w:val="24"/>
          <w:highlight w:val="none"/>
          <w:lang w:eastAsia="zh-CN"/>
        </w:rPr>
        <w:t>日运行</w:t>
      </w:r>
      <w:r>
        <w:rPr>
          <w:rFonts w:hint="default" w:ascii="Times New Roman" w:hAnsi="Times New Roman" w:eastAsia="宋体" w:cs="Times New Roman"/>
          <w:color w:val="0000FF"/>
          <w:sz w:val="24"/>
          <w:szCs w:val="24"/>
          <w:highlight w:val="none"/>
          <w:lang w:val="en-US" w:eastAsia="zh-CN"/>
        </w:rPr>
        <w:t>24</w:t>
      </w:r>
      <w:r>
        <w:rPr>
          <w:rFonts w:hint="default" w:ascii="Times New Roman" w:hAnsi="Times New Roman" w:eastAsia="宋体" w:cs="Times New Roman"/>
          <w:color w:val="0000FF"/>
          <w:sz w:val="24"/>
          <w:szCs w:val="24"/>
          <w:highlight w:val="none"/>
          <w:lang w:eastAsia="zh-CN"/>
        </w:rPr>
        <w:t>h，年运行</w:t>
      </w:r>
      <w:r>
        <w:rPr>
          <w:rFonts w:hint="default" w:ascii="Times New Roman" w:hAnsi="Times New Roman" w:eastAsia="宋体" w:cs="Times New Roman"/>
          <w:color w:val="0000FF"/>
          <w:sz w:val="24"/>
          <w:szCs w:val="24"/>
          <w:highlight w:val="none"/>
          <w:lang w:val="en-US" w:eastAsia="zh-CN"/>
        </w:rPr>
        <w:t>180</w:t>
      </w:r>
      <w:r>
        <w:rPr>
          <w:rFonts w:hint="default" w:ascii="Times New Roman" w:hAnsi="Times New Roman" w:eastAsia="宋体" w:cs="Times New Roman"/>
          <w:color w:val="0000FF"/>
          <w:sz w:val="24"/>
          <w:szCs w:val="24"/>
          <w:highlight w:val="none"/>
          <w:lang w:eastAsia="zh-CN"/>
        </w:rPr>
        <w:t>d</w:t>
      </w:r>
      <w:r>
        <w:rPr>
          <w:rFonts w:hint="default" w:ascii="Times New Roman" w:hAnsi="Times New Roman" w:eastAsia="宋体" w:cs="Times New Roman"/>
          <w:color w:val="0000FF"/>
          <w:sz w:val="24"/>
          <w:szCs w:val="24"/>
          <w:highlight w:val="none"/>
          <w:lang w:eastAsia="zh-CN"/>
        </w:rPr>
        <w:t>。</w:t>
      </w:r>
      <w:r>
        <w:rPr>
          <w:rFonts w:hint="default" w:ascii="Times New Roman" w:hAnsi="Times New Roman" w:eastAsia="宋体" w:cs="Times New Roman"/>
          <w:color w:val="0000FF"/>
          <w:sz w:val="24"/>
          <w:szCs w:val="24"/>
          <w:highlight w:val="none"/>
          <w:lang w:val="en-US" w:eastAsia="zh-CN"/>
        </w:rPr>
        <w:t>锅炉排污水</w:t>
      </w:r>
      <w:r>
        <w:rPr>
          <w:rFonts w:hint="default" w:ascii="Times New Roman" w:hAnsi="Times New Roman" w:eastAsia="宋体" w:cs="Times New Roman"/>
          <w:color w:val="0000FF"/>
          <w:sz w:val="24"/>
          <w:szCs w:val="24"/>
          <w:highlight w:val="none"/>
        </w:rPr>
        <w:t>排放量为</w:t>
      </w:r>
      <w:r>
        <w:rPr>
          <w:rFonts w:hint="default" w:ascii="Times New Roman" w:hAnsi="Times New Roman" w:eastAsia="宋体" w:cs="Times New Roman"/>
          <w:color w:val="0000FF"/>
          <w:sz w:val="24"/>
          <w:szCs w:val="24"/>
          <w:highlight w:val="none"/>
          <w:lang w:val="en-US" w:eastAsia="zh-CN"/>
        </w:rPr>
        <w:t>2.</w:t>
      </w:r>
      <w:r>
        <w:rPr>
          <w:rFonts w:hint="default" w:ascii="Times New Roman" w:hAnsi="Times New Roman" w:eastAsia="宋体" w:cs="Times New Roman"/>
          <w:color w:val="0000FF"/>
          <w:sz w:val="24"/>
          <w:szCs w:val="24"/>
          <w:highlight w:val="none"/>
          <w:lang w:val="en-US" w:eastAsia="zh-CN"/>
        </w:rPr>
        <w:t>4</w:t>
      </w:r>
      <w:r>
        <w:rPr>
          <w:rFonts w:hint="default" w:ascii="Times New Roman" w:hAnsi="Times New Roman" w:eastAsia="宋体" w:cs="Times New Roman"/>
          <w:color w:val="0000FF"/>
          <w:sz w:val="24"/>
          <w:szCs w:val="24"/>
          <w:highlight w:val="none"/>
        </w:rPr>
        <w:t>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rPr>
        <w:t>/d（</w:t>
      </w:r>
      <w:r>
        <w:rPr>
          <w:rFonts w:hint="default" w:ascii="Times New Roman" w:hAnsi="Times New Roman" w:eastAsia="宋体" w:cs="Times New Roman"/>
          <w:color w:val="0000FF"/>
          <w:sz w:val="24"/>
          <w:szCs w:val="24"/>
          <w:highlight w:val="none"/>
          <w:lang w:val="en-US" w:eastAsia="zh-CN"/>
        </w:rPr>
        <w:t>432</w:t>
      </w:r>
      <w:r>
        <w:rPr>
          <w:rFonts w:hint="default" w:ascii="Times New Roman" w:hAnsi="Times New Roman" w:eastAsia="宋体" w:cs="Times New Roman"/>
          <w:color w:val="0000FF"/>
          <w:sz w:val="24"/>
          <w:szCs w:val="24"/>
          <w:highlight w:val="none"/>
        </w:rPr>
        <w:t>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rPr>
        <w:t>/a）</w:t>
      </w:r>
      <w:r>
        <w:rPr>
          <w:rFonts w:hint="default" w:ascii="Times New Roman" w:hAnsi="Times New Roman" w:eastAsia="宋体" w:cs="Times New Roman"/>
          <w:color w:val="0000FF"/>
          <w:sz w:val="24"/>
          <w:szCs w:val="24"/>
          <w:highlight w:val="none"/>
          <w:lang w:eastAsia="zh-CN"/>
        </w:rPr>
        <w:t>、</w:t>
      </w:r>
      <w:r>
        <w:rPr>
          <w:rFonts w:hint="default" w:ascii="Times New Roman" w:hAnsi="Times New Roman" w:eastAsia="宋体" w:cs="Times New Roman"/>
          <w:color w:val="0000FF"/>
          <w:sz w:val="24"/>
          <w:szCs w:val="24"/>
          <w:highlight w:val="none"/>
          <w:lang w:val="en-US" w:eastAsia="zh-CN"/>
        </w:rPr>
        <w:t>锅炉</w:t>
      </w:r>
      <w:r>
        <w:rPr>
          <w:rFonts w:hint="default" w:ascii="Times New Roman" w:hAnsi="Times New Roman" w:eastAsia="宋体" w:cs="Times New Roman"/>
          <w:color w:val="0000FF"/>
          <w:sz w:val="24"/>
          <w:szCs w:val="24"/>
          <w:highlight w:val="none"/>
        </w:rPr>
        <w:t>损失量为</w:t>
      </w:r>
      <w:r>
        <w:rPr>
          <w:rFonts w:hint="default" w:ascii="Times New Roman" w:hAnsi="Times New Roman" w:eastAsia="宋体" w:cs="Times New Roman"/>
          <w:color w:val="0000FF"/>
          <w:sz w:val="24"/>
          <w:szCs w:val="24"/>
          <w:highlight w:val="none"/>
          <w:lang w:val="en-US" w:eastAsia="zh-CN"/>
        </w:rPr>
        <w:t>3.6</w:t>
      </w:r>
      <w:r>
        <w:rPr>
          <w:rFonts w:hint="default" w:ascii="Times New Roman" w:hAnsi="Times New Roman" w:eastAsia="宋体" w:cs="Times New Roman"/>
          <w:color w:val="0000FF"/>
          <w:sz w:val="24"/>
          <w:szCs w:val="24"/>
          <w:highlight w:val="none"/>
        </w:rPr>
        <w:t>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rPr>
        <w:t>/d（</w:t>
      </w:r>
      <w:r>
        <w:rPr>
          <w:rFonts w:hint="default" w:ascii="Times New Roman" w:hAnsi="Times New Roman" w:eastAsia="宋体" w:cs="Times New Roman"/>
          <w:color w:val="0000FF"/>
          <w:sz w:val="24"/>
          <w:szCs w:val="24"/>
          <w:highlight w:val="none"/>
          <w:lang w:val="en-US" w:eastAsia="zh-CN"/>
        </w:rPr>
        <w:t>648</w:t>
      </w:r>
      <w:r>
        <w:rPr>
          <w:rFonts w:hint="default" w:ascii="Times New Roman" w:hAnsi="Times New Roman" w:eastAsia="宋体" w:cs="Times New Roman"/>
          <w:color w:val="0000FF"/>
          <w:sz w:val="24"/>
          <w:szCs w:val="24"/>
          <w:highlight w:val="none"/>
        </w:rPr>
        <w:t>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rPr>
        <w:t>/a）</w:t>
      </w:r>
      <w:r>
        <w:rPr>
          <w:rFonts w:hint="default" w:ascii="Times New Roman" w:hAnsi="Times New Roman" w:eastAsia="宋体" w:cs="Times New Roman"/>
          <w:color w:val="0000FF"/>
          <w:sz w:val="24"/>
          <w:szCs w:val="24"/>
          <w:highlight w:val="none"/>
          <w:lang w:val="en-US" w:eastAsia="zh-CN"/>
        </w:rPr>
        <w:t>。</w:t>
      </w:r>
    </w:p>
    <w:p w14:paraId="34CDBAD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0000FF"/>
          <w:highlight w:val="none"/>
        </w:rPr>
      </w:pPr>
      <w:r>
        <w:rPr>
          <w:rFonts w:hint="default" w:ascii="Times New Roman" w:hAnsi="Times New Roman" w:eastAsia="宋体" w:cs="Times New Roman"/>
          <w:color w:val="0000FF"/>
          <w:sz w:val="24"/>
          <w:szCs w:val="24"/>
          <w:highlight w:val="none"/>
          <w:lang w:eastAsia="zh-CN"/>
        </w:rPr>
        <w:t>电锅炉</w:t>
      </w:r>
      <w:r>
        <w:rPr>
          <w:rFonts w:hint="default" w:ascii="Times New Roman" w:hAnsi="Times New Roman" w:eastAsia="宋体" w:cs="Times New Roman"/>
          <w:color w:val="0000FF"/>
          <w:sz w:val="24"/>
          <w:szCs w:val="24"/>
          <w:highlight w:val="none"/>
        </w:rPr>
        <w:t>用水通过软水制备装置补给，本项目</w:t>
      </w:r>
      <w:r>
        <w:rPr>
          <w:rFonts w:hint="default" w:ascii="Times New Roman" w:hAnsi="Times New Roman" w:eastAsia="宋体" w:cs="Times New Roman"/>
          <w:color w:val="0000FF"/>
          <w:sz w:val="24"/>
          <w:szCs w:val="24"/>
          <w:highlight w:val="none"/>
          <w:lang w:val="en-US" w:eastAsia="zh-CN"/>
        </w:rPr>
        <w:t>2</w:t>
      </w:r>
      <w:r>
        <w:rPr>
          <w:rFonts w:hint="default" w:ascii="Times New Roman" w:hAnsi="Times New Roman" w:eastAsia="宋体" w:cs="Times New Roman"/>
          <w:color w:val="0000FF"/>
          <w:sz w:val="24"/>
          <w:szCs w:val="24"/>
          <w:highlight w:val="none"/>
        </w:rPr>
        <w:t>台</w:t>
      </w:r>
      <w:r>
        <w:rPr>
          <w:rFonts w:hint="default" w:ascii="Times New Roman" w:hAnsi="Times New Roman" w:eastAsia="宋体" w:cs="Times New Roman"/>
          <w:color w:val="0000FF"/>
          <w:sz w:val="24"/>
          <w:szCs w:val="24"/>
          <w:highlight w:val="none"/>
          <w:lang w:eastAsia="zh-CN"/>
        </w:rPr>
        <w:t>电锅炉</w:t>
      </w:r>
      <w:r>
        <w:rPr>
          <w:rFonts w:hint="default" w:ascii="Times New Roman" w:hAnsi="Times New Roman" w:eastAsia="宋体" w:cs="Times New Roman"/>
          <w:color w:val="0000FF"/>
          <w:sz w:val="24"/>
          <w:szCs w:val="24"/>
          <w:highlight w:val="none"/>
        </w:rPr>
        <w:t>软水消耗量为</w:t>
      </w:r>
      <w:r>
        <w:rPr>
          <w:rFonts w:hint="default" w:ascii="Times New Roman" w:hAnsi="Times New Roman" w:eastAsia="宋体" w:cs="Times New Roman"/>
          <w:color w:val="0000FF"/>
          <w:sz w:val="24"/>
          <w:szCs w:val="24"/>
          <w:highlight w:val="none"/>
          <w:lang w:val="en-US" w:eastAsia="zh-CN"/>
        </w:rPr>
        <w:t>6</w:t>
      </w:r>
      <w:r>
        <w:rPr>
          <w:rFonts w:hint="default" w:ascii="Times New Roman" w:hAnsi="Times New Roman" w:eastAsia="宋体" w:cs="Times New Roman"/>
          <w:color w:val="0000FF"/>
          <w:sz w:val="24"/>
          <w:szCs w:val="24"/>
          <w:highlight w:val="none"/>
        </w:rPr>
        <w:t>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rPr>
        <w:t>/d（</w:t>
      </w:r>
      <w:r>
        <w:rPr>
          <w:rFonts w:hint="default" w:ascii="Times New Roman" w:hAnsi="Times New Roman" w:eastAsia="宋体" w:cs="Times New Roman"/>
          <w:color w:val="0000FF"/>
          <w:sz w:val="24"/>
          <w:szCs w:val="24"/>
          <w:highlight w:val="none"/>
          <w:lang w:val="en-US" w:eastAsia="zh-CN"/>
        </w:rPr>
        <w:t>1</w:t>
      </w:r>
      <w:r>
        <w:rPr>
          <w:rFonts w:hint="default" w:ascii="Times New Roman" w:hAnsi="Times New Roman" w:eastAsia="宋体" w:cs="Times New Roman"/>
          <w:color w:val="0000FF"/>
          <w:sz w:val="24"/>
          <w:szCs w:val="24"/>
          <w:highlight w:val="none"/>
          <w:lang w:val="en-US" w:eastAsia="zh-CN"/>
        </w:rPr>
        <w:t>080</w:t>
      </w:r>
      <w:r>
        <w:rPr>
          <w:rFonts w:hint="default" w:ascii="Times New Roman" w:hAnsi="Times New Roman" w:eastAsia="宋体" w:cs="Times New Roman"/>
          <w:color w:val="0000FF"/>
          <w:sz w:val="24"/>
          <w:szCs w:val="24"/>
          <w:highlight w:val="none"/>
        </w:rPr>
        <w:t>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rPr>
        <w:t>/a），软水制备装置的软水产出率按80%计算，因此，软水制备装置消耗的新鲜水量为</w:t>
      </w:r>
      <w:r>
        <w:rPr>
          <w:rFonts w:hint="default" w:ascii="Times New Roman" w:hAnsi="Times New Roman" w:eastAsia="宋体" w:cs="Times New Roman"/>
          <w:color w:val="0000FF"/>
          <w:sz w:val="24"/>
          <w:szCs w:val="24"/>
          <w:highlight w:val="none"/>
          <w:lang w:val="en-US" w:eastAsia="zh-CN"/>
        </w:rPr>
        <w:t>7</w:t>
      </w:r>
      <w:r>
        <w:rPr>
          <w:rFonts w:hint="default" w:ascii="Times New Roman" w:hAnsi="Times New Roman" w:eastAsia="宋体" w:cs="Times New Roman"/>
          <w:color w:val="0000FF"/>
          <w:sz w:val="24"/>
          <w:szCs w:val="24"/>
          <w:highlight w:val="none"/>
          <w:lang w:val="en-US" w:eastAsia="zh-CN"/>
        </w:rPr>
        <w:t>.5</w:t>
      </w:r>
      <w:r>
        <w:rPr>
          <w:rFonts w:hint="default" w:ascii="Times New Roman" w:hAnsi="Times New Roman" w:eastAsia="宋体" w:cs="Times New Roman"/>
          <w:color w:val="0000FF"/>
          <w:sz w:val="24"/>
          <w:szCs w:val="24"/>
          <w:highlight w:val="none"/>
        </w:rPr>
        <w:t>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rPr>
        <w:t>/d（</w:t>
      </w:r>
      <w:r>
        <w:rPr>
          <w:rFonts w:hint="default" w:ascii="Times New Roman" w:hAnsi="Times New Roman" w:eastAsia="宋体" w:cs="Times New Roman"/>
          <w:color w:val="0000FF"/>
          <w:sz w:val="24"/>
          <w:szCs w:val="24"/>
          <w:highlight w:val="none"/>
          <w:lang w:val="en-US" w:eastAsia="zh-CN"/>
        </w:rPr>
        <w:t>1350</w:t>
      </w:r>
      <w:r>
        <w:rPr>
          <w:rFonts w:hint="default" w:ascii="Times New Roman" w:hAnsi="Times New Roman" w:eastAsia="宋体" w:cs="Times New Roman"/>
          <w:color w:val="0000FF"/>
          <w:sz w:val="24"/>
          <w:szCs w:val="24"/>
          <w:highlight w:val="none"/>
          <w:lang w:eastAsia="zh-CN"/>
        </w:rPr>
        <w:t>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rPr>
        <w:t>/a）</w:t>
      </w:r>
      <w:r>
        <w:rPr>
          <w:rFonts w:hint="default" w:ascii="Times New Roman" w:hAnsi="Times New Roman" w:eastAsia="宋体" w:cs="Times New Roman"/>
          <w:color w:val="0000FF"/>
          <w:sz w:val="24"/>
          <w:szCs w:val="24"/>
          <w:highlight w:val="none"/>
          <w:lang w:val="en-US" w:eastAsia="zh-CN"/>
        </w:rPr>
        <w:t>。</w:t>
      </w:r>
    </w:p>
    <w:p w14:paraId="399EDFF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0000"/>
          <w:highlight w:val="none"/>
          <w:lang w:eastAsia="zh-CN"/>
        </w:rPr>
      </w:pPr>
      <w:r>
        <w:rPr>
          <w:rFonts w:hint="default" w:ascii="Times New Roman" w:hAnsi="Times New Roman" w:eastAsia="宋体" w:cs="Times New Roman"/>
          <w:color w:val="FF0000"/>
          <w:highlight w:val="none"/>
        </w:rPr>
        <w:t>（</w:t>
      </w:r>
      <w:r>
        <w:rPr>
          <w:rFonts w:hint="default" w:ascii="Times New Roman" w:hAnsi="Times New Roman" w:eastAsia="宋体" w:cs="Times New Roman"/>
          <w:color w:val="FF0000"/>
          <w:highlight w:val="none"/>
          <w:lang w:val="en-US" w:eastAsia="zh-CN"/>
        </w:rPr>
        <w:t>5</w:t>
      </w:r>
      <w:r>
        <w:rPr>
          <w:rFonts w:hint="default" w:ascii="Times New Roman" w:hAnsi="Times New Roman" w:eastAsia="宋体" w:cs="Times New Roman"/>
          <w:color w:val="FF0000"/>
          <w:highlight w:val="none"/>
        </w:rPr>
        <w:t>）</w:t>
      </w:r>
      <w:r>
        <w:rPr>
          <w:rFonts w:hint="default" w:ascii="Times New Roman" w:hAnsi="Times New Roman" w:eastAsia="宋体" w:cs="Times New Roman"/>
          <w:color w:val="FF0000"/>
          <w:highlight w:val="none"/>
          <w:lang w:eastAsia="zh-CN"/>
        </w:rPr>
        <w:t>绿化用水</w:t>
      </w:r>
    </w:p>
    <w:p w14:paraId="176C394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sz w:val="24"/>
          <w:szCs w:val="24"/>
          <w:highlight w:val="none"/>
        </w:rPr>
        <w:t>本项目建筑物周边绿化面积为</w:t>
      </w:r>
      <w:r>
        <w:rPr>
          <w:rFonts w:hint="default" w:ascii="Times New Roman" w:hAnsi="Times New Roman" w:eastAsia="宋体" w:cs="Times New Roman"/>
          <w:color w:val="FF0000"/>
          <w:sz w:val="24"/>
          <w:szCs w:val="24"/>
          <w:highlight w:val="none"/>
          <w:lang w:val="en-US" w:eastAsia="zh-CN"/>
        </w:rPr>
        <w:t>10000</w:t>
      </w:r>
      <w:r>
        <w:rPr>
          <w:rFonts w:hint="default" w:ascii="Times New Roman" w:hAnsi="Times New Roman" w:eastAsia="宋体" w:cs="Times New Roman"/>
          <w:color w:val="FF0000"/>
          <w:sz w:val="24"/>
          <w:szCs w:val="24"/>
          <w:highlight w:val="none"/>
        </w:rPr>
        <w:t>m</w:t>
      </w:r>
      <w:r>
        <w:rPr>
          <w:rFonts w:hint="default" w:ascii="Times New Roman" w:hAnsi="Times New Roman" w:eastAsia="宋体" w:cs="Times New Roman"/>
          <w:color w:val="FF0000"/>
          <w:sz w:val="24"/>
          <w:szCs w:val="24"/>
          <w:highlight w:val="none"/>
          <w:vertAlign w:val="superscript"/>
        </w:rPr>
        <w:t>2</w:t>
      </w:r>
      <w:r>
        <w:rPr>
          <w:rFonts w:hint="default" w:ascii="Times New Roman" w:hAnsi="Times New Roman" w:eastAsia="宋体" w:cs="Times New Roman"/>
          <w:color w:val="FF0000"/>
          <w:sz w:val="24"/>
          <w:szCs w:val="24"/>
          <w:highlight w:val="none"/>
        </w:rPr>
        <w:t>，根据</w:t>
      </w:r>
      <w:r>
        <w:rPr>
          <w:rFonts w:hint="default" w:ascii="Times New Roman" w:hAnsi="Times New Roman" w:eastAsia="宋体" w:cs="Times New Roman"/>
          <w:color w:val="FF0000"/>
          <w:highlight w:val="none"/>
        </w:rPr>
        <w:t>《内蒙古自治区</w:t>
      </w:r>
      <w:r>
        <w:rPr>
          <w:rFonts w:hint="default" w:ascii="Times New Roman" w:hAnsi="Times New Roman" w:eastAsia="宋体" w:cs="Times New Roman"/>
          <w:color w:val="FF0000"/>
          <w:highlight w:val="none"/>
          <w:lang w:eastAsia="zh-CN"/>
        </w:rPr>
        <w:t>行业用水定额（2020版）</w:t>
      </w:r>
      <w:r>
        <w:rPr>
          <w:rFonts w:hint="default" w:ascii="Times New Roman" w:hAnsi="Times New Roman" w:eastAsia="宋体" w:cs="Times New Roman"/>
          <w:color w:val="FF0000"/>
          <w:highlight w:val="none"/>
        </w:rPr>
        <w:t>》（</w:t>
      </w:r>
      <w:r>
        <w:rPr>
          <w:rFonts w:hint="default" w:ascii="Times New Roman" w:hAnsi="Times New Roman" w:eastAsia="宋体" w:cs="Times New Roman"/>
          <w:color w:val="FF0000"/>
          <w:highlight w:val="none"/>
          <w:lang w:eastAsia="zh-CN"/>
        </w:rPr>
        <w:t>DB15/T385-2020</w:t>
      </w:r>
      <w:r>
        <w:rPr>
          <w:rFonts w:hint="default" w:ascii="Times New Roman" w:hAnsi="Times New Roman" w:eastAsia="宋体" w:cs="Times New Roman"/>
          <w:color w:val="FF0000"/>
          <w:highlight w:val="none"/>
        </w:rPr>
        <w:t>）</w:t>
      </w:r>
      <w:r>
        <w:rPr>
          <w:rFonts w:hint="default" w:ascii="Times New Roman" w:hAnsi="Times New Roman" w:eastAsia="宋体" w:cs="Times New Roman"/>
          <w:color w:val="FF0000"/>
          <w:sz w:val="24"/>
          <w:szCs w:val="24"/>
          <w:highlight w:val="none"/>
        </w:rPr>
        <w:t>，绿化用水</w:t>
      </w:r>
      <w:r>
        <w:rPr>
          <w:rFonts w:hint="default" w:ascii="Times New Roman" w:hAnsi="Times New Roman" w:eastAsia="宋体" w:cs="Times New Roman"/>
          <w:color w:val="FF0000"/>
          <w:kern w:val="0"/>
          <w:sz w:val="24"/>
          <w:szCs w:val="24"/>
          <w:highlight w:val="none"/>
        </w:rPr>
        <w:t>量按</w:t>
      </w:r>
      <w:r>
        <w:rPr>
          <w:rFonts w:hint="default" w:ascii="Times New Roman" w:hAnsi="Times New Roman" w:eastAsia="宋体" w:cs="Times New Roman"/>
          <w:color w:val="FF0000"/>
          <w:sz w:val="24"/>
          <w:szCs w:val="24"/>
          <w:highlight w:val="none"/>
          <w:lang w:val="en-US" w:eastAsia="zh-CN"/>
        </w:rPr>
        <w:t>2.3</w:t>
      </w:r>
      <w:r>
        <w:rPr>
          <w:rFonts w:hint="default" w:ascii="Times New Roman" w:hAnsi="Times New Roman" w:eastAsia="宋体" w:cs="Times New Roman"/>
          <w:color w:val="FF0000"/>
          <w:sz w:val="24"/>
          <w:szCs w:val="24"/>
          <w:highlight w:val="none"/>
        </w:rPr>
        <w:t>L/</w:t>
      </w:r>
      <w:r>
        <w:rPr>
          <w:rFonts w:hint="default" w:ascii="Times New Roman" w:hAnsi="Times New Roman" w:eastAsia="宋体" w:cs="Times New Roman"/>
          <w:color w:val="FF0000"/>
          <w:sz w:val="24"/>
          <w:szCs w:val="24"/>
          <w:highlight w:val="none"/>
          <w:lang w:val="en-US" w:eastAsia="zh-CN"/>
        </w:rPr>
        <w:t>（</w:t>
      </w:r>
      <w:r>
        <w:rPr>
          <w:rFonts w:hint="default" w:ascii="Times New Roman" w:hAnsi="Times New Roman" w:eastAsia="宋体" w:cs="Times New Roman"/>
          <w:color w:val="FF0000"/>
          <w:sz w:val="24"/>
          <w:szCs w:val="24"/>
          <w:highlight w:val="none"/>
        </w:rPr>
        <w:t>m</w:t>
      </w:r>
      <w:r>
        <w:rPr>
          <w:rFonts w:hint="default" w:ascii="Times New Roman" w:hAnsi="Times New Roman" w:eastAsia="宋体" w:cs="Times New Roman"/>
          <w:color w:val="FF0000"/>
          <w:sz w:val="24"/>
          <w:szCs w:val="24"/>
          <w:highlight w:val="none"/>
          <w:vertAlign w:val="superscript"/>
        </w:rPr>
        <w:t>2</w:t>
      </w:r>
      <w:r>
        <w:rPr>
          <w:rFonts w:hint="default" w:ascii="Times New Roman" w:hAnsi="Times New Roman" w:eastAsia="宋体" w:cs="Times New Roman"/>
          <w:color w:val="FF0000"/>
          <w:sz w:val="24"/>
          <w:szCs w:val="24"/>
          <w:highlight w:val="none"/>
        </w:rPr>
        <w:t>·</w:t>
      </w:r>
      <w:r>
        <w:rPr>
          <w:rFonts w:hint="default" w:ascii="Times New Roman" w:hAnsi="Times New Roman" w:eastAsia="宋体" w:cs="Times New Roman"/>
          <w:color w:val="FF0000"/>
          <w:sz w:val="24"/>
          <w:szCs w:val="24"/>
          <w:highlight w:val="none"/>
          <w:lang w:val="en-US" w:eastAsia="zh-CN"/>
        </w:rPr>
        <w:t>d）</w:t>
      </w:r>
      <w:r>
        <w:rPr>
          <w:rFonts w:hint="default" w:ascii="Times New Roman" w:hAnsi="Times New Roman" w:eastAsia="宋体" w:cs="Times New Roman"/>
          <w:color w:val="FF0000"/>
          <w:kern w:val="0"/>
          <w:sz w:val="24"/>
          <w:szCs w:val="24"/>
          <w:highlight w:val="none"/>
        </w:rPr>
        <w:t>计</w:t>
      </w:r>
      <w:r>
        <w:rPr>
          <w:rFonts w:hint="default" w:ascii="Times New Roman" w:hAnsi="Times New Roman" w:eastAsia="宋体" w:cs="Times New Roman"/>
          <w:color w:val="FF0000"/>
          <w:sz w:val="24"/>
          <w:szCs w:val="24"/>
          <w:highlight w:val="none"/>
        </w:rPr>
        <w:t>，绿化期按</w:t>
      </w:r>
      <w:r>
        <w:rPr>
          <w:rFonts w:hint="default" w:ascii="Times New Roman" w:hAnsi="Times New Roman" w:eastAsia="宋体" w:cs="Times New Roman"/>
          <w:color w:val="FF0000"/>
          <w:sz w:val="24"/>
          <w:szCs w:val="24"/>
          <w:highlight w:val="none"/>
          <w:lang w:val="en-US" w:eastAsia="zh-CN"/>
        </w:rPr>
        <w:t>60</w:t>
      </w:r>
      <w:r>
        <w:rPr>
          <w:rFonts w:hint="default" w:ascii="Times New Roman" w:hAnsi="Times New Roman" w:eastAsia="宋体" w:cs="Times New Roman"/>
          <w:color w:val="FF0000"/>
          <w:sz w:val="24"/>
          <w:szCs w:val="24"/>
          <w:highlight w:val="none"/>
        </w:rPr>
        <w:t>天计</w:t>
      </w:r>
      <w:r>
        <w:rPr>
          <w:rFonts w:hint="default" w:ascii="Times New Roman" w:hAnsi="Times New Roman" w:eastAsia="宋体" w:cs="Times New Roman"/>
          <w:color w:val="FF0000"/>
          <w:sz w:val="24"/>
          <w:szCs w:val="24"/>
          <w:highlight w:val="none"/>
          <w:lang w:eastAsia="zh-CN"/>
        </w:rPr>
        <w:t>，</w:t>
      </w:r>
      <w:r>
        <w:rPr>
          <w:rFonts w:hint="default" w:ascii="Times New Roman" w:hAnsi="Times New Roman" w:eastAsia="宋体" w:cs="Times New Roman"/>
          <w:color w:val="FF0000"/>
          <w:sz w:val="24"/>
          <w:szCs w:val="24"/>
          <w:highlight w:val="none"/>
        </w:rPr>
        <w:t>则本项目绿化用水量为</w:t>
      </w:r>
      <w:r>
        <w:rPr>
          <w:rFonts w:hint="default" w:ascii="Times New Roman" w:hAnsi="Times New Roman" w:eastAsia="宋体" w:cs="Times New Roman"/>
          <w:color w:val="FF0000"/>
          <w:sz w:val="24"/>
          <w:szCs w:val="24"/>
          <w:highlight w:val="none"/>
          <w:lang w:val="en-US" w:eastAsia="zh-CN"/>
        </w:rPr>
        <w:t>23</w:t>
      </w:r>
      <w:r>
        <w:rPr>
          <w:rFonts w:hint="default" w:ascii="Times New Roman" w:hAnsi="Times New Roman" w:eastAsia="宋体" w:cs="Times New Roman"/>
          <w:color w:val="FF0000"/>
          <w:sz w:val="24"/>
          <w:szCs w:val="24"/>
          <w:highlight w:val="none"/>
        </w:rPr>
        <w:t>m</w:t>
      </w:r>
      <w:r>
        <w:rPr>
          <w:rFonts w:hint="default" w:ascii="Times New Roman" w:hAnsi="Times New Roman" w:eastAsia="宋体" w:cs="Times New Roman"/>
          <w:color w:val="FF0000"/>
          <w:sz w:val="24"/>
          <w:szCs w:val="24"/>
          <w:highlight w:val="none"/>
          <w:vertAlign w:val="superscript"/>
        </w:rPr>
        <w:t>3</w:t>
      </w:r>
      <w:r>
        <w:rPr>
          <w:rFonts w:hint="default" w:ascii="Times New Roman" w:hAnsi="Times New Roman" w:eastAsia="宋体" w:cs="Times New Roman"/>
          <w:color w:val="FF0000"/>
          <w:sz w:val="24"/>
          <w:szCs w:val="24"/>
          <w:highlight w:val="none"/>
        </w:rPr>
        <w:t>/</w:t>
      </w:r>
      <w:r>
        <w:rPr>
          <w:rFonts w:hint="default" w:ascii="Times New Roman" w:hAnsi="Times New Roman" w:eastAsia="宋体" w:cs="Times New Roman"/>
          <w:color w:val="FF0000"/>
          <w:sz w:val="24"/>
          <w:szCs w:val="24"/>
          <w:highlight w:val="none"/>
          <w:lang w:val="en-US" w:eastAsia="zh-CN"/>
        </w:rPr>
        <w:t>d</w:t>
      </w:r>
      <w:r>
        <w:rPr>
          <w:rFonts w:hint="default" w:ascii="Times New Roman" w:hAnsi="Times New Roman" w:eastAsia="宋体" w:cs="Times New Roman"/>
          <w:color w:val="FF0000"/>
          <w:sz w:val="24"/>
          <w:szCs w:val="24"/>
          <w:highlight w:val="none"/>
        </w:rPr>
        <w:t>（</w:t>
      </w:r>
      <w:r>
        <w:rPr>
          <w:rFonts w:hint="default" w:ascii="Times New Roman" w:hAnsi="Times New Roman" w:eastAsia="宋体" w:cs="Times New Roman"/>
          <w:color w:val="FF0000"/>
          <w:sz w:val="24"/>
          <w:szCs w:val="24"/>
          <w:highlight w:val="none"/>
          <w:lang w:val="en-US" w:eastAsia="zh-CN"/>
        </w:rPr>
        <w:t>1380</w:t>
      </w:r>
      <w:r>
        <w:rPr>
          <w:rFonts w:hint="default" w:ascii="Times New Roman" w:hAnsi="Times New Roman" w:eastAsia="宋体" w:cs="Times New Roman"/>
          <w:color w:val="FF0000"/>
          <w:sz w:val="24"/>
          <w:szCs w:val="24"/>
          <w:highlight w:val="none"/>
        </w:rPr>
        <w:t>m</w:t>
      </w:r>
      <w:r>
        <w:rPr>
          <w:rFonts w:hint="default" w:ascii="Times New Roman" w:hAnsi="Times New Roman" w:eastAsia="宋体" w:cs="Times New Roman"/>
          <w:color w:val="FF0000"/>
          <w:sz w:val="24"/>
          <w:szCs w:val="24"/>
          <w:highlight w:val="none"/>
          <w:vertAlign w:val="superscript"/>
        </w:rPr>
        <w:t>3</w:t>
      </w:r>
      <w:r>
        <w:rPr>
          <w:rFonts w:hint="default" w:ascii="Times New Roman" w:hAnsi="Times New Roman" w:eastAsia="宋体" w:cs="Times New Roman"/>
          <w:color w:val="FF0000"/>
          <w:sz w:val="24"/>
          <w:szCs w:val="24"/>
          <w:highlight w:val="none"/>
        </w:rPr>
        <w:t>/a）</w:t>
      </w:r>
      <w:r>
        <w:rPr>
          <w:rFonts w:hint="default" w:ascii="Times New Roman" w:hAnsi="Times New Roman" w:eastAsia="宋体" w:cs="Times New Roman"/>
          <w:color w:val="FF0000"/>
          <w:highlight w:val="none"/>
        </w:rPr>
        <w:t>。</w:t>
      </w:r>
    </w:p>
    <w:p w14:paraId="206DF628">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3.1.6.2排水</w:t>
      </w:r>
    </w:p>
    <w:p w14:paraId="0822DFF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eastAsia="zh-CN"/>
        </w:rPr>
        <w:t>牛群尿液</w:t>
      </w:r>
    </w:p>
    <w:p w14:paraId="56622E4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牛群饮用水部分用于自身生长及运动消耗，其余部分以尿液的形式排出。根据《畜禽养殖业污染治理工程技术规范》（HJ497</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2009）附录A</w:t>
      </w:r>
      <w:r>
        <w:rPr>
          <w:rFonts w:hint="default" w:ascii="Times New Roman" w:hAnsi="Times New Roman" w:eastAsia="宋体" w:cs="Times New Roman"/>
          <w:color w:val="auto"/>
          <w:highlight w:val="none"/>
          <w:lang w:eastAsia="zh-CN"/>
        </w:rPr>
        <w:t>牛群尿液</w:t>
      </w:r>
      <w:r>
        <w:rPr>
          <w:rFonts w:hint="default" w:ascii="Times New Roman" w:hAnsi="Times New Roman" w:eastAsia="宋体" w:cs="Times New Roman"/>
          <w:color w:val="auto"/>
          <w:highlight w:val="none"/>
        </w:rPr>
        <w:t>产生量以</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0kg/头•d计，详见表3.1-</w:t>
      </w:r>
      <w:r>
        <w:rPr>
          <w:rFonts w:hint="default"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w:t>
      </w:r>
    </w:p>
    <w:p w14:paraId="73B4CCDB">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表3.1-</w:t>
      </w:r>
      <w:r>
        <w:rPr>
          <w:rFonts w:hint="default"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牛群尿液产污量明细</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654"/>
        <w:gridCol w:w="1655"/>
        <w:gridCol w:w="1656"/>
        <w:gridCol w:w="1656"/>
        <w:gridCol w:w="1656"/>
      </w:tblGrid>
      <w:tr w14:paraId="1C2C5A9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0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A6D3E8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牛群种类</w:t>
            </w:r>
          </w:p>
        </w:tc>
        <w:tc>
          <w:tcPr>
            <w:tcW w:w="180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C44A44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数目</w:t>
            </w:r>
          </w:p>
        </w:tc>
        <w:tc>
          <w:tcPr>
            <w:tcW w:w="1801" w:type="dxa"/>
            <w:vMerge w:val="restart"/>
            <w:tcBorders>
              <w:top w:val="single" w:color="auto" w:sz="4" w:space="0"/>
              <w:left w:val="single" w:color="auto" w:sz="4" w:space="0"/>
              <w:bottom w:val="single" w:color="auto" w:sz="4" w:space="0"/>
              <w:right w:val="single" w:color="auto" w:sz="4" w:space="0"/>
            </w:tcBorders>
            <w:vAlign w:val="center"/>
          </w:tcPr>
          <w:p w14:paraId="3A50179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产污系数</w:t>
            </w:r>
          </w:p>
          <w:p w14:paraId="4B3BD4A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（kg/头·d）</w:t>
            </w:r>
          </w:p>
        </w:tc>
        <w:tc>
          <w:tcPr>
            <w:tcW w:w="360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274DD7D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产生量</w:t>
            </w:r>
          </w:p>
        </w:tc>
      </w:tr>
      <w:tr w14:paraId="4C787AF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00" w:type="dxa"/>
            <w:vMerge w:val="continue"/>
            <w:tcBorders>
              <w:top w:val="single" w:color="auto" w:sz="4" w:space="0"/>
              <w:left w:val="single" w:color="auto" w:sz="4" w:space="0"/>
              <w:bottom w:val="single" w:color="auto" w:sz="4" w:space="0"/>
              <w:right w:val="single" w:color="auto" w:sz="4" w:space="0"/>
            </w:tcBorders>
            <w:vAlign w:val="center"/>
          </w:tcPr>
          <w:p w14:paraId="5E2E900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800" w:type="dxa"/>
            <w:vMerge w:val="continue"/>
            <w:tcBorders>
              <w:top w:val="single" w:color="auto" w:sz="4" w:space="0"/>
              <w:left w:val="single" w:color="auto" w:sz="4" w:space="0"/>
              <w:bottom w:val="single" w:color="auto" w:sz="4" w:space="0"/>
              <w:right w:val="single" w:color="auto" w:sz="4" w:space="0"/>
            </w:tcBorders>
            <w:vAlign w:val="center"/>
          </w:tcPr>
          <w:p w14:paraId="7920259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801" w:type="dxa"/>
            <w:vMerge w:val="continue"/>
            <w:tcBorders>
              <w:top w:val="single" w:color="auto" w:sz="4" w:space="0"/>
              <w:left w:val="single" w:color="auto" w:sz="4" w:space="0"/>
              <w:bottom w:val="single" w:color="auto" w:sz="4" w:space="0"/>
              <w:right w:val="single" w:color="auto" w:sz="4" w:space="0"/>
            </w:tcBorders>
            <w:vAlign w:val="center"/>
          </w:tcPr>
          <w:p w14:paraId="3B8A0E9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801" w:type="dxa"/>
            <w:tcBorders>
              <w:top w:val="single" w:color="auto" w:sz="4" w:space="0"/>
              <w:left w:val="single" w:color="auto" w:sz="4" w:space="0"/>
              <w:bottom w:val="single" w:color="auto" w:sz="4" w:space="0"/>
              <w:right w:val="single" w:color="auto" w:sz="4" w:space="0"/>
            </w:tcBorders>
            <w:shd w:val="clear" w:color="auto" w:fill="auto"/>
            <w:vAlign w:val="center"/>
          </w:tcPr>
          <w:p w14:paraId="46327CA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t/d</w:t>
            </w:r>
          </w:p>
        </w:tc>
        <w:tc>
          <w:tcPr>
            <w:tcW w:w="1801" w:type="dxa"/>
            <w:tcBorders>
              <w:top w:val="single" w:color="auto" w:sz="4" w:space="0"/>
              <w:left w:val="single" w:color="auto" w:sz="4" w:space="0"/>
              <w:bottom w:val="single" w:color="auto" w:sz="4" w:space="0"/>
              <w:right w:val="single" w:color="auto" w:sz="4" w:space="0"/>
            </w:tcBorders>
            <w:shd w:val="clear" w:color="auto" w:fill="auto"/>
            <w:vAlign w:val="center"/>
          </w:tcPr>
          <w:p w14:paraId="172DEAA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t/a</w:t>
            </w:r>
          </w:p>
        </w:tc>
      </w:tr>
      <w:tr w14:paraId="4D121AD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00" w:type="dxa"/>
            <w:tcBorders>
              <w:top w:val="single" w:color="auto" w:sz="4" w:space="0"/>
              <w:left w:val="single" w:color="auto" w:sz="4" w:space="0"/>
              <w:bottom w:val="single" w:color="auto" w:sz="4" w:space="0"/>
              <w:right w:val="single" w:color="auto" w:sz="4" w:space="0"/>
            </w:tcBorders>
            <w:shd w:val="clear" w:color="auto" w:fill="auto"/>
            <w:vAlign w:val="center"/>
          </w:tcPr>
          <w:p w14:paraId="72B22D5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肉牛</w:t>
            </w:r>
          </w:p>
        </w:tc>
        <w:tc>
          <w:tcPr>
            <w:tcW w:w="1800" w:type="dxa"/>
            <w:tcBorders>
              <w:top w:val="single" w:color="auto" w:sz="4" w:space="0"/>
              <w:left w:val="single" w:color="auto" w:sz="4" w:space="0"/>
              <w:bottom w:val="single" w:color="auto" w:sz="4" w:space="0"/>
              <w:right w:val="single" w:color="auto" w:sz="4" w:space="0"/>
            </w:tcBorders>
            <w:shd w:val="clear" w:color="auto" w:fill="auto"/>
            <w:vAlign w:val="center"/>
          </w:tcPr>
          <w:p w14:paraId="1672A32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2500</w:t>
            </w:r>
          </w:p>
        </w:tc>
        <w:tc>
          <w:tcPr>
            <w:tcW w:w="1801" w:type="dxa"/>
            <w:tcBorders>
              <w:top w:val="single" w:color="auto" w:sz="4" w:space="0"/>
              <w:left w:val="single" w:color="auto" w:sz="4" w:space="0"/>
              <w:bottom w:val="single" w:color="auto" w:sz="4" w:space="0"/>
              <w:right w:val="single" w:color="auto" w:sz="4" w:space="0"/>
            </w:tcBorders>
            <w:vAlign w:val="center"/>
          </w:tcPr>
          <w:p w14:paraId="3EC5856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1801" w:type="dxa"/>
            <w:tcBorders>
              <w:top w:val="single" w:color="auto" w:sz="4" w:space="0"/>
              <w:left w:val="single" w:color="auto" w:sz="4" w:space="0"/>
              <w:bottom w:val="single" w:color="auto" w:sz="4" w:space="0"/>
              <w:right w:val="single" w:color="auto" w:sz="4" w:space="0"/>
            </w:tcBorders>
            <w:shd w:val="clear" w:color="auto" w:fill="auto"/>
            <w:vAlign w:val="center"/>
          </w:tcPr>
          <w:p w14:paraId="121E89F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w:t>
            </w:r>
          </w:p>
        </w:tc>
        <w:tc>
          <w:tcPr>
            <w:tcW w:w="1801" w:type="dxa"/>
            <w:tcBorders>
              <w:top w:val="single" w:color="auto" w:sz="4" w:space="0"/>
              <w:left w:val="single" w:color="auto" w:sz="4" w:space="0"/>
              <w:bottom w:val="single" w:color="auto" w:sz="4" w:space="0"/>
              <w:right w:val="single" w:color="auto" w:sz="4" w:space="0"/>
            </w:tcBorders>
            <w:shd w:val="clear" w:color="auto" w:fill="auto"/>
            <w:vAlign w:val="center"/>
          </w:tcPr>
          <w:p w14:paraId="0F8640C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9125</w:t>
            </w:r>
          </w:p>
        </w:tc>
      </w:tr>
    </w:tbl>
    <w:p w14:paraId="6310C58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8"/>
          <w:highlight w:val="none"/>
        </w:rPr>
        <w:t>本项目</w:t>
      </w:r>
      <w:r>
        <w:rPr>
          <w:rFonts w:hint="default" w:ascii="Times New Roman" w:hAnsi="Times New Roman" w:eastAsia="宋体" w:cs="Times New Roman"/>
          <w:color w:val="auto"/>
          <w:kern w:val="0"/>
          <w:sz w:val="24"/>
          <w:szCs w:val="24"/>
          <w:highlight w:val="none"/>
          <w:lang w:eastAsia="zh-CN"/>
        </w:rPr>
        <w:t>肉牛饲养过程中饮用水量较少，排放的尿液较少，并且牛粪较为干燥，在</w:t>
      </w:r>
      <w:r>
        <w:rPr>
          <w:rFonts w:hint="default" w:ascii="Times New Roman" w:hAnsi="Times New Roman" w:eastAsia="宋体" w:cs="Times New Roman"/>
          <w:color w:val="auto"/>
          <w:kern w:val="0"/>
          <w:sz w:val="24"/>
          <w:szCs w:val="24"/>
          <w:highlight w:val="none"/>
        </w:rPr>
        <w:t>养殖区</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牛舍</w:t>
      </w:r>
      <w:r>
        <w:rPr>
          <w:rFonts w:hint="default" w:ascii="Times New Roman" w:hAnsi="Times New Roman" w:eastAsia="宋体" w:cs="Times New Roman"/>
          <w:color w:val="auto"/>
          <w:kern w:val="0"/>
          <w:sz w:val="24"/>
          <w:szCs w:val="24"/>
          <w:highlight w:val="none"/>
          <w:lang w:eastAsia="zh-CN"/>
        </w:rPr>
        <w:t>、运动场）排放的尿液大部分由于当地气候干燥蒸发，剩余尿液与粪便完全黏结混合在一起，一起运往粪污处理池</w:t>
      </w:r>
      <w:r>
        <w:rPr>
          <w:rFonts w:hint="default" w:ascii="Times New Roman" w:hAnsi="Times New Roman" w:eastAsia="宋体" w:cs="Times New Roman"/>
          <w:color w:val="auto"/>
          <w:kern w:val="0"/>
          <w:sz w:val="24"/>
          <w:szCs w:val="24"/>
          <w:highlight w:val="none"/>
        </w:rPr>
        <w:t>储存并堆肥</w:t>
      </w:r>
      <w:r>
        <w:rPr>
          <w:rFonts w:hint="default" w:ascii="Times New Roman" w:hAnsi="Times New Roman" w:eastAsia="宋体" w:cs="Times New Roman"/>
          <w:color w:val="auto"/>
          <w:kern w:val="0"/>
          <w:sz w:val="24"/>
          <w:szCs w:val="24"/>
          <w:highlight w:val="none"/>
          <w:lang w:eastAsia="zh-CN"/>
        </w:rPr>
        <w:t>，因此，没有尿液排放；</w:t>
      </w:r>
      <w:r>
        <w:rPr>
          <w:rFonts w:hint="default" w:ascii="Times New Roman" w:hAnsi="Times New Roman" w:eastAsia="宋体" w:cs="Times New Roman"/>
          <w:color w:val="auto"/>
          <w:kern w:val="0"/>
          <w:sz w:val="24"/>
          <w:szCs w:val="24"/>
          <w:highlight w:val="none"/>
        </w:rPr>
        <w:t>养殖区</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牛舍</w:t>
      </w:r>
      <w:r>
        <w:rPr>
          <w:rFonts w:hint="default" w:ascii="Times New Roman" w:hAnsi="Times New Roman" w:eastAsia="宋体" w:cs="Times New Roman"/>
          <w:color w:val="auto"/>
          <w:kern w:val="0"/>
          <w:sz w:val="24"/>
          <w:szCs w:val="24"/>
          <w:highlight w:val="none"/>
          <w:lang w:eastAsia="zh-CN"/>
        </w:rPr>
        <w:t>、运动场）场地不采取水冲洗方式清理，采用生石灰或者消毒水每周喷洒消毒</w:t>
      </w:r>
      <w:r>
        <w:rPr>
          <w:rFonts w:hint="default" w:ascii="Times New Roman" w:hAnsi="Times New Roman" w:eastAsia="宋体" w:cs="Times New Roman"/>
          <w:color w:val="auto"/>
          <w:kern w:val="0"/>
          <w:sz w:val="24"/>
          <w:szCs w:val="24"/>
          <w:highlight w:val="none"/>
          <w:lang w:val="en-US" w:eastAsia="zh-CN"/>
        </w:rPr>
        <w:t>2～3次</w:t>
      </w:r>
      <w:r>
        <w:rPr>
          <w:rFonts w:hint="default" w:ascii="Times New Roman" w:hAnsi="Times New Roman" w:eastAsia="宋体" w:cs="Times New Roman"/>
          <w:color w:val="auto"/>
          <w:kern w:val="0"/>
          <w:sz w:val="24"/>
          <w:szCs w:val="24"/>
          <w:highlight w:val="none"/>
          <w:lang w:eastAsia="zh-CN"/>
        </w:rPr>
        <w:t>，因此，</w:t>
      </w:r>
      <w:r>
        <w:rPr>
          <w:rFonts w:hint="default" w:ascii="Times New Roman" w:hAnsi="Times New Roman" w:eastAsia="宋体" w:cs="Times New Roman"/>
          <w:color w:val="auto"/>
          <w:kern w:val="0"/>
          <w:sz w:val="24"/>
          <w:szCs w:val="24"/>
          <w:highlight w:val="none"/>
        </w:rPr>
        <w:t>养殖区</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牛舍</w:t>
      </w:r>
      <w:r>
        <w:rPr>
          <w:rFonts w:hint="default" w:ascii="Times New Roman" w:hAnsi="Times New Roman" w:eastAsia="宋体" w:cs="Times New Roman"/>
          <w:color w:val="auto"/>
          <w:kern w:val="0"/>
          <w:sz w:val="24"/>
          <w:szCs w:val="24"/>
          <w:highlight w:val="none"/>
          <w:lang w:eastAsia="zh-CN"/>
        </w:rPr>
        <w:t>、运动场）</w:t>
      </w:r>
      <w:r>
        <w:rPr>
          <w:rFonts w:hint="default" w:ascii="Times New Roman" w:hAnsi="Times New Roman" w:eastAsia="宋体" w:cs="Times New Roman"/>
          <w:color w:val="auto"/>
          <w:kern w:val="0"/>
          <w:sz w:val="24"/>
          <w:szCs w:val="24"/>
          <w:highlight w:val="none"/>
        </w:rPr>
        <w:t>不产生冲洗废水</w:t>
      </w:r>
      <w:r>
        <w:rPr>
          <w:rFonts w:hint="default" w:ascii="Times New Roman" w:hAnsi="Times New Roman" w:eastAsia="宋体" w:cs="Times New Roman"/>
          <w:color w:val="auto"/>
          <w:sz w:val="24"/>
          <w:szCs w:val="24"/>
          <w:highlight w:val="none"/>
        </w:rPr>
        <w:t>。</w:t>
      </w:r>
    </w:p>
    <w:p w14:paraId="39C7C5A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FF"/>
          <w:sz w:val="24"/>
          <w:szCs w:val="24"/>
          <w:highlight w:val="none"/>
          <w:lang w:val="en-US" w:eastAsia="zh-CN"/>
        </w:rPr>
      </w:pPr>
      <w:r>
        <w:rPr>
          <w:rFonts w:hint="default" w:ascii="Times New Roman" w:hAnsi="Times New Roman" w:eastAsia="宋体" w:cs="Times New Roman"/>
          <w:color w:val="0000FF"/>
          <w:sz w:val="24"/>
          <w:szCs w:val="24"/>
          <w:highlight w:val="none"/>
          <w:lang w:val="en-US" w:eastAsia="zh-CN"/>
        </w:rPr>
        <w:t>（</w:t>
      </w:r>
      <w:r>
        <w:rPr>
          <w:rFonts w:hint="default" w:ascii="Times New Roman" w:hAnsi="Times New Roman" w:eastAsia="宋体" w:cs="Times New Roman"/>
          <w:color w:val="0000FF"/>
          <w:sz w:val="24"/>
          <w:szCs w:val="24"/>
          <w:highlight w:val="none"/>
          <w:lang w:val="en-US" w:eastAsia="zh-CN"/>
        </w:rPr>
        <w:t>2</w:t>
      </w:r>
      <w:r>
        <w:rPr>
          <w:rFonts w:hint="default" w:ascii="Times New Roman" w:hAnsi="Times New Roman" w:eastAsia="宋体" w:cs="Times New Roman"/>
          <w:color w:val="0000FF"/>
          <w:sz w:val="24"/>
          <w:szCs w:val="24"/>
          <w:highlight w:val="none"/>
          <w:lang w:val="en-US" w:eastAsia="zh-CN"/>
        </w:rPr>
        <w:t>）锅炉排污水</w:t>
      </w:r>
    </w:p>
    <w:p w14:paraId="6683338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FF"/>
          <w:sz w:val="24"/>
          <w:szCs w:val="24"/>
          <w:highlight w:val="none"/>
          <w:lang w:val="en-US" w:eastAsia="zh-CN"/>
        </w:rPr>
      </w:pPr>
      <w:r>
        <w:rPr>
          <w:rFonts w:hint="default" w:ascii="Times New Roman" w:hAnsi="Times New Roman" w:eastAsia="宋体" w:cs="Times New Roman"/>
          <w:color w:val="0000FF"/>
          <w:sz w:val="24"/>
          <w:szCs w:val="24"/>
          <w:highlight w:val="none"/>
          <w:lang w:val="en-US" w:eastAsia="zh-CN"/>
        </w:rPr>
        <w:t>项目</w:t>
      </w:r>
      <w:r>
        <w:rPr>
          <w:rFonts w:hint="default" w:ascii="Times New Roman" w:hAnsi="Times New Roman" w:eastAsia="宋体" w:cs="Times New Roman"/>
          <w:color w:val="0000FF"/>
          <w:sz w:val="24"/>
          <w:szCs w:val="24"/>
          <w:highlight w:val="none"/>
          <w:lang w:val="en-US" w:eastAsia="zh-CN"/>
        </w:rPr>
        <w:t>电</w:t>
      </w:r>
      <w:r>
        <w:rPr>
          <w:rFonts w:hint="default" w:ascii="Times New Roman" w:hAnsi="Times New Roman" w:eastAsia="宋体" w:cs="Times New Roman"/>
          <w:color w:val="0000FF"/>
          <w:sz w:val="24"/>
          <w:szCs w:val="24"/>
          <w:highlight w:val="none"/>
          <w:lang w:val="en-US" w:eastAsia="zh-CN"/>
        </w:rPr>
        <w:t>锅炉排污水</w:t>
      </w:r>
      <w:r>
        <w:rPr>
          <w:rFonts w:hint="default" w:ascii="Times New Roman" w:hAnsi="Times New Roman" w:eastAsia="宋体" w:cs="Times New Roman"/>
          <w:color w:val="0000FF"/>
          <w:sz w:val="24"/>
          <w:szCs w:val="24"/>
          <w:highlight w:val="none"/>
        </w:rPr>
        <w:t>排放量为</w:t>
      </w:r>
      <w:r>
        <w:rPr>
          <w:rFonts w:hint="default" w:ascii="Times New Roman" w:hAnsi="Times New Roman" w:eastAsia="宋体" w:cs="Times New Roman"/>
          <w:color w:val="0000FF"/>
          <w:sz w:val="24"/>
          <w:szCs w:val="24"/>
          <w:highlight w:val="none"/>
          <w:lang w:val="en-US" w:eastAsia="zh-CN"/>
        </w:rPr>
        <w:t>2.</w:t>
      </w:r>
      <w:r>
        <w:rPr>
          <w:rFonts w:hint="default" w:ascii="Times New Roman" w:hAnsi="Times New Roman" w:eastAsia="宋体" w:cs="Times New Roman"/>
          <w:color w:val="0000FF"/>
          <w:sz w:val="24"/>
          <w:szCs w:val="24"/>
          <w:highlight w:val="none"/>
          <w:lang w:val="en-US" w:eastAsia="zh-CN"/>
        </w:rPr>
        <w:t>4</w:t>
      </w:r>
      <w:r>
        <w:rPr>
          <w:rFonts w:hint="default" w:ascii="Times New Roman" w:hAnsi="Times New Roman" w:eastAsia="宋体" w:cs="Times New Roman"/>
          <w:color w:val="0000FF"/>
          <w:sz w:val="24"/>
          <w:szCs w:val="24"/>
          <w:highlight w:val="none"/>
        </w:rPr>
        <w:t>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rPr>
        <w:t>/d（</w:t>
      </w:r>
      <w:r>
        <w:rPr>
          <w:rFonts w:hint="default" w:ascii="Times New Roman" w:hAnsi="Times New Roman" w:eastAsia="宋体" w:cs="Times New Roman"/>
          <w:color w:val="0000FF"/>
          <w:sz w:val="24"/>
          <w:szCs w:val="24"/>
          <w:highlight w:val="none"/>
          <w:lang w:val="en-US" w:eastAsia="zh-CN"/>
        </w:rPr>
        <w:t>432</w:t>
      </w:r>
      <w:r>
        <w:rPr>
          <w:rFonts w:hint="default" w:ascii="Times New Roman" w:hAnsi="Times New Roman" w:eastAsia="宋体" w:cs="Times New Roman"/>
          <w:color w:val="0000FF"/>
          <w:sz w:val="24"/>
          <w:szCs w:val="24"/>
          <w:highlight w:val="none"/>
        </w:rPr>
        <w:t>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rPr>
        <w:t>/a）</w:t>
      </w:r>
      <w:r>
        <w:rPr>
          <w:rFonts w:hint="default" w:ascii="Times New Roman" w:hAnsi="Times New Roman" w:eastAsia="宋体" w:cs="Times New Roman"/>
          <w:color w:val="0000FF"/>
          <w:sz w:val="24"/>
          <w:szCs w:val="24"/>
          <w:highlight w:val="none"/>
          <w:lang w:val="en-US" w:eastAsia="zh-CN"/>
        </w:rPr>
        <w:t>，用于厂区空地洒水降尘。</w:t>
      </w:r>
    </w:p>
    <w:p w14:paraId="69C38B9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FF"/>
          <w:sz w:val="24"/>
          <w:szCs w:val="24"/>
          <w:highlight w:val="none"/>
          <w:lang w:val="en-US" w:eastAsia="zh-CN"/>
        </w:rPr>
      </w:pPr>
      <w:r>
        <w:rPr>
          <w:rFonts w:hint="default" w:ascii="Times New Roman" w:hAnsi="Times New Roman" w:eastAsia="宋体" w:cs="Times New Roman"/>
          <w:color w:val="0000FF"/>
          <w:sz w:val="24"/>
          <w:szCs w:val="24"/>
          <w:highlight w:val="none"/>
          <w:lang w:val="en-US" w:eastAsia="zh-CN"/>
        </w:rPr>
        <w:t>（</w:t>
      </w:r>
      <w:r>
        <w:rPr>
          <w:rFonts w:hint="default" w:ascii="Times New Roman" w:hAnsi="Times New Roman" w:eastAsia="宋体" w:cs="Times New Roman"/>
          <w:color w:val="0000FF"/>
          <w:sz w:val="24"/>
          <w:szCs w:val="24"/>
          <w:highlight w:val="none"/>
          <w:lang w:val="en-US" w:eastAsia="zh-CN"/>
        </w:rPr>
        <w:t>3</w:t>
      </w:r>
      <w:r>
        <w:rPr>
          <w:rFonts w:hint="default" w:ascii="Times New Roman" w:hAnsi="Times New Roman" w:eastAsia="宋体" w:cs="Times New Roman"/>
          <w:color w:val="0000FF"/>
          <w:sz w:val="24"/>
          <w:szCs w:val="24"/>
          <w:highlight w:val="none"/>
          <w:lang w:val="en-US" w:eastAsia="zh-CN"/>
        </w:rPr>
        <w:t>）软水制备废水</w:t>
      </w:r>
    </w:p>
    <w:p w14:paraId="20C8AE3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FF"/>
          <w:sz w:val="24"/>
          <w:szCs w:val="24"/>
          <w:highlight w:val="none"/>
          <w:lang w:val="en-US" w:eastAsia="zh-CN"/>
        </w:rPr>
      </w:pPr>
      <w:r>
        <w:rPr>
          <w:rFonts w:hint="default" w:ascii="Times New Roman" w:hAnsi="Times New Roman" w:eastAsia="宋体" w:cs="Times New Roman"/>
          <w:color w:val="0000FF"/>
          <w:sz w:val="24"/>
          <w:szCs w:val="24"/>
          <w:highlight w:val="none"/>
          <w:lang w:val="en-US" w:eastAsia="zh-CN"/>
        </w:rPr>
        <w:t>本项目采用软水制备装置制备软水，出软水效率约80%，则软水制备废水产生量为</w:t>
      </w:r>
      <w:r>
        <w:rPr>
          <w:rFonts w:hint="default" w:ascii="Times New Roman" w:hAnsi="Times New Roman" w:eastAsia="宋体" w:cs="Times New Roman"/>
          <w:color w:val="0000FF"/>
          <w:sz w:val="24"/>
          <w:szCs w:val="24"/>
          <w:highlight w:val="none"/>
          <w:lang w:val="en-US" w:eastAsia="zh-CN"/>
        </w:rPr>
        <w:t>1</w:t>
      </w:r>
      <w:r>
        <w:rPr>
          <w:rFonts w:hint="default" w:ascii="Times New Roman" w:hAnsi="Times New Roman" w:eastAsia="宋体" w:cs="Times New Roman"/>
          <w:color w:val="0000FF"/>
          <w:sz w:val="24"/>
          <w:szCs w:val="24"/>
          <w:highlight w:val="none"/>
          <w:lang w:val="en-US" w:eastAsia="zh-CN"/>
        </w:rPr>
        <w:t>.5</w:t>
      </w:r>
      <w:r>
        <w:rPr>
          <w:rFonts w:hint="default" w:ascii="Times New Roman" w:hAnsi="Times New Roman" w:eastAsia="宋体" w:cs="Times New Roman"/>
          <w:color w:val="0000FF"/>
          <w:sz w:val="24"/>
          <w:szCs w:val="24"/>
          <w:highlight w:val="none"/>
        </w:rPr>
        <w:t>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rPr>
        <w:t>/d（</w:t>
      </w:r>
      <w:r>
        <w:rPr>
          <w:rFonts w:hint="default" w:ascii="Times New Roman" w:hAnsi="Times New Roman" w:eastAsia="宋体" w:cs="Times New Roman"/>
          <w:color w:val="0000FF"/>
          <w:sz w:val="24"/>
          <w:szCs w:val="24"/>
          <w:highlight w:val="none"/>
          <w:lang w:val="en-US" w:eastAsia="zh-CN"/>
        </w:rPr>
        <w:t>270</w:t>
      </w:r>
      <w:r>
        <w:rPr>
          <w:rFonts w:hint="default" w:ascii="Times New Roman" w:hAnsi="Times New Roman" w:eastAsia="宋体" w:cs="Times New Roman"/>
          <w:color w:val="0000FF"/>
          <w:sz w:val="24"/>
          <w:szCs w:val="24"/>
          <w:highlight w:val="none"/>
          <w:lang w:eastAsia="zh-CN"/>
        </w:rPr>
        <w:t>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rPr>
        <w:t>/a）</w:t>
      </w:r>
      <w:r>
        <w:rPr>
          <w:rFonts w:hint="default" w:ascii="Times New Roman" w:hAnsi="Times New Roman" w:eastAsia="宋体" w:cs="Times New Roman"/>
          <w:color w:val="0000FF"/>
          <w:sz w:val="24"/>
          <w:szCs w:val="24"/>
          <w:highlight w:val="none"/>
          <w:lang w:val="en-US" w:eastAsia="zh-CN"/>
        </w:rPr>
        <w:t>，用于厂区空地洒水降尘。</w:t>
      </w:r>
    </w:p>
    <w:p w14:paraId="6DF888D5">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eastAsia="zh-CN"/>
        </w:rPr>
        <w:t>）生活污水</w:t>
      </w:r>
    </w:p>
    <w:p w14:paraId="1C81D5D4">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本项目产生的废水主要是员工生活污水，职工生活污水排放按用水量的80%计，排水量</w:t>
      </w:r>
      <w:r>
        <w:rPr>
          <w:rFonts w:hint="default" w:ascii="Times New Roman" w:hAnsi="Times New Roman" w:eastAsia="宋体" w:cs="Times New Roman"/>
          <w:color w:val="auto"/>
          <w:highlight w:val="none"/>
          <w:lang w:val="en-US" w:eastAsia="zh-CN"/>
        </w:rPr>
        <w:t>2.4</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876</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/a</w:t>
      </w:r>
      <w:r>
        <w:rPr>
          <w:rFonts w:hint="default" w:ascii="Times New Roman" w:hAnsi="Times New Roman" w:eastAsia="宋体" w:cs="Times New Roman"/>
          <w:color w:val="auto"/>
          <w:highlight w:val="none"/>
          <w:lang w:eastAsia="zh-CN"/>
        </w:rPr>
        <w:t>），生活污水经化粪池处理后，定期由当地环卫部门清运处置</w:t>
      </w:r>
      <w:r>
        <w:rPr>
          <w:rFonts w:hint="default" w:ascii="Times New Roman" w:hAnsi="Times New Roman" w:eastAsia="宋体" w:cs="Times New Roman"/>
          <w:color w:val="auto"/>
          <w:highlight w:val="none"/>
        </w:rPr>
        <w:t>。</w:t>
      </w:r>
    </w:p>
    <w:p w14:paraId="12C0E436">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本</w:t>
      </w:r>
      <w:r>
        <w:rPr>
          <w:rFonts w:hint="default" w:ascii="Times New Roman" w:hAnsi="Times New Roman" w:eastAsia="宋体" w:cs="Times New Roman"/>
          <w:color w:val="auto"/>
          <w:highlight w:val="none"/>
        </w:rPr>
        <w:t>项目水平衡如图3.1-</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、3.1-4所示</w:t>
      </w:r>
      <w:r>
        <w:rPr>
          <w:rFonts w:hint="default" w:ascii="Times New Roman" w:hAnsi="Times New Roman" w:eastAsia="宋体" w:cs="Times New Roman"/>
          <w:color w:val="auto"/>
          <w:highlight w:val="none"/>
          <w:lang w:eastAsia="zh-CN"/>
        </w:rPr>
        <w:t>。</w:t>
      </w:r>
    </w:p>
    <w:p w14:paraId="713A3AC1">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p>
    <w:p w14:paraId="0E1F0CFB">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p>
    <w:p w14:paraId="66F5235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sectPr>
          <w:pgSz w:w="11906" w:h="16838"/>
          <w:pgMar w:top="1440" w:right="1800" w:bottom="1440" w:left="1800" w:header="851" w:footer="1134" w:gutter="0"/>
          <w:pgBorders>
            <w:top w:val="none" w:sz="0" w:space="0"/>
            <w:left w:val="none" w:sz="0" w:space="0"/>
            <w:bottom w:val="none" w:sz="0" w:space="0"/>
            <w:right w:val="none" w:sz="0" w:space="0"/>
          </w:pgBorders>
          <w:pgNumType w:fmt="decimal"/>
          <w:cols w:space="425" w:num="1"/>
          <w:docGrid w:linePitch="326" w:charSpace="0"/>
        </w:sectPr>
      </w:pPr>
    </w:p>
    <w:p w14:paraId="2213225E">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表3.1-</w:t>
      </w:r>
      <w:r>
        <w:rPr>
          <w:rFonts w:hint="default" w:ascii="Times New Roman" w:hAnsi="Times New Roman" w:eastAsia="宋体" w:cs="Times New Roman"/>
          <w:color w:val="auto"/>
          <w:highlight w:val="none"/>
          <w:lang w:val="en-US" w:eastAsia="zh-CN"/>
        </w:rPr>
        <w:t>10</w:t>
      </w: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eastAsia="zh-CN"/>
        </w:rPr>
        <w:t>供排水</w:t>
      </w:r>
      <w:r>
        <w:rPr>
          <w:rFonts w:hint="default" w:ascii="Times New Roman" w:hAnsi="Times New Roman" w:eastAsia="宋体" w:cs="Times New Roman"/>
          <w:color w:val="auto"/>
          <w:highlight w:val="none"/>
        </w:rPr>
        <w:t>情况统计表</w:t>
      </w:r>
    </w:p>
    <w:tbl>
      <w:tblPr>
        <w:tblStyle w:val="40"/>
        <w:tblW w:w="1360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65"/>
        <w:gridCol w:w="1067"/>
        <w:gridCol w:w="1067"/>
        <w:gridCol w:w="1067"/>
        <w:gridCol w:w="1067"/>
        <w:gridCol w:w="1067"/>
        <w:gridCol w:w="1067"/>
        <w:gridCol w:w="1067"/>
        <w:gridCol w:w="1067"/>
        <w:gridCol w:w="4005"/>
      </w:tblGrid>
      <w:tr w14:paraId="21E1E6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065" w:type="dxa"/>
            <w:tcBorders>
              <w:top w:val="single" w:color="auto" w:sz="4" w:space="0"/>
              <w:left w:val="single" w:color="auto" w:sz="4" w:space="0"/>
              <w:bottom w:val="single" w:color="auto" w:sz="4" w:space="0"/>
              <w:right w:val="single" w:color="auto" w:sz="4" w:space="0"/>
            </w:tcBorders>
            <w:vAlign w:val="center"/>
          </w:tcPr>
          <w:p w14:paraId="6660060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067" w:type="dxa"/>
            <w:tcBorders>
              <w:top w:val="single" w:color="auto" w:sz="4" w:space="0"/>
              <w:left w:val="single" w:color="auto" w:sz="4" w:space="0"/>
              <w:bottom w:val="single" w:color="auto" w:sz="4" w:space="0"/>
              <w:right w:val="single" w:color="auto" w:sz="4" w:space="0"/>
            </w:tcBorders>
            <w:vAlign w:val="center"/>
          </w:tcPr>
          <w:p w14:paraId="14D8BAE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用水项目</w:t>
            </w:r>
          </w:p>
        </w:tc>
        <w:tc>
          <w:tcPr>
            <w:tcW w:w="1067" w:type="dxa"/>
            <w:tcBorders>
              <w:top w:val="single" w:color="auto" w:sz="4" w:space="0"/>
              <w:left w:val="single" w:color="auto" w:sz="4" w:space="0"/>
              <w:bottom w:val="single" w:color="auto" w:sz="4" w:space="0"/>
              <w:right w:val="single" w:color="auto" w:sz="4" w:space="0"/>
            </w:tcBorders>
            <w:vAlign w:val="center"/>
          </w:tcPr>
          <w:p w14:paraId="7EE2F57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规模</w:t>
            </w:r>
          </w:p>
        </w:tc>
        <w:tc>
          <w:tcPr>
            <w:tcW w:w="1067" w:type="dxa"/>
            <w:tcBorders>
              <w:top w:val="single" w:color="auto" w:sz="4" w:space="0"/>
              <w:left w:val="single" w:color="auto" w:sz="4" w:space="0"/>
              <w:bottom w:val="single" w:color="auto" w:sz="4" w:space="0"/>
              <w:right w:val="single" w:color="auto" w:sz="4" w:space="0"/>
            </w:tcBorders>
            <w:vAlign w:val="center"/>
          </w:tcPr>
          <w:p w14:paraId="58E1AD5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用水量</w:t>
            </w:r>
          </w:p>
          <w:p w14:paraId="1339D08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w:t>
            </w:r>
          </w:p>
        </w:tc>
        <w:tc>
          <w:tcPr>
            <w:tcW w:w="1067" w:type="dxa"/>
            <w:tcBorders>
              <w:top w:val="single" w:color="auto" w:sz="4" w:space="0"/>
              <w:left w:val="single" w:color="auto" w:sz="4" w:space="0"/>
              <w:bottom w:val="single" w:color="auto" w:sz="4" w:space="0"/>
              <w:right w:val="single" w:color="auto" w:sz="4" w:space="0"/>
            </w:tcBorders>
            <w:vAlign w:val="center"/>
          </w:tcPr>
          <w:p w14:paraId="0FB5293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日用水量</w:t>
            </w:r>
          </w:p>
          <w:p w14:paraId="0EF64B8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/d）</w:t>
            </w:r>
          </w:p>
        </w:tc>
        <w:tc>
          <w:tcPr>
            <w:tcW w:w="1067" w:type="dxa"/>
            <w:tcBorders>
              <w:top w:val="single" w:color="auto" w:sz="4" w:space="0"/>
              <w:left w:val="single" w:color="auto" w:sz="4" w:space="0"/>
              <w:bottom w:val="single" w:color="auto" w:sz="4" w:space="0"/>
              <w:right w:val="single" w:color="auto" w:sz="4" w:space="0"/>
            </w:tcBorders>
            <w:vAlign w:val="center"/>
          </w:tcPr>
          <w:p w14:paraId="0313097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年用水量</w:t>
            </w:r>
          </w:p>
          <w:p w14:paraId="669B0E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/a）</w:t>
            </w:r>
          </w:p>
        </w:tc>
        <w:tc>
          <w:tcPr>
            <w:tcW w:w="1067" w:type="dxa"/>
            <w:tcBorders>
              <w:top w:val="single" w:color="auto" w:sz="4" w:space="0"/>
              <w:left w:val="single" w:color="auto" w:sz="4" w:space="0"/>
              <w:bottom w:val="single" w:color="auto" w:sz="4" w:space="0"/>
              <w:right w:val="single" w:color="auto" w:sz="4" w:space="0"/>
            </w:tcBorders>
            <w:vAlign w:val="center"/>
          </w:tcPr>
          <w:p w14:paraId="390D8FA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折减</w:t>
            </w:r>
          </w:p>
          <w:p w14:paraId="402CD04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系数</w:t>
            </w:r>
          </w:p>
        </w:tc>
        <w:tc>
          <w:tcPr>
            <w:tcW w:w="1067" w:type="dxa"/>
            <w:tcBorders>
              <w:top w:val="single" w:color="auto" w:sz="4" w:space="0"/>
              <w:left w:val="single" w:color="auto" w:sz="4" w:space="0"/>
              <w:bottom w:val="single" w:color="auto" w:sz="4" w:space="0"/>
              <w:right w:val="single" w:color="auto" w:sz="4" w:space="0"/>
            </w:tcBorders>
            <w:vAlign w:val="center"/>
          </w:tcPr>
          <w:p w14:paraId="559FAEF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日排水量</w:t>
            </w:r>
          </w:p>
          <w:p w14:paraId="7099EB0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/d）</w:t>
            </w:r>
          </w:p>
        </w:tc>
        <w:tc>
          <w:tcPr>
            <w:tcW w:w="1067" w:type="dxa"/>
            <w:tcBorders>
              <w:top w:val="single" w:color="auto" w:sz="4" w:space="0"/>
              <w:left w:val="single" w:color="auto" w:sz="4" w:space="0"/>
              <w:bottom w:val="single" w:color="auto" w:sz="4" w:space="0"/>
              <w:right w:val="single" w:color="auto" w:sz="4" w:space="0"/>
            </w:tcBorders>
            <w:vAlign w:val="center"/>
          </w:tcPr>
          <w:p w14:paraId="795ACBB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年排水量</w:t>
            </w:r>
          </w:p>
          <w:p w14:paraId="1DF7103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/a）</w:t>
            </w:r>
          </w:p>
        </w:tc>
        <w:tc>
          <w:tcPr>
            <w:tcW w:w="4005" w:type="dxa"/>
            <w:tcBorders>
              <w:top w:val="single" w:color="auto" w:sz="4" w:space="0"/>
              <w:left w:val="single" w:color="auto" w:sz="4" w:space="0"/>
              <w:bottom w:val="single" w:color="auto" w:sz="4" w:space="0"/>
              <w:right w:val="single" w:color="auto" w:sz="4" w:space="0"/>
            </w:tcBorders>
            <w:vAlign w:val="center"/>
          </w:tcPr>
          <w:p w14:paraId="0817AF6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备注</w:t>
            </w:r>
          </w:p>
        </w:tc>
      </w:tr>
      <w:tr w14:paraId="464AB4B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065" w:type="dxa"/>
            <w:tcBorders>
              <w:top w:val="single" w:color="auto" w:sz="4" w:space="0"/>
              <w:left w:val="single" w:color="auto" w:sz="4" w:space="0"/>
              <w:bottom w:val="single" w:color="auto" w:sz="4" w:space="0"/>
              <w:right w:val="single" w:color="auto" w:sz="4" w:space="0"/>
            </w:tcBorders>
            <w:vAlign w:val="center"/>
          </w:tcPr>
          <w:p w14:paraId="3759E7E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w:t>
            </w:r>
          </w:p>
        </w:tc>
        <w:tc>
          <w:tcPr>
            <w:tcW w:w="12541" w:type="dxa"/>
            <w:gridSpan w:val="9"/>
            <w:tcBorders>
              <w:top w:val="single" w:color="auto" w:sz="4" w:space="0"/>
              <w:left w:val="single" w:color="auto" w:sz="4" w:space="0"/>
              <w:bottom w:val="single" w:color="auto" w:sz="4" w:space="0"/>
              <w:right w:val="single" w:color="auto" w:sz="4" w:space="0"/>
            </w:tcBorders>
            <w:vAlign w:val="center"/>
          </w:tcPr>
          <w:p w14:paraId="223DF5C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生活用水</w:t>
            </w:r>
          </w:p>
        </w:tc>
      </w:tr>
      <w:tr w14:paraId="271E66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065" w:type="dxa"/>
            <w:tcBorders>
              <w:top w:val="single" w:color="auto" w:sz="4" w:space="0"/>
              <w:left w:val="single" w:color="auto" w:sz="4" w:space="0"/>
              <w:bottom w:val="single" w:color="auto" w:sz="4" w:space="0"/>
              <w:right w:val="single" w:color="auto" w:sz="4" w:space="0"/>
            </w:tcBorders>
            <w:vAlign w:val="center"/>
          </w:tcPr>
          <w:p w14:paraId="1152803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067" w:type="dxa"/>
            <w:tcBorders>
              <w:top w:val="single" w:color="auto" w:sz="4" w:space="0"/>
              <w:left w:val="single" w:color="auto" w:sz="4" w:space="0"/>
              <w:bottom w:val="single" w:color="auto" w:sz="4" w:space="0"/>
              <w:right w:val="single" w:color="auto" w:sz="4" w:space="0"/>
            </w:tcBorders>
            <w:vAlign w:val="center"/>
          </w:tcPr>
          <w:p w14:paraId="1AF250A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生活用水</w:t>
            </w:r>
          </w:p>
        </w:tc>
        <w:tc>
          <w:tcPr>
            <w:tcW w:w="1067" w:type="dxa"/>
            <w:tcBorders>
              <w:top w:val="single" w:color="auto" w:sz="4" w:space="0"/>
              <w:left w:val="single" w:color="auto" w:sz="4" w:space="0"/>
              <w:bottom w:val="single" w:color="auto" w:sz="4" w:space="0"/>
              <w:right w:val="single" w:color="auto" w:sz="4" w:space="0"/>
            </w:tcBorders>
            <w:vAlign w:val="center"/>
          </w:tcPr>
          <w:p w14:paraId="0435D55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0人</w:t>
            </w:r>
          </w:p>
        </w:tc>
        <w:tc>
          <w:tcPr>
            <w:tcW w:w="1067" w:type="dxa"/>
            <w:tcBorders>
              <w:top w:val="single" w:color="auto" w:sz="4" w:space="0"/>
              <w:left w:val="single" w:color="auto" w:sz="4" w:space="0"/>
              <w:bottom w:val="single" w:color="auto" w:sz="4" w:space="0"/>
              <w:right w:val="single" w:color="auto" w:sz="4" w:space="0"/>
            </w:tcBorders>
            <w:vAlign w:val="center"/>
          </w:tcPr>
          <w:p w14:paraId="288A390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0L/人·d</w:t>
            </w:r>
          </w:p>
        </w:tc>
        <w:tc>
          <w:tcPr>
            <w:tcW w:w="1067" w:type="dxa"/>
            <w:tcBorders>
              <w:top w:val="single" w:color="auto" w:sz="4" w:space="0"/>
              <w:left w:val="single" w:color="auto" w:sz="4" w:space="0"/>
              <w:bottom w:val="single" w:color="auto" w:sz="4" w:space="0"/>
              <w:right w:val="single" w:color="auto" w:sz="4" w:space="0"/>
            </w:tcBorders>
            <w:vAlign w:val="center"/>
          </w:tcPr>
          <w:p w14:paraId="683DF65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3.0</w:t>
            </w:r>
          </w:p>
        </w:tc>
        <w:tc>
          <w:tcPr>
            <w:tcW w:w="1067" w:type="dxa"/>
            <w:tcBorders>
              <w:top w:val="single" w:color="auto" w:sz="4" w:space="0"/>
              <w:left w:val="single" w:color="auto" w:sz="4" w:space="0"/>
              <w:bottom w:val="single" w:color="auto" w:sz="4" w:space="0"/>
              <w:right w:val="single" w:color="auto" w:sz="4" w:space="0"/>
            </w:tcBorders>
            <w:vAlign w:val="center"/>
          </w:tcPr>
          <w:p w14:paraId="633D49B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1095</w:t>
            </w:r>
          </w:p>
        </w:tc>
        <w:tc>
          <w:tcPr>
            <w:tcW w:w="1067" w:type="dxa"/>
            <w:tcBorders>
              <w:top w:val="single" w:color="auto" w:sz="4" w:space="0"/>
              <w:left w:val="single" w:color="auto" w:sz="4" w:space="0"/>
              <w:bottom w:val="single" w:color="auto" w:sz="4" w:space="0"/>
              <w:right w:val="single" w:color="auto" w:sz="4" w:space="0"/>
            </w:tcBorders>
            <w:vAlign w:val="center"/>
          </w:tcPr>
          <w:p w14:paraId="27B4DA3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0.80</w:t>
            </w:r>
          </w:p>
        </w:tc>
        <w:tc>
          <w:tcPr>
            <w:tcW w:w="1067" w:type="dxa"/>
            <w:tcBorders>
              <w:top w:val="single" w:color="auto" w:sz="4" w:space="0"/>
              <w:left w:val="single" w:color="auto" w:sz="4" w:space="0"/>
              <w:bottom w:val="single" w:color="auto" w:sz="4" w:space="0"/>
              <w:right w:val="single" w:color="auto" w:sz="4" w:space="0"/>
            </w:tcBorders>
            <w:vAlign w:val="center"/>
          </w:tcPr>
          <w:p w14:paraId="2201238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w:t>
            </w:r>
          </w:p>
        </w:tc>
        <w:tc>
          <w:tcPr>
            <w:tcW w:w="1067" w:type="dxa"/>
            <w:tcBorders>
              <w:top w:val="single" w:color="auto" w:sz="4" w:space="0"/>
              <w:left w:val="single" w:color="auto" w:sz="4" w:space="0"/>
              <w:bottom w:val="single" w:color="auto" w:sz="4" w:space="0"/>
              <w:right w:val="single" w:color="auto" w:sz="4" w:space="0"/>
            </w:tcBorders>
            <w:vAlign w:val="center"/>
          </w:tcPr>
          <w:p w14:paraId="69FFFDA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876</w:t>
            </w:r>
          </w:p>
        </w:tc>
        <w:tc>
          <w:tcPr>
            <w:tcW w:w="4005" w:type="dxa"/>
            <w:tcBorders>
              <w:top w:val="single" w:color="auto" w:sz="4" w:space="0"/>
              <w:left w:val="single" w:color="auto" w:sz="4" w:space="0"/>
              <w:bottom w:val="single" w:color="auto" w:sz="4" w:space="0"/>
              <w:right w:val="single" w:color="auto" w:sz="4" w:space="0"/>
            </w:tcBorders>
            <w:vAlign w:val="center"/>
          </w:tcPr>
          <w:p w14:paraId="50BA20F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使用新鲜水</w:t>
            </w:r>
          </w:p>
        </w:tc>
      </w:tr>
      <w:tr w14:paraId="122BC51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065" w:type="dxa"/>
            <w:tcBorders>
              <w:top w:val="single" w:color="auto" w:sz="4" w:space="0"/>
              <w:left w:val="single" w:color="auto" w:sz="4" w:space="0"/>
              <w:bottom w:val="single" w:color="auto" w:sz="4" w:space="0"/>
              <w:right w:val="single" w:color="auto" w:sz="4" w:space="0"/>
            </w:tcBorders>
            <w:vAlign w:val="center"/>
          </w:tcPr>
          <w:p w14:paraId="16A2868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w:t>
            </w:r>
          </w:p>
        </w:tc>
        <w:tc>
          <w:tcPr>
            <w:tcW w:w="12541" w:type="dxa"/>
            <w:gridSpan w:val="9"/>
            <w:tcBorders>
              <w:top w:val="single" w:color="auto" w:sz="4" w:space="0"/>
              <w:left w:val="single" w:color="auto" w:sz="4" w:space="0"/>
              <w:bottom w:val="single" w:color="auto" w:sz="4" w:space="0"/>
              <w:right w:val="single" w:color="auto" w:sz="4" w:space="0"/>
            </w:tcBorders>
            <w:vAlign w:val="center"/>
          </w:tcPr>
          <w:p w14:paraId="7FA30D8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养殖</w:t>
            </w:r>
            <w:r>
              <w:rPr>
                <w:rFonts w:hint="default" w:ascii="Times New Roman" w:hAnsi="Times New Roman" w:eastAsia="宋体" w:cs="Times New Roman"/>
                <w:color w:val="auto"/>
                <w:sz w:val="21"/>
                <w:szCs w:val="21"/>
                <w:highlight w:val="none"/>
              </w:rPr>
              <w:t>用水</w:t>
            </w:r>
          </w:p>
        </w:tc>
      </w:tr>
      <w:tr w14:paraId="3BCB7C5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065" w:type="dxa"/>
            <w:tcBorders>
              <w:top w:val="single" w:color="auto" w:sz="4" w:space="0"/>
              <w:left w:val="single" w:color="auto" w:sz="4" w:space="0"/>
              <w:bottom w:val="single" w:color="auto" w:sz="4" w:space="0"/>
              <w:right w:val="single" w:color="auto" w:sz="4" w:space="0"/>
            </w:tcBorders>
            <w:vAlign w:val="center"/>
          </w:tcPr>
          <w:p w14:paraId="3EB726F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w:t>
            </w:r>
          </w:p>
        </w:tc>
        <w:tc>
          <w:tcPr>
            <w:tcW w:w="1067" w:type="dxa"/>
            <w:tcBorders>
              <w:top w:val="single" w:color="auto" w:sz="4" w:space="0"/>
              <w:left w:val="single" w:color="auto" w:sz="4" w:space="0"/>
              <w:bottom w:val="single" w:color="auto" w:sz="4" w:space="0"/>
              <w:right w:val="single" w:color="auto" w:sz="4" w:space="0"/>
            </w:tcBorders>
            <w:vAlign w:val="center"/>
          </w:tcPr>
          <w:p w14:paraId="59AD738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牛群饮水</w:t>
            </w:r>
          </w:p>
        </w:tc>
        <w:tc>
          <w:tcPr>
            <w:tcW w:w="1067" w:type="dxa"/>
            <w:tcBorders>
              <w:top w:val="single" w:color="auto" w:sz="4" w:space="0"/>
              <w:left w:val="single" w:color="auto" w:sz="4" w:space="0"/>
              <w:bottom w:val="single" w:color="auto" w:sz="4" w:space="0"/>
              <w:right w:val="single" w:color="auto" w:sz="4" w:space="0"/>
            </w:tcBorders>
            <w:vAlign w:val="center"/>
          </w:tcPr>
          <w:p w14:paraId="0E206E8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2500头</w:t>
            </w:r>
          </w:p>
        </w:tc>
        <w:tc>
          <w:tcPr>
            <w:tcW w:w="1067" w:type="dxa"/>
            <w:tcBorders>
              <w:top w:val="single" w:color="auto" w:sz="4" w:space="0"/>
              <w:left w:val="single" w:color="auto" w:sz="4" w:space="0"/>
              <w:bottom w:val="single" w:color="auto" w:sz="4" w:space="0"/>
              <w:right w:val="single" w:color="auto" w:sz="4" w:space="0"/>
            </w:tcBorders>
            <w:vAlign w:val="center"/>
          </w:tcPr>
          <w:p w14:paraId="052467D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夏</w:t>
            </w:r>
            <w:r>
              <w:rPr>
                <w:rFonts w:hint="default" w:ascii="Times New Roman" w:hAnsi="Times New Roman" w:eastAsia="宋体" w:cs="Times New Roman"/>
                <w:bCs/>
                <w:color w:val="auto"/>
                <w:sz w:val="21"/>
                <w:szCs w:val="21"/>
                <w:highlight w:val="none"/>
                <w:lang w:val="en-US" w:eastAsia="zh-CN"/>
              </w:rPr>
              <w:t>6</w:t>
            </w:r>
            <w:r>
              <w:rPr>
                <w:rFonts w:hint="default" w:ascii="Times New Roman" w:hAnsi="Times New Roman" w:eastAsia="宋体" w:cs="Times New Roman"/>
                <w:bCs/>
                <w:color w:val="auto"/>
                <w:sz w:val="21"/>
                <w:szCs w:val="21"/>
                <w:highlight w:val="none"/>
              </w:rPr>
              <w:t>0L/头·d</w:t>
            </w:r>
          </w:p>
          <w:p w14:paraId="1B78685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冬</w:t>
            </w:r>
            <w:r>
              <w:rPr>
                <w:rFonts w:hint="default" w:ascii="Times New Roman" w:hAnsi="Times New Roman" w:eastAsia="宋体" w:cs="Times New Roman"/>
                <w:bCs/>
                <w:color w:val="auto"/>
                <w:sz w:val="21"/>
                <w:szCs w:val="21"/>
                <w:highlight w:val="none"/>
                <w:lang w:val="en-US" w:eastAsia="zh-CN"/>
              </w:rPr>
              <w:t>5</w:t>
            </w:r>
            <w:r>
              <w:rPr>
                <w:rFonts w:hint="default" w:ascii="Times New Roman" w:hAnsi="Times New Roman" w:eastAsia="宋体" w:cs="Times New Roman"/>
                <w:bCs/>
                <w:color w:val="auto"/>
                <w:sz w:val="21"/>
                <w:szCs w:val="21"/>
                <w:highlight w:val="none"/>
              </w:rPr>
              <w:t>0L/头·d</w:t>
            </w:r>
          </w:p>
        </w:tc>
        <w:tc>
          <w:tcPr>
            <w:tcW w:w="1067" w:type="dxa"/>
            <w:tcBorders>
              <w:top w:val="single" w:color="auto" w:sz="4" w:space="0"/>
              <w:left w:val="single" w:color="auto" w:sz="4" w:space="0"/>
              <w:bottom w:val="single" w:color="auto" w:sz="4" w:space="0"/>
              <w:right w:val="single" w:color="auto" w:sz="4" w:space="0"/>
            </w:tcBorders>
            <w:vAlign w:val="center"/>
          </w:tcPr>
          <w:p w14:paraId="4F2EDA0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夏</w:t>
            </w:r>
            <w:r>
              <w:rPr>
                <w:rFonts w:hint="default" w:ascii="Times New Roman" w:hAnsi="Times New Roman" w:eastAsia="宋体" w:cs="Times New Roman"/>
                <w:color w:val="auto"/>
                <w:sz w:val="21"/>
                <w:szCs w:val="21"/>
                <w:highlight w:val="none"/>
                <w:lang w:val="en-US" w:eastAsia="zh-CN"/>
              </w:rPr>
              <w:t>150</w:t>
            </w:r>
          </w:p>
          <w:p w14:paraId="371BA2D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冬</w:t>
            </w:r>
            <w:r>
              <w:rPr>
                <w:rFonts w:hint="default" w:ascii="Times New Roman" w:hAnsi="Times New Roman" w:eastAsia="宋体" w:cs="Times New Roman"/>
                <w:color w:val="auto"/>
                <w:sz w:val="21"/>
                <w:szCs w:val="21"/>
                <w:highlight w:val="none"/>
                <w:lang w:val="en-US" w:eastAsia="zh-CN"/>
              </w:rPr>
              <w:t>125</w:t>
            </w:r>
          </w:p>
        </w:tc>
        <w:tc>
          <w:tcPr>
            <w:tcW w:w="1067" w:type="dxa"/>
            <w:tcBorders>
              <w:top w:val="single" w:color="auto" w:sz="4" w:space="0"/>
              <w:left w:val="single" w:color="auto" w:sz="4" w:space="0"/>
              <w:bottom w:val="single" w:color="auto" w:sz="4" w:space="0"/>
              <w:right w:val="single" w:color="auto" w:sz="4" w:space="0"/>
            </w:tcBorders>
            <w:vAlign w:val="center"/>
          </w:tcPr>
          <w:p w14:paraId="7AD2FB2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50125</w:t>
            </w:r>
          </w:p>
        </w:tc>
        <w:tc>
          <w:tcPr>
            <w:tcW w:w="1067" w:type="dxa"/>
            <w:tcBorders>
              <w:top w:val="single" w:color="auto" w:sz="4" w:space="0"/>
              <w:left w:val="single" w:color="auto" w:sz="4" w:space="0"/>
              <w:bottom w:val="single" w:color="auto" w:sz="4" w:space="0"/>
              <w:right w:val="single" w:color="auto" w:sz="4" w:space="0"/>
            </w:tcBorders>
            <w:vAlign w:val="center"/>
          </w:tcPr>
          <w:p w14:paraId="1C544BD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1067" w:type="dxa"/>
            <w:tcBorders>
              <w:top w:val="single" w:color="auto" w:sz="4" w:space="0"/>
              <w:left w:val="single" w:color="auto" w:sz="4" w:space="0"/>
              <w:bottom w:val="single" w:color="auto" w:sz="4" w:space="0"/>
              <w:right w:val="single" w:color="auto" w:sz="4" w:space="0"/>
            </w:tcBorders>
            <w:vAlign w:val="center"/>
          </w:tcPr>
          <w:p w14:paraId="442A77F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1067" w:type="dxa"/>
            <w:tcBorders>
              <w:top w:val="single" w:color="auto" w:sz="4" w:space="0"/>
              <w:left w:val="single" w:color="auto" w:sz="4" w:space="0"/>
              <w:bottom w:val="single" w:color="auto" w:sz="4" w:space="0"/>
              <w:right w:val="single" w:color="auto" w:sz="4" w:space="0"/>
            </w:tcBorders>
            <w:vAlign w:val="center"/>
          </w:tcPr>
          <w:p w14:paraId="0D137BD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4005" w:type="dxa"/>
            <w:tcBorders>
              <w:top w:val="single" w:color="auto" w:sz="4" w:space="0"/>
              <w:left w:val="single" w:color="auto" w:sz="4" w:space="0"/>
              <w:bottom w:val="single" w:color="auto" w:sz="4" w:space="0"/>
              <w:right w:val="single" w:color="auto" w:sz="4" w:space="0"/>
            </w:tcBorders>
            <w:vAlign w:val="center"/>
          </w:tcPr>
          <w:p w14:paraId="429710A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肉牛饲养过程中饮用水量较少，排放的尿液较少，并且牛粪较为干燥，在养殖区（牛舍、运动场）排放的尿液大部分由于当地气候</w:t>
            </w:r>
            <w:r>
              <w:rPr>
                <w:rFonts w:hint="default" w:ascii="Times New Roman" w:hAnsi="Times New Roman" w:eastAsia="宋体" w:cs="Times New Roman"/>
                <w:color w:val="auto"/>
                <w:sz w:val="21"/>
                <w:szCs w:val="21"/>
                <w:highlight w:val="none"/>
                <w:lang w:eastAsia="zh-CN"/>
              </w:rPr>
              <w:t>干燥蒸发</w:t>
            </w:r>
            <w:r>
              <w:rPr>
                <w:rFonts w:hint="default" w:ascii="Times New Roman" w:hAnsi="Times New Roman" w:eastAsia="宋体" w:cs="Times New Roman"/>
                <w:color w:val="auto"/>
                <w:sz w:val="21"/>
                <w:szCs w:val="21"/>
                <w:highlight w:val="none"/>
              </w:rPr>
              <w:t>，剩余尿液与粪便完全</w:t>
            </w:r>
            <w:r>
              <w:rPr>
                <w:rFonts w:hint="default" w:ascii="Times New Roman" w:hAnsi="Times New Roman" w:eastAsia="宋体" w:cs="Times New Roman"/>
                <w:color w:val="auto"/>
                <w:sz w:val="21"/>
                <w:szCs w:val="21"/>
                <w:highlight w:val="none"/>
                <w:lang w:eastAsia="zh-CN"/>
              </w:rPr>
              <w:t>黏结</w:t>
            </w:r>
            <w:r>
              <w:rPr>
                <w:rFonts w:hint="default" w:ascii="Times New Roman" w:hAnsi="Times New Roman" w:eastAsia="宋体" w:cs="Times New Roman"/>
                <w:color w:val="auto"/>
                <w:sz w:val="21"/>
                <w:szCs w:val="21"/>
                <w:highlight w:val="none"/>
              </w:rPr>
              <w:t>混合在一起，一起运往</w:t>
            </w:r>
            <w:r>
              <w:rPr>
                <w:rFonts w:hint="default" w:ascii="Times New Roman" w:hAnsi="Times New Roman" w:eastAsia="宋体" w:cs="Times New Roman"/>
                <w:color w:val="auto"/>
                <w:sz w:val="21"/>
                <w:szCs w:val="21"/>
                <w:highlight w:val="none"/>
                <w:lang w:eastAsia="zh-CN"/>
              </w:rPr>
              <w:t>粪污处理池</w:t>
            </w:r>
            <w:r>
              <w:rPr>
                <w:rFonts w:hint="default" w:ascii="Times New Roman" w:hAnsi="Times New Roman" w:eastAsia="宋体" w:cs="Times New Roman"/>
                <w:color w:val="auto"/>
                <w:sz w:val="21"/>
                <w:szCs w:val="21"/>
                <w:highlight w:val="none"/>
              </w:rPr>
              <w:t>储存并堆肥，因此，没有尿液排放</w:t>
            </w:r>
          </w:p>
        </w:tc>
      </w:tr>
      <w:tr w14:paraId="54487AC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065" w:type="dxa"/>
            <w:tcBorders>
              <w:top w:val="single" w:color="auto" w:sz="4" w:space="0"/>
              <w:left w:val="single" w:color="auto" w:sz="4" w:space="0"/>
              <w:bottom w:val="single" w:color="auto" w:sz="4" w:space="0"/>
              <w:right w:val="single" w:color="auto" w:sz="4" w:space="0"/>
            </w:tcBorders>
            <w:vAlign w:val="center"/>
          </w:tcPr>
          <w:p w14:paraId="041388C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c>
          <w:tcPr>
            <w:tcW w:w="1067" w:type="dxa"/>
            <w:tcBorders>
              <w:top w:val="single" w:color="auto" w:sz="4" w:space="0"/>
              <w:left w:val="single" w:color="auto" w:sz="4" w:space="0"/>
              <w:bottom w:val="single" w:color="auto" w:sz="4" w:space="0"/>
              <w:right w:val="single" w:color="auto" w:sz="4" w:space="0"/>
            </w:tcBorders>
            <w:vAlign w:val="center"/>
          </w:tcPr>
          <w:p w14:paraId="42128A7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饲料降尘用水</w:t>
            </w:r>
          </w:p>
        </w:tc>
        <w:tc>
          <w:tcPr>
            <w:tcW w:w="1067" w:type="dxa"/>
            <w:tcBorders>
              <w:top w:val="single" w:color="auto" w:sz="4" w:space="0"/>
              <w:left w:val="single" w:color="auto" w:sz="4" w:space="0"/>
              <w:bottom w:val="single" w:color="auto" w:sz="4" w:space="0"/>
              <w:right w:val="single" w:color="auto" w:sz="4" w:space="0"/>
            </w:tcBorders>
            <w:vAlign w:val="center"/>
          </w:tcPr>
          <w:p w14:paraId="08EC6F3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w:t>
            </w:r>
          </w:p>
        </w:tc>
        <w:tc>
          <w:tcPr>
            <w:tcW w:w="1067" w:type="dxa"/>
            <w:tcBorders>
              <w:top w:val="single" w:color="auto" w:sz="4" w:space="0"/>
              <w:left w:val="single" w:color="auto" w:sz="4" w:space="0"/>
              <w:bottom w:val="single" w:color="auto" w:sz="4" w:space="0"/>
              <w:right w:val="single" w:color="auto" w:sz="4" w:space="0"/>
            </w:tcBorders>
            <w:vAlign w:val="center"/>
          </w:tcPr>
          <w:p w14:paraId="449754E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1067" w:type="dxa"/>
            <w:tcBorders>
              <w:top w:val="single" w:color="auto" w:sz="4" w:space="0"/>
              <w:left w:val="single" w:color="auto" w:sz="4" w:space="0"/>
              <w:bottom w:val="single" w:color="auto" w:sz="4" w:space="0"/>
              <w:right w:val="single" w:color="auto" w:sz="4" w:space="0"/>
            </w:tcBorders>
            <w:vAlign w:val="center"/>
          </w:tcPr>
          <w:p w14:paraId="7C13331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.0</w:t>
            </w:r>
          </w:p>
        </w:tc>
        <w:tc>
          <w:tcPr>
            <w:tcW w:w="1067" w:type="dxa"/>
            <w:tcBorders>
              <w:top w:val="single" w:color="auto" w:sz="4" w:space="0"/>
              <w:left w:val="single" w:color="auto" w:sz="4" w:space="0"/>
              <w:bottom w:val="single" w:color="auto" w:sz="4" w:space="0"/>
              <w:right w:val="single" w:color="auto" w:sz="4" w:space="0"/>
            </w:tcBorders>
            <w:vAlign w:val="center"/>
          </w:tcPr>
          <w:p w14:paraId="311ACF4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09</w:t>
            </w:r>
            <w:r>
              <w:rPr>
                <w:rFonts w:hint="default" w:ascii="Times New Roman" w:hAnsi="Times New Roman" w:eastAsia="宋体" w:cs="Times New Roman"/>
                <w:color w:val="auto"/>
                <w:sz w:val="21"/>
                <w:szCs w:val="21"/>
                <w:highlight w:val="none"/>
              </w:rPr>
              <w:t>5</w:t>
            </w:r>
          </w:p>
        </w:tc>
        <w:tc>
          <w:tcPr>
            <w:tcW w:w="1067" w:type="dxa"/>
            <w:tcBorders>
              <w:top w:val="single" w:color="auto" w:sz="4" w:space="0"/>
              <w:left w:val="single" w:color="auto" w:sz="4" w:space="0"/>
              <w:bottom w:val="single" w:color="auto" w:sz="4" w:space="0"/>
              <w:right w:val="single" w:color="auto" w:sz="4" w:space="0"/>
            </w:tcBorders>
            <w:vAlign w:val="center"/>
          </w:tcPr>
          <w:p w14:paraId="0BE95B1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1067" w:type="dxa"/>
            <w:tcBorders>
              <w:top w:val="single" w:color="auto" w:sz="4" w:space="0"/>
              <w:left w:val="single" w:color="auto" w:sz="4" w:space="0"/>
              <w:bottom w:val="single" w:color="auto" w:sz="4" w:space="0"/>
              <w:right w:val="single" w:color="auto" w:sz="4" w:space="0"/>
            </w:tcBorders>
            <w:vAlign w:val="center"/>
          </w:tcPr>
          <w:p w14:paraId="155B638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1067" w:type="dxa"/>
            <w:tcBorders>
              <w:top w:val="single" w:color="auto" w:sz="4" w:space="0"/>
              <w:left w:val="single" w:color="auto" w:sz="4" w:space="0"/>
              <w:bottom w:val="single" w:color="auto" w:sz="4" w:space="0"/>
              <w:right w:val="single" w:color="auto" w:sz="4" w:space="0"/>
            </w:tcBorders>
            <w:vAlign w:val="center"/>
          </w:tcPr>
          <w:p w14:paraId="6DDFF77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4005" w:type="dxa"/>
            <w:tcBorders>
              <w:top w:val="single" w:color="auto" w:sz="4" w:space="0"/>
              <w:left w:val="single" w:color="auto" w:sz="4" w:space="0"/>
              <w:bottom w:val="single" w:color="auto" w:sz="4" w:space="0"/>
              <w:right w:val="single" w:color="auto" w:sz="4" w:space="0"/>
            </w:tcBorders>
            <w:vAlign w:val="center"/>
          </w:tcPr>
          <w:p w14:paraId="7B3A29E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使用新鲜水</w:t>
            </w:r>
          </w:p>
        </w:tc>
      </w:tr>
      <w:tr w14:paraId="194E78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1065" w:type="dxa"/>
            <w:vMerge w:val="restart"/>
            <w:tcBorders>
              <w:top w:val="single" w:color="auto" w:sz="4" w:space="0"/>
              <w:left w:val="single" w:color="auto" w:sz="4" w:space="0"/>
              <w:right w:val="single" w:color="auto" w:sz="4" w:space="0"/>
            </w:tcBorders>
            <w:vAlign w:val="center"/>
          </w:tcPr>
          <w:p w14:paraId="44A1CA9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4</w:t>
            </w:r>
          </w:p>
        </w:tc>
        <w:tc>
          <w:tcPr>
            <w:tcW w:w="1067" w:type="dxa"/>
            <w:vMerge w:val="restart"/>
            <w:tcBorders>
              <w:top w:val="single" w:color="auto" w:sz="4" w:space="0"/>
              <w:left w:val="single" w:color="auto" w:sz="4" w:space="0"/>
              <w:right w:val="single" w:color="auto" w:sz="4" w:space="0"/>
            </w:tcBorders>
            <w:vAlign w:val="center"/>
          </w:tcPr>
          <w:p w14:paraId="541DB08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eastAsia="zh-CN"/>
              </w:rPr>
              <w:t>电锅炉用水</w:t>
            </w:r>
          </w:p>
        </w:tc>
        <w:tc>
          <w:tcPr>
            <w:tcW w:w="1067" w:type="dxa"/>
            <w:vMerge w:val="restart"/>
            <w:tcBorders>
              <w:top w:val="single" w:color="auto" w:sz="4" w:space="0"/>
              <w:left w:val="single" w:color="auto" w:sz="4" w:space="0"/>
              <w:right w:val="single" w:color="auto" w:sz="4" w:space="0"/>
            </w:tcBorders>
            <w:vAlign w:val="center"/>
          </w:tcPr>
          <w:p w14:paraId="6485C5E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Cs/>
                <w:color w:val="0000FF"/>
                <w:sz w:val="21"/>
                <w:szCs w:val="21"/>
                <w:highlight w:val="none"/>
                <w:lang w:val="en-US" w:eastAsia="zh-CN"/>
              </w:rPr>
            </w:pPr>
            <w:r>
              <w:rPr>
                <w:rFonts w:hint="default" w:ascii="Times New Roman" w:hAnsi="Times New Roman" w:eastAsia="宋体" w:cs="Times New Roman"/>
                <w:bCs/>
                <w:color w:val="0000FF"/>
                <w:sz w:val="21"/>
                <w:szCs w:val="21"/>
                <w:highlight w:val="none"/>
                <w:lang w:val="en-US" w:eastAsia="zh-CN"/>
              </w:rPr>
              <w:t>2台40KW电锅炉</w:t>
            </w:r>
          </w:p>
        </w:tc>
        <w:tc>
          <w:tcPr>
            <w:tcW w:w="1067" w:type="dxa"/>
            <w:vMerge w:val="restart"/>
            <w:tcBorders>
              <w:top w:val="single" w:color="auto" w:sz="4" w:space="0"/>
              <w:left w:val="single" w:color="auto" w:sz="4" w:space="0"/>
              <w:right w:val="single" w:color="auto" w:sz="4" w:space="0"/>
            </w:tcBorders>
            <w:vAlign w:val="center"/>
          </w:tcPr>
          <w:p w14:paraId="5121FEB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auto"/>
                <w:sz w:val="21"/>
                <w:szCs w:val="21"/>
                <w:highlight w:val="none"/>
              </w:rPr>
              <w:t>/</w:t>
            </w:r>
          </w:p>
        </w:tc>
        <w:tc>
          <w:tcPr>
            <w:tcW w:w="1067" w:type="dxa"/>
            <w:vMerge w:val="restart"/>
            <w:tcBorders>
              <w:top w:val="single" w:color="auto" w:sz="4" w:space="0"/>
              <w:left w:val="single" w:color="auto" w:sz="4" w:space="0"/>
              <w:right w:val="single" w:color="auto" w:sz="4" w:space="0"/>
            </w:tcBorders>
            <w:vAlign w:val="center"/>
          </w:tcPr>
          <w:p w14:paraId="3BDFE69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7.5</w:t>
            </w:r>
          </w:p>
        </w:tc>
        <w:tc>
          <w:tcPr>
            <w:tcW w:w="1067" w:type="dxa"/>
            <w:vMerge w:val="restart"/>
            <w:tcBorders>
              <w:top w:val="single" w:color="auto" w:sz="4" w:space="0"/>
              <w:left w:val="single" w:color="auto" w:sz="4" w:space="0"/>
              <w:right w:val="single" w:color="auto" w:sz="4" w:space="0"/>
            </w:tcBorders>
            <w:vAlign w:val="center"/>
          </w:tcPr>
          <w:p w14:paraId="242AA1E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1350</w:t>
            </w:r>
          </w:p>
        </w:tc>
        <w:tc>
          <w:tcPr>
            <w:tcW w:w="1067" w:type="dxa"/>
            <w:tcBorders>
              <w:top w:val="single" w:color="auto" w:sz="4" w:space="0"/>
              <w:left w:val="single" w:color="auto" w:sz="4" w:space="0"/>
              <w:bottom w:val="single" w:color="auto" w:sz="4" w:space="0"/>
              <w:right w:val="single" w:color="auto" w:sz="4" w:space="0"/>
            </w:tcBorders>
            <w:vAlign w:val="center"/>
          </w:tcPr>
          <w:p w14:paraId="7ECCA34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lang w:val="en-US" w:eastAsia="zh-CN"/>
              </w:rPr>
              <w:t>/</w:t>
            </w:r>
          </w:p>
        </w:tc>
        <w:tc>
          <w:tcPr>
            <w:tcW w:w="1067" w:type="dxa"/>
            <w:tcBorders>
              <w:top w:val="single" w:color="auto" w:sz="4" w:space="0"/>
              <w:left w:val="single" w:color="auto" w:sz="4" w:space="0"/>
              <w:bottom w:val="single" w:color="auto" w:sz="4" w:space="0"/>
              <w:right w:val="single" w:color="auto" w:sz="4" w:space="0"/>
            </w:tcBorders>
            <w:vAlign w:val="center"/>
          </w:tcPr>
          <w:p w14:paraId="63AF313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2.4</w:t>
            </w:r>
          </w:p>
        </w:tc>
        <w:tc>
          <w:tcPr>
            <w:tcW w:w="1067" w:type="dxa"/>
            <w:tcBorders>
              <w:top w:val="single" w:color="auto" w:sz="4" w:space="0"/>
              <w:left w:val="single" w:color="auto" w:sz="4" w:space="0"/>
              <w:bottom w:val="single" w:color="auto" w:sz="4" w:space="0"/>
              <w:right w:val="single" w:color="auto" w:sz="4" w:space="0"/>
            </w:tcBorders>
            <w:vAlign w:val="center"/>
          </w:tcPr>
          <w:p w14:paraId="485F5FB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432</w:t>
            </w:r>
          </w:p>
        </w:tc>
        <w:tc>
          <w:tcPr>
            <w:tcW w:w="4005" w:type="dxa"/>
            <w:vMerge w:val="restart"/>
            <w:tcBorders>
              <w:top w:val="single" w:color="auto" w:sz="4" w:space="0"/>
              <w:left w:val="single" w:color="auto" w:sz="4" w:space="0"/>
              <w:right w:val="single" w:color="auto" w:sz="4" w:space="0"/>
            </w:tcBorders>
            <w:vAlign w:val="center"/>
          </w:tcPr>
          <w:p w14:paraId="6C38C25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auto"/>
                <w:sz w:val="21"/>
                <w:szCs w:val="21"/>
                <w:highlight w:val="none"/>
              </w:rPr>
              <w:t>使用新鲜水</w:t>
            </w:r>
          </w:p>
        </w:tc>
      </w:tr>
      <w:tr w14:paraId="395A24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3" w:hRule="atLeast"/>
          <w:tblHeader/>
          <w:jc w:val="center"/>
        </w:trPr>
        <w:tc>
          <w:tcPr>
            <w:tcW w:w="1065" w:type="dxa"/>
            <w:vMerge w:val="continue"/>
            <w:tcBorders>
              <w:left w:val="single" w:color="auto" w:sz="4" w:space="0"/>
              <w:bottom w:val="single" w:color="auto" w:sz="4" w:space="0"/>
              <w:right w:val="single" w:color="auto" w:sz="4" w:space="0"/>
            </w:tcBorders>
            <w:vAlign w:val="center"/>
          </w:tcPr>
          <w:p w14:paraId="7217F65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p>
        </w:tc>
        <w:tc>
          <w:tcPr>
            <w:tcW w:w="1067" w:type="dxa"/>
            <w:vMerge w:val="continue"/>
            <w:tcBorders>
              <w:left w:val="single" w:color="auto" w:sz="4" w:space="0"/>
              <w:bottom w:val="single" w:color="auto" w:sz="4" w:space="0"/>
              <w:right w:val="single" w:color="auto" w:sz="4" w:space="0"/>
            </w:tcBorders>
            <w:vAlign w:val="center"/>
          </w:tcPr>
          <w:p w14:paraId="485787C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p>
        </w:tc>
        <w:tc>
          <w:tcPr>
            <w:tcW w:w="1067" w:type="dxa"/>
            <w:vMerge w:val="continue"/>
            <w:tcBorders>
              <w:left w:val="single" w:color="auto" w:sz="4" w:space="0"/>
              <w:bottom w:val="single" w:color="auto" w:sz="4" w:space="0"/>
              <w:right w:val="single" w:color="auto" w:sz="4" w:space="0"/>
            </w:tcBorders>
            <w:vAlign w:val="center"/>
          </w:tcPr>
          <w:p w14:paraId="1297E2D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p>
        </w:tc>
        <w:tc>
          <w:tcPr>
            <w:tcW w:w="1067" w:type="dxa"/>
            <w:vMerge w:val="continue"/>
            <w:tcBorders>
              <w:left w:val="single" w:color="auto" w:sz="4" w:space="0"/>
              <w:bottom w:val="single" w:color="auto" w:sz="4" w:space="0"/>
              <w:right w:val="single" w:color="auto" w:sz="4" w:space="0"/>
            </w:tcBorders>
            <w:vAlign w:val="center"/>
          </w:tcPr>
          <w:p w14:paraId="6036D69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p>
        </w:tc>
        <w:tc>
          <w:tcPr>
            <w:tcW w:w="1067" w:type="dxa"/>
            <w:vMerge w:val="continue"/>
            <w:tcBorders>
              <w:left w:val="single" w:color="auto" w:sz="4" w:space="0"/>
              <w:bottom w:val="single" w:color="auto" w:sz="4" w:space="0"/>
              <w:right w:val="single" w:color="auto" w:sz="4" w:space="0"/>
            </w:tcBorders>
            <w:vAlign w:val="center"/>
          </w:tcPr>
          <w:p w14:paraId="6B377A1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p>
        </w:tc>
        <w:tc>
          <w:tcPr>
            <w:tcW w:w="1067" w:type="dxa"/>
            <w:vMerge w:val="continue"/>
            <w:tcBorders>
              <w:left w:val="single" w:color="auto" w:sz="4" w:space="0"/>
              <w:bottom w:val="single" w:color="auto" w:sz="4" w:space="0"/>
              <w:right w:val="single" w:color="auto" w:sz="4" w:space="0"/>
            </w:tcBorders>
            <w:vAlign w:val="center"/>
          </w:tcPr>
          <w:p w14:paraId="4414E8B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14:paraId="2978B41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lang w:val="en-US" w:eastAsia="zh-CN"/>
              </w:rPr>
              <w:t>/</w:t>
            </w:r>
          </w:p>
        </w:tc>
        <w:tc>
          <w:tcPr>
            <w:tcW w:w="1067" w:type="dxa"/>
            <w:tcBorders>
              <w:top w:val="single" w:color="auto" w:sz="4" w:space="0"/>
              <w:left w:val="single" w:color="auto" w:sz="4" w:space="0"/>
              <w:bottom w:val="single" w:color="auto" w:sz="4" w:space="0"/>
              <w:right w:val="single" w:color="auto" w:sz="4" w:space="0"/>
            </w:tcBorders>
            <w:vAlign w:val="center"/>
          </w:tcPr>
          <w:p w14:paraId="44F9369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1.5</w:t>
            </w:r>
          </w:p>
        </w:tc>
        <w:tc>
          <w:tcPr>
            <w:tcW w:w="1067" w:type="dxa"/>
            <w:tcBorders>
              <w:top w:val="single" w:color="auto" w:sz="4" w:space="0"/>
              <w:left w:val="single" w:color="auto" w:sz="4" w:space="0"/>
              <w:bottom w:val="single" w:color="auto" w:sz="4" w:space="0"/>
              <w:right w:val="single" w:color="auto" w:sz="4" w:space="0"/>
            </w:tcBorders>
            <w:vAlign w:val="center"/>
          </w:tcPr>
          <w:p w14:paraId="3F77ABC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270</w:t>
            </w:r>
          </w:p>
        </w:tc>
        <w:tc>
          <w:tcPr>
            <w:tcW w:w="4005" w:type="dxa"/>
            <w:vMerge w:val="continue"/>
            <w:tcBorders>
              <w:left w:val="single" w:color="auto" w:sz="4" w:space="0"/>
              <w:bottom w:val="single" w:color="auto" w:sz="4" w:space="0"/>
              <w:right w:val="single" w:color="auto" w:sz="4" w:space="0"/>
            </w:tcBorders>
            <w:vAlign w:val="center"/>
          </w:tcPr>
          <w:p w14:paraId="2230EE2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p>
        </w:tc>
      </w:tr>
      <w:tr w14:paraId="09F240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065" w:type="dxa"/>
            <w:tcBorders>
              <w:top w:val="single" w:color="auto" w:sz="4" w:space="0"/>
              <w:left w:val="single" w:color="auto" w:sz="4" w:space="0"/>
              <w:bottom w:val="single" w:color="auto" w:sz="4" w:space="0"/>
              <w:right w:val="single" w:color="auto" w:sz="4" w:space="0"/>
            </w:tcBorders>
            <w:vAlign w:val="center"/>
          </w:tcPr>
          <w:p w14:paraId="2555ADA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1067" w:type="dxa"/>
            <w:tcBorders>
              <w:top w:val="single" w:color="auto" w:sz="4" w:space="0"/>
              <w:left w:val="single" w:color="auto" w:sz="4" w:space="0"/>
              <w:bottom w:val="single" w:color="auto" w:sz="4" w:space="0"/>
              <w:right w:val="single" w:color="auto" w:sz="4" w:space="0"/>
            </w:tcBorders>
            <w:vAlign w:val="center"/>
          </w:tcPr>
          <w:p w14:paraId="26549A6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绿化用水</w:t>
            </w:r>
          </w:p>
        </w:tc>
        <w:tc>
          <w:tcPr>
            <w:tcW w:w="1067" w:type="dxa"/>
            <w:tcBorders>
              <w:top w:val="single" w:color="auto" w:sz="4" w:space="0"/>
              <w:left w:val="single" w:color="auto" w:sz="4" w:space="0"/>
              <w:bottom w:val="single" w:color="auto" w:sz="4" w:space="0"/>
              <w:right w:val="single" w:color="auto" w:sz="4" w:space="0"/>
            </w:tcBorders>
            <w:vAlign w:val="center"/>
          </w:tcPr>
          <w:p w14:paraId="37C1ABC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Cs/>
                <w:color w:val="FF0000"/>
                <w:sz w:val="21"/>
                <w:szCs w:val="21"/>
                <w:highlight w:val="none"/>
                <w:lang w:val="en-US" w:eastAsia="zh-CN"/>
              </w:rPr>
            </w:pPr>
            <w:r>
              <w:rPr>
                <w:rFonts w:hint="default" w:ascii="Times New Roman" w:hAnsi="Times New Roman" w:eastAsia="宋体" w:cs="Times New Roman"/>
                <w:bCs/>
                <w:color w:val="FF0000"/>
                <w:sz w:val="21"/>
                <w:szCs w:val="21"/>
                <w:highlight w:val="none"/>
                <w:lang w:val="en-US" w:eastAsia="zh-CN"/>
              </w:rPr>
              <w:t>10000m</w:t>
            </w:r>
            <w:r>
              <w:rPr>
                <w:rFonts w:hint="default" w:ascii="Times New Roman" w:hAnsi="Times New Roman" w:eastAsia="宋体" w:cs="Times New Roman"/>
                <w:bCs/>
                <w:color w:val="FF0000"/>
                <w:sz w:val="21"/>
                <w:szCs w:val="21"/>
                <w:highlight w:val="none"/>
                <w:vertAlign w:val="superscript"/>
                <w:lang w:val="en-US" w:eastAsia="zh-CN"/>
              </w:rPr>
              <w:t>2</w:t>
            </w:r>
          </w:p>
        </w:tc>
        <w:tc>
          <w:tcPr>
            <w:tcW w:w="1067" w:type="dxa"/>
            <w:tcBorders>
              <w:top w:val="single" w:color="auto" w:sz="4" w:space="0"/>
              <w:left w:val="single" w:color="auto" w:sz="4" w:space="0"/>
              <w:bottom w:val="single" w:color="auto" w:sz="4" w:space="0"/>
              <w:right w:val="single" w:color="auto" w:sz="4" w:space="0"/>
            </w:tcBorders>
            <w:vAlign w:val="center"/>
          </w:tcPr>
          <w:p w14:paraId="3206AF2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val="en-US" w:eastAsia="zh-CN"/>
              </w:rPr>
              <w:t>2.3</w:t>
            </w:r>
            <w:r>
              <w:rPr>
                <w:rFonts w:hint="default" w:ascii="Times New Roman" w:hAnsi="Times New Roman" w:eastAsia="宋体" w:cs="Times New Roman"/>
                <w:color w:val="FF0000"/>
                <w:sz w:val="21"/>
                <w:szCs w:val="21"/>
                <w:highlight w:val="none"/>
              </w:rPr>
              <w:t>L/</w:t>
            </w:r>
            <w:r>
              <w:rPr>
                <w:rFonts w:hint="default"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rPr>
              <w:t>m</w:t>
            </w:r>
            <w:r>
              <w:rPr>
                <w:rFonts w:hint="default" w:ascii="Times New Roman" w:hAnsi="Times New Roman" w:eastAsia="宋体" w:cs="Times New Roman"/>
                <w:color w:val="FF0000"/>
                <w:sz w:val="21"/>
                <w:szCs w:val="21"/>
                <w:highlight w:val="none"/>
                <w:vertAlign w:val="superscript"/>
              </w:rPr>
              <w:t>2</w:t>
            </w:r>
            <w:r>
              <w:rPr>
                <w:rFonts w:hint="default" w:ascii="Times New Roman" w:hAnsi="Times New Roman" w:eastAsia="宋体" w:cs="Times New Roman"/>
                <w:color w:val="FF0000"/>
                <w:sz w:val="21"/>
                <w:szCs w:val="21"/>
                <w:highlight w:val="none"/>
              </w:rPr>
              <w:t>·</w:t>
            </w:r>
            <w:r>
              <w:rPr>
                <w:rFonts w:hint="default" w:ascii="Times New Roman" w:hAnsi="Times New Roman" w:eastAsia="宋体" w:cs="Times New Roman"/>
                <w:color w:val="FF0000"/>
                <w:sz w:val="21"/>
                <w:szCs w:val="21"/>
                <w:highlight w:val="none"/>
                <w:lang w:val="en-US" w:eastAsia="zh-CN"/>
              </w:rPr>
              <w:t>d）</w:t>
            </w:r>
          </w:p>
        </w:tc>
        <w:tc>
          <w:tcPr>
            <w:tcW w:w="1067" w:type="dxa"/>
            <w:tcBorders>
              <w:top w:val="single" w:color="auto" w:sz="4" w:space="0"/>
              <w:left w:val="single" w:color="auto" w:sz="4" w:space="0"/>
              <w:bottom w:val="single" w:color="auto" w:sz="4" w:space="0"/>
              <w:right w:val="single" w:color="auto" w:sz="4" w:space="0"/>
            </w:tcBorders>
            <w:vAlign w:val="center"/>
          </w:tcPr>
          <w:p w14:paraId="0DF5E5F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23</w:t>
            </w:r>
          </w:p>
        </w:tc>
        <w:tc>
          <w:tcPr>
            <w:tcW w:w="1067" w:type="dxa"/>
            <w:tcBorders>
              <w:top w:val="single" w:color="auto" w:sz="4" w:space="0"/>
              <w:left w:val="single" w:color="auto" w:sz="4" w:space="0"/>
              <w:bottom w:val="single" w:color="auto" w:sz="4" w:space="0"/>
              <w:right w:val="single" w:color="auto" w:sz="4" w:space="0"/>
            </w:tcBorders>
            <w:vAlign w:val="center"/>
          </w:tcPr>
          <w:p w14:paraId="3F6D106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val="en-US" w:eastAsia="zh-CN"/>
              </w:rPr>
              <w:t>1380</w:t>
            </w:r>
          </w:p>
        </w:tc>
        <w:tc>
          <w:tcPr>
            <w:tcW w:w="1067" w:type="dxa"/>
            <w:tcBorders>
              <w:top w:val="single" w:color="auto" w:sz="4" w:space="0"/>
              <w:left w:val="single" w:color="auto" w:sz="4" w:space="0"/>
              <w:bottom w:val="single" w:color="auto" w:sz="4" w:space="0"/>
              <w:right w:val="single" w:color="auto" w:sz="4" w:space="0"/>
            </w:tcBorders>
            <w:vAlign w:val="center"/>
          </w:tcPr>
          <w:p w14:paraId="5F46AC0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w:t>
            </w:r>
          </w:p>
        </w:tc>
        <w:tc>
          <w:tcPr>
            <w:tcW w:w="1067" w:type="dxa"/>
            <w:tcBorders>
              <w:top w:val="single" w:color="auto" w:sz="4" w:space="0"/>
              <w:left w:val="single" w:color="auto" w:sz="4" w:space="0"/>
              <w:bottom w:val="single" w:color="auto" w:sz="4" w:space="0"/>
              <w:right w:val="single" w:color="auto" w:sz="4" w:space="0"/>
            </w:tcBorders>
            <w:vAlign w:val="center"/>
          </w:tcPr>
          <w:p w14:paraId="0832243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w:t>
            </w:r>
          </w:p>
        </w:tc>
        <w:tc>
          <w:tcPr>
            <w:tcW w:w="1067" w:type="dxa"/>
            <w:tcBorders>
              <w:top w:val="single" w:color="auto" w:sz="4" w:space="0"/>
              <w:left w:val="single" w:color="auto" w:sz="4" w:space="0"/>
              <w:bottom w:val="single" w:color="auto" w:sz="4" w:space="0"/>
              <w:right w:val="single" w:color="auto" w:sz="4" w:space="0"/>
            </w:tcBorders>
            <w:vAlign w:val="center"/>
          </w:tcPr>
          <w:p w14:paraId="1A5E2F2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w:t>
            </w:r>
          </w:p>
        </w:tc>
        <w:tc>
          <w:tcPr>
            <w:tcW w:w="4005" w:type="dxa"/>
            <w:tcBorders>
              <w:top w:val="single" w:color="auto" w:sz="4" w:space="0"/>
              <w:left w:val="single" w:color="auto" w:sz="4" w:space="0"/>
              <w:bottom w:val="single" w:color="auto" w:sz="4" w:space="0"/>
              <w:right w:val="single" w:color="auto" w:sz="4" w:space="0"/>
            </w:tcBorders>
            <w:vAlign w:val="center"/>
          </w:tcPr>
          <w:p w14:paraId="5F2B72E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使用新鲜水</w:t>
            </w:r>
          </w:p>
        </w:tc>
      </w:tr>
      <w:tr w14:paraId="2010B8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4266" w:type="dxa"/>
            <w:gridSpan w:val="4"/>
            <w:tcBorders>
              <w:top w:val="single" w:color="auto" w:sz="4" w:space="0"/>
              <w:left w:val="single" w:color="auto" w:sz="4" w:space="0"/>
              <w:bottom w:val="single" w:color="auto" w:sz="4" w:space="0"/>
              <w:right w:val="single" w:color="auto" w:sz="4" w:space="0"/>
            </w:tcBorders>
            <w:vAlign w:val="center"/>
          </w:tcPr>
          <w:p w14:paraId="3DC0E2C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新鲜水合计</w:t>
            </w:r>
          </w:p>
        </w:tc>
        <w:tc>
          <w:tcPr>
            <w:tcW w:w="1067" w:type="dxa"/>
            <w:tcBorders>
              <w:top w:val="single" w:color="auto" w:sz="4" w:space="0"/>
              <w:left w:val="single" w:color="auto" w:sz="4" w:space="0"/>
              <w:bottom w:val="single" w:color="auto" w:sz="4" w:space="0"/>
              <w:right w:val="single" w:color="auto" w:sz="4" w:space="0"/>
            </w:tcBorders>
            <w:vAlign w:val="center"/>
          </w:tcPr>
          <w:p w14:paraId="46ED57B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lang w:val="en-US" w:eastAsia="zh-CN"/>
              </w:rPr>
            </w:pPr>
            <w:bookmarkStart w:id="209" w:name="OLE_LINK2"/>
            <w:bookmarkStart w:id="210" w:name="OLE_LINK1"/>
            <w:r>
              <w:rPr>
                <w:rFonts w:hint="default" w:ascii="Times New Roman" w:hAnsi="Times New Roman" w:eastAsia="宋体" w:cs="Times New Roman"/>
                <w:color w:val="0000FF"/>
                <w:sz w:val="21"/>
                <w:szCs w:val="21"/>
                <w:highlight w:val="none"/>
              </w:rPr>
              <w:t>夏</w:t>
            </w:r>
            <w:bookmarkEnd w:id="209"/>
            <w:bookmarkEnd w:id="210"/>
            <w:r>
              <w:rPr>
                <w:rFonts w:hint="default" w:ascii="Times New Roman" w:hAnsi="Times New Roman" w:eastAsia="宋体" w:cs="Times New Roman"/>
                <w:color w:val="0000FF"/>
                <w:sz w:val="21"/>
                <w:szCs w:val="21"/>
                <w:highlight w:val="none"/>
                <w:lang w:val="en-US" w:eastAsia="zh-CN"/>
              </w:rPr>
              <w:t>179</w:t>
            </w:r>
          </w:p>
          <w:p w14:paraId="5B11B2E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0000FF"/>
                <w:sz w:val="21"/>
                <w:szCs w:val="21"/>
                <w:highlight w:val="none"/>
              </w:rPr>
              <w:t>冬</w:t>
            </w:r>
            <w:r>
              <w:rPr>
                <w:rFonts w:hint="default" w:ascii="Times New Roman" w:hAnsi="Times New Roman" w:eastAsia="宋体" w:cs="Times New Roman"/>
                <w:color w:val="0000FF"/>
                <w:sz w:val="21"/>
                <w:szCs w:val="21"/>
                <w:highlight w:val="none"/>
                <w:lang w:val="en-US" w:eastAsia="zh-CN"/>
              </w:rPr>
              <w:t>13</w:t>
            </w:r>
            <w:r>
              <w:rPr>
                <w:rFonts w:hint="default" w:ascii="Times New Roman" w:hAnsi="Times New Roman" w:eastAsia="宋体" w:cs="Times New Roman"/>
                <w:color w:val="0000FF"/>
                <w:sz w:val="21"/>
                <w:szCs w:val="21"/>
                <w:highlight w:val="none"/>
                <w:lang w:val="en-US" w:eastAsia="zh-CN"/>
              </w:rPr>
              <w:t>8.5</w:t>
            </w:r>
          </w:p>
        </w:tc>
        <w:tc>
          <w:tcPr>
            <w:tcW w:w="1067" w:type="dxa"/>
            <w:tcBorders>
              <w:top w:val="single" w:color="auto" w:sz="4" w:space="0"/>
              <w:left w:val="single" w:color="auto" w:sz="4" w:space="0"/>
              <w:bottom w:val="single" w:color="auto" w:sz="4" w:space="0"/>
              <w:right w:val="single" w:color="auto" w:sz="4" w:space="0"/>
            </w:tcBorders>
            <w:vAlign w:val="center"/>
          </w:tcPr>
          <w:p w14:paraId="354496B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55045</w:t>
            </w:r>
          </w:p>
        </w:tc>
        <w:tc>
          <w:tcPr>
            <w:tcW w:w="1067" w:type="dxa"/>
            <w:tcBorders>
              <w:top w:val="single" w:color="auto" w:sz="4" w:space="0"/>
              <w:left w:val="single" w:color="auto" w:sz="4" w:space="0"/>
              <w:bottom w:val="single" w:color="auto" w:sz="4" w:space="0"/>
              <w:right w:val="single" w:color="auto" w:sz="4" w:space="0"/>
            </w:tcBorders>
            <w:vAlign w:val="center"/>
          </w:tcPr>
          <w:p w14:paraId="6CAC592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w:t>
            </w:r>
          </w:p>
        </w:tc>
        <w:tc>
          <w:tcPr>
            <w:tcW w:w="1067" w:type="dxa"/>
            <w:tcBorders>
              <w:top w:val="single" w:color="auto" w:sz="4" w:space="0"/>
              <w:left w:val="single" w:color="auto" w:sz="4" w:space="0"/>
              <w:bottom w:val="single" w:color="auto" w:sz="4" w:space="0"/>
              <w:right w:val="single" w:color="auto" w:sz="4" w:space="0"/>
            </w:tcBorders>
            <w:vAlign w:val="center"/>
          </w:tcPr>
          <w:p w14:paraId="3D26B2D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eastAsia="宋体" w:cs="Times New Roman"/>
                <w:color w:val="0000FF"/>
                <w:sz w:val="21"/>
                <w:szCs w:val="21"/>
                <w:highlight w:val="none"/>
                <w:lang w:val="en-US" w:eastAsia="zh-CN"/>
              </w:rPr>
              <w:t>6.3</w:t>
            </w:r>
          </w:p>
        </w:tc>
        <w:tc>
          <w:tcPr>
            <w:tcW w:w="1067" w:type="dxa"/>
            <w:tcBorders>
              <w:top w:val="single" w:color="auto" w:sz="4" w:space="0"/>
              <w:left w:val="single" w:color="auto" w:sz="4" w:space="0"/>
              <w:bottom w:val="single" w:color="auto" w:sz="4" w:space="0"/>
              <w:right w:val="single" w:color="auto" w:sz="4" w:space="0"/>
            </w:tcBorders>
            <w:vAlign w:val="center"/>
          </w:tcPr>
          <w:p w14:paraId="4D81D04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eastAsia="宋体" w:cs="Times New Roman"/>
                <w:color w:val="0000FF"/>
                <w:sz w:val="21"/>
                <w:szCs w:val="21"/>
                <w:highlight w:val="none"/>
                <w:lang w:val="en-US" w:eastAsia="zh-CN"/>
              </w:rPr>
              <w:t>1578</w:t>
            </w:r>
          </w:p>
        </w:tc>
        <w:tc>
          <w:tcPr>
            <w:tcW w:w="4005" w:type="dxa"/>
            <w:tcBorders>
              <w:top w:val="single" w:color="auto" w:sz="4" w:space="0"/>
              <w:left w:val="single" w:color="auto" w:sz="4" w:space="0"/>
              <w:bottom w:val="single" w:color="auto" w:sz="4" w:space="0"/>
              <w:right w:val="single" w:color="auto" w:sz="4" w:space="0"/>
            </w:tcBorders>
            <w:vAlign w:val="center"/>
          </w:tcPr>
          <w:p w14:paraId="38D614F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r>
    </w:tbl>
    <w:p w14:paraId="53AB14A1">
      <w:pPr>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sectPr>
          <w:pgSz w:w="16838" w:h="11906" w:orient="landscape"/>
          <w:pgMar w:top="1440" w:right="1800" w:bottom="1440" w:left="1800" w:header="851" w:footer="1134" w:gutter="0"/>
          <w:pgBorders>
            <w:top w:val="none" w:sz="0" w:space="0"/>
            <w:left w:val="none" w:sz="0" w:space="0"/>
            <w:bottom w:val="none" w:sz="0" w:space="0"/>
            <w:right w:val="none" w:sz="0" w:space="0"/>
          </w:pgBorders>
          <w:pgNumType w:fmt="decimal"/>
          <w:cols w:space="425" w:num="1"/>
          <w:docGrid w:linePitch="326" w:charSpace="0"/>
        </w:sectPr>
      </w:pPr>
    </w:p>
    <w:p w14:paraId="263326C5">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object>
          <v:shape id="_x0000_i1027" o:spt="75" type="#_x0000_t75" style="height:227.35pt;width:413.85pt;" o:ole="t" filled="f" o:preferrelative="t" stroked="f" coordsize="21600,21600">
            <v:path/>
            <v:fill on="f" focussize="0,0"/>
            <v:stroke on="f"/>
            <v:imagedata r:id="rId26" o:title=""/>
            <o:lock v:ext="edit" aspectratio="t"/>
            <w10:wrap type="none"/>
            <w10:anchorlock/>
          </v:shape>
          <o:OLEObject Type="Embed" ProgID="Visio.Drawing.11" ShapeID="_x0000_i1027" DrawAspect="Content" ObjectID="_1468075727" r:id="rId25">
            <o:LockedField>false</o:LockedField>
          </o:OLEObject>
        </w:object>
      </w:r>
    </w:p>
    <w:p w14:paraId="06E20FDC">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
          <w:bCs/>
          <w:color w:val="auto"/>
          <w:highlight w:val="none"/>
        </w:rPr>
        <w:t>图3.1-</w:t>
      </w:r>
      <w:r>
        <w:rPr>
          <w:rFonts w:hint="default" w:ascii="Times New Roman" w:hAnsi="Times New Roman" w:eastAsia="宋体" w:cs="Times New Roman"/>
          <w:b/>
          <w:bCs/>
          <w:color w:val="auto"/>
          <w:highlight w:val="none"/>
          <w:lang w:val="en-US" w:eastAsia="zh-CN"/>
        </w:rPr>
        <w:t>3</w:t>
      </w:r>
      <w:r>
        <w:rPr>
          <w:rFonts w:hint="default" w:ascii="Times New Roman" w:hAnsi="Times New Roman" w:eastAsia="宋体" w:cs="Times New Roman"/>
          <w:b/>
          <w:bCs/>
          <w:color w:val="auto"/>
          <w:highlight w:val="none"/>
          <w:lang w:eastAsia="zh-CN"/>
        </w:rPr>
        <w:t>夏季</w:t>
      </w:r>
      <w:r>
        <w:rPr>
          <w:rFonts w:hint="default" w:ascii="Times New Roman" w:hAnsi="Times New Roman" w:eastAsia="宋体" w:cs="Times New Roman"/>
          <w:b/>
          <w:bCs/>
          <w:color w:val="auto"/>
          <w:highlight w:val="none"/>
        </w:rPr>
        <w:t>水平衡</w:t>
      </w:r>
      <w:r>
        <w:rPr>
          <w:rFonts w:hint="default" w:ascii="Times New Roman" w:hAnsi="Times New Roman" w:eastAsia="宋体" w:cs="Times New Roman"/>
          <w:b/>
          <w:bCs/>
          <w:color w:val="auto"/>
          <w:highlight w:val="none"/>
          <w:lang w:eastAsia="zh-CN"/>
        </w:rPr>
        <w:t>图</w:t>
      </w:r>
      <w:r>
        <w:rPr>
          <w:rFonts w:hint="default" w:ascii="Times New Roman" w:hAnsi="Times New Roman" w:eastAsia="宋体" w:cs="Times New Roman"/>
          <w:b/>
          <w:bCs/>
          <w:color w:val="auto"/>
          <w:highlight w:val="none"/>
          <w:lang w:val="en-US" w:eastAsia="zh-CN"/>
        </w:rPr>
        <w:t>单位：t/d</w:t>
      </w:r>
    </w:p>
    <w:p w14:paraId="2161CD99">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object>
          <v:shape id="_x0000_i1028" o:spt="75" type="#_x0000_t75" style="height:313.85pt;width:413.85pt;" o:ole="t" filled="f" o:preferrelative="t" stroked="f" coordsize="21600,21600">
            <v:path/>
            <v:fill on="f" focussize="0,0"/>
            <v:stroke on="f"/>
            <v:imagedata r:id="rId28" o:title=""/>
            <o:lock v:ext="edit" aspectratio="t"/>
            <w10:wrap type="none"/>
            <w10:anchorlock/>
          </v:shape>
          <o:OLEObject Type="Embed" ProgID="Visio.Drawing.11" ShapeID="_x0000_i1028" DrawAspect="Content" ObjectID="_1468075728" r:id="rId27">
            <o:LockedField>false</o:LockedField>
          </o:OLEObject>
        </w:object>
      </w:r>
    </w:p>
    <w:p w14:paraId="3D85C18F">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bCs/>
          <w:color w:val="0000FF"/>
          <w:highlight w:val="none"/>
          <w:lang w:eastAsia="zh-CN"/>
        </w:rPr>
        <w:t>图</w:t>
      </w:r>
      <w:r>
        <w:rPr>
          <w:rFonts w:hint="default" w:ascii="Times New Roman" w:hAnsi="Times New Roman" w:eastAsia="宋体" w:cs="Times New Roman"/>
          <w:b/>
          <w:bCs/>
          <w:color w:val="0000FF"/>
          <w:highlight w:val="none"/>
          <w:lang w:val="en-US" w:eastAsia="zh-CN"/>
        </w:rPr>
        <w:t>3.1-4冬季水平衡图单位：t/d</w:t>
      </w:r>
    </w:p>
    <w:p w14:paraId="01281955">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项目采用雨污分流排水。</w:t>
      </w:r>
    </w:p>
    <w:p w14:paraId="5B597FE8">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（1）牛舍屋面设置合适坡度并在屋檐设置导流槽，将雨水导出不排入运动场内，屋面雨水采用自流式排水，经过雨水管道排入场区排水沟排出。</w:t>
      </w:r>
    </w:p>
    <w:p w14:paraId="6F1081BC">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（2）运动场设置挡水坡道，防止雨水进入运动场；</w:t>
      </w:r>
    </w:p>
    <w:p w14:paraId="481BF127">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底部进行硬化防渗处理，四面设围墙及导流渠，墙高</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lang w:eastAsia="zh-CN"/>
        </w:rPr>
        <w:t>防止</w:t>
      </w:r>
      <w:r>
        <w:rPr>
          <w:rFonts w:hint="default" w:ascii="Times New Roman" w:hAnsi="Times New Roman" w:eastAsia="宋体" w:cs="Times New Roman"/>
          <w:color w:val="auto"/>
          <w:highlight w:val="none"/>
        </w:rPr>
        <w:t>因雨水进入造成外溢，形成二次污染。</w:t>
      </w:r>
    </w:p>
    <w:p w14:paraId="1FB36726">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项目清净雨水，通过场区雨水管道自流式排出。</w:t>
      </w:r>
    </w:p>
    <w:p w14:paraId="16848B77">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3.1.6.3供电</w:t>
      </w:r>
    </w:p>
    <w:p w14:paraId="53BF749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本项目用电由当地供电网络提供电源，项目配套2台SCB13-400变压器、1台SCB13-250变压器、1台SCB13-80变压器，年用电量为211.88万</w:t>
      </w:r>
      <w:r>
        <w:rPr>
          <w:rFonts w:hint="default" w:ascii="Times New Roman" w:hAnsi="Times New Roman" w:eastAsia="宋体" w:cs="Times New Roman"/>
          <w:color w:val="auto"/>
          <w:highlight w:val="none"/>
          <w:lang w:eastAsia="zh-CN"/>
        </w:rPr>
        <w:t>kW</w:t>
      </w:r>
      <w:r>
        <w:rPr>
          <w:rFonts w:hint="default" w:ascii="Times New Roman" w:hAnsi="Times New Roman" w:eastAsia="宋体" w:cs="Times New Roman"/>
          <w:color w:val="auto"/>
          <w:highlight w:val="none"/>
        </w:rPr>
        <w:t>·h。</w:t>
      </w:r>
    </w:p>
    <w:p w14:paraId="478E7D9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配电线路采用放射式方式敷设。场区内的电缆采用电缆架空、穿管埋地敷设和直埋敷设相结合的方式。照明导线敷设方式为穿阻燃PVC管暗配或明配。</w:t>
      </w:r>
    </w:p>
    <w:p w14:paraId="23FE8D1F">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3.1.6.4供热</w:t>
      </w:r>
    </w:p>
    <w:p w14:paraId="4407B7E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本项目牛舍冬季不供暖。牛是恒温动物，在一般情况下，如果气温不适，牛体可通过自身的调节来保持体温的基本恒定。</w:t>
      </w:r>
    </w:p>
    <w:p w14:paraId="05BEB5C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项目需要供暖的区域</w:t>
      </w:r>
      <w:r>
        <w:rPr>
          <w:rFonts w:hint="default" w:ascii="Times New Roman" w:hAnsi="Times New Roman" w:eastAsia="宋体" w:cs="Times New Roman"/>
          <w:color w:val="auto"/>
          <w:highlight w:val="none"/>
          <w:lang w:eastAsia="zh-CN"/>
        </w:rPr>
        <w:t>为办公室，项目选用2台40KW电锅炉</w:t>
      </w:r>
      <w:r>
        <w:rPr>
          <w:rFonts w:hint="default" w:ascii="Times New Roman" w:hAnsi="Times New Roman" w:eastAsia="宋体" w:cs="Times New Roman"/>
          <w:color w:val="auto"/>
          <w:highlight w:val="none"/>
        </w:rPr>
        <w:t>。</w:t>
      </w:r>
    </w:p>
    <w:p w14:paraId="7340BB7A">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3.1.6.</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牛舍保暖和通风</w:t>
      </w:r>
    </w:p>
    <w:p w14:paraId="319AD1C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牛舍冬季采用牛舍封闭的方式进行保暖，不设供暖设施；春秋季节将去掉牛舍的围挡，将牛舍的上半部分和门均敞开，以自然通风的方式进行牛舍换气；夏季则开启通风风扇对牛舍进行强制通风。</w:t>
      </w:r>
    </w:p>
    <w:p w14:paraId="5DAD822A">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211" w:name="_Toc46421088"/>
      <w:bookmarkStart w:id="212" w:name="_Toc494206290"/>
      <w:bookmarkStart w:id="213" w:name="_Toc523322290"/>
      <w:bookmarkStart w:id="214" w:name="_Toc26853"/>
      <w:r>
        <w:rPr>
          <w:rFonts w:hint="default" w:ascii="Times New Roman" w:hAnsi="Times New Roman" w:eastAsia="宋体" w:cs="Times New Roman"/>
          <w:color w:val="auto"/>
          <w:highlight w:val="none"/>
        </w:rPr>
        <w:t>3.1.</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储运工程</w:t>
      </w:r>
      <w:bookmarkEnd w:id="211"/>
      <w:bookmarkEnd w:id="212"/>
      <w:bookmarkEnd w:id="213"/>
      <w:bookmarkEnd w:id="214"/>
    </w:p>
    <w:p w14:paraId="1A17CE6C">
      <w:pPr>
        <w:pageBreakBefore w:val="0"/>
        <w:kinsoku/>
        <w:wordWrap/>
        <w:bidi w:val="0"/>
        <w:snapToGrid w:val="0"/>
        <w:spacing w:line="360" w:lineRule="auto"/>
        <w:ind w:left="0" w:leftChars="0" w:right="0" w:rightChars="0" w:firstLine="480"/>
        <w:outlineLvl w:val="2"/>
        <w:rPr>
          <w:rFonts w:hint="default" w:ascii="Times New Roman" w:hAnsi="Times New Roman" w:eastAsia="宋体" w:cs="Times New Roman"/>
          <w:color w:val="auto"/>
          <w:highlight w:val="none"/>
        </w:rPr>
      </w:pPr>
      <w:bookmarkStart w:id="215" w:name="_Toc31836"/>
      <w:bookmarkStart w:id="216" w:name="_Toc316054063"/>
      <w:bookmarkStart w:id="217" w:name="_Toc20683"/>
      <w:r>
        <w:rPr>
          <w:rFonts w:hint="default" w:ascii="Times New Roman" w:hAnsi="Times New Roman" w:eastAsia="宋体" w:cs="Times New Roman"/>
          <w:color w:val="auto"/>
          <w:highlight w:val="none"/>
        </w:rPr>
        <w:t>（1）厂外运输</w:t>
      </w:r>
      <w:bookmarkEnd w:id="215"/>
      <w:bookmarkEnd w:id="216"/>
      <w:bookmarkEnd w:id="217"/>
    </w:p>
    <w:p w14:paraId="20D2A47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本厂主要采用公路运输方式，原料（饲料）运输主要由公路承担。</w:t>
      </w:r>
    </w:p>
    <w:p w14:paraId="03C9C217">
      <w:pPr>
        <w:pageBreakBefore w:val="0"/>
        <w:kinsoku/>
        <w:wordWrap/>
        <w:bidi w:val="0"/>
        <w:snapToGrid w:val="0"/>
        <w:spacing w:line="360" w:lineRule="auto"/>
        <w:ind w:left="0" w:leftChars="0" w:right="0" w:rightChars="0" w:firstLine="480"/>
        <w:outlineLvl w:val="2"/>
        <w:rPr>
          <w:rFonts w:hint="default" w:ascii="Times New Roman" w:hAnsi="Times New Roman" w:eastAsia="宋体" w:cs="Times New Roman"/>
          <w:color w:val="auto"/>
          <w:highlight w:val="none"/>
        </w:rPr>
      </w:pPr>
      <w:bookmarkStart w:id="218" w:name="_Toc29034"/>
      <w:bookmarkStart w:id="219" w:name="_Toc7066"/>
      <w:r>
        <w:rPr>
          <w:rFonts w:hint="default" w:ascii="Times New Roman" w:hAnsi="Times New Roman" w:eastAsia="宋体" w:cs="Times New Roman"/>
          <w:color w:val="auto"/>
          <w:highlight w:val="none"/>
        </w:rPr>
        <w:t>（2）场内运输</w:t>
      </w:r>
      <w:bookmarkEnd w:id="218"/>
      <w:bookmarkEnd w:id="219"/>
    </w:p>
    <w:p w14:paraId="3433AE7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场内运输主要为</w:t>
      </w:r>
      <w:r>
        <w:rPr>
          <w:rFonts w:hint="default" w:ascii="Times New Roman" w:hAnsi="Times New Roman" w:eastAsia="宋体" w:cs="Times New Roman"/>
          <w:color w:val="auto"/>
          <w:highlight w:val="none"/>
          <w:lang w:eastAsia="zh-CN"/>
        </w:rPr>
        <w:t>草棚、TMR车间</w:t>
      </w:r>
      <w:r>
        <w:rPr>
          <w:rFonts w:hint="default" w:ascii="Times New Roman" w:hAnsi="Times New Roman" w:eastAsia="宋体" w:cs="Times New Roman"/>
          <w:color w:val="auto"/>
          <w:highlight w:val="none"/>
        </w:rPr>
        <w:t>与牛舍之间的饲料运输，其特点是短距离，次数频繁，且多处于狭小空间内，因此场内原料输送主要采用</w:t>
      </w:r>
      <w:r>
        <w:rPr>
          <w:rFonts w:hint="default" w:ascii="Times New Roman" w:hAnsi="Times New Roman" w:eastAsia="宋体" w:cs="Times New Roman"/>
          <w:color w:val="auto"/>
          <w:highlight w:val="none"/>
          <w:lang w:eastAsia="zh-CN"/>
        </w:rPr>
        <w:t>TMR混合机</w:t>
      </w:r>
      <w:r>
        <w:rPr>
          <w:rFonts w:hint="default" w:ascii="Times New Roman" w:hAnsi="Times New Roman" w:eastAsia="宋体" w:cs="Times New Roman"/>
          <w:color w:val="auto"/>
          <w:highlight w:val="none"/>
        </w:rPr>
        <w:t>。</w:t>
      </w:r>
    </w:p>
    <w:p w14:paraId="4D7CA41B">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220" w:name="_Toc22616"/>
      <w:bookmarkStart w:id="221" w:name="_Toc46421089"/>
      <w:r>
        <w:rPr>
          <w:rFonts w:hint="default" w:ascii="Times New Roman" w:hAnsi="Times New Roman" w:eastAsia="宋体" w:cs="Times New Roman"/>
          <w:color w:val="auto"/>
          <w:highlight w:val="none"/>
        </w:rPr>
        <w:t>3.1.</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rPr>
        <w:t>总平面布置</w:t>
      </w:r>
      <w:bookmarkEnd w:id="220"/>
      <w:bookmarkEnd w:id="221"/>
    </w:p>
    <w:p w14:paraId="690EC49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本项目分为养殖区、生活区</w:t>
      </w:r>
      <w:r>
        <w:rPr>
          <w:rFonts w:hint="default" w:ascii="Times New Roman" w:hAnsi="Times New Roman" w:eastAsia="宋体" w:cs="Times New Roman"/>
          <w:color w:val="auto"/>
          <w:highlight w:val="none"/>
          <w:lang w:eastAsia="zh-CN"/>
        </w:rPr>
        <w:t>、粪污处理池等</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个功能区。其中养殖区位于</w:t>
      </w:r>
      <w:r>
        <w:rPr>
          <w:rFonts w:hint="default" w:ascii="Times New Roman" w:hAnsi="Times New Roman" w:eastAsia="宋体" w:cs="Times New Roman"/>
          <w:color w:val="auto"/>
          <w:highlight w:val="none"/>
          <w:lang w:eastAsia="zh-CN"/>
        </w:rPr>
        <w:t>场区西侧和南侧</w:t>
      </w:r>
      <w:r>
        <w:rPr>
          <w:rFonts w:hint="default" w:ascii="Times New Roman" w:hAnsi="Times New Roman" w:eastAsia="宋体" w:cs="Times New Roman"/>
          <w:color w:val="auto"/>
          <w:highlight w:val="none"/>
        </w:rPr>
        <w:t>，生活区位于</w:t>
      </w:r>
      <w:r>
        <w:rPr>
          <w:rFonts w:hint="default" w:ascii="Times New Roman" w:hAnsi="Times New Roman" w:eastAsia="宋体" w:cs="Times New Roman"/>
          <w:color w:val="auto"/>
          <w:highlight w:val="none"/>
          <w:lang w:eastAsia="zh-CN"/>
        </w:rPr>
        <w:t>场区北侧，粪污处理池</w:t>
      </w:r>
      <w:r>
        <w:rPr>
          <w:rFonts w:hint="default" w:ascii="Times New Roman" w:hAnsi="Times New Roman" w:eastAsia="宋体" w:cs="Times New Roman"/>
          <w:color w:val="auto"/>
          <w:highlight w:val="none"/>
        </w:rPr>
        <w:t>位于场区</w:t>
      </w:r>
      <w:r>
        <w:rPr>
          <w:rFonts w:hint="default" w:ascii="Times New Roman" w:hAnsi="Times New Roman" w:eastAsia="宋体" w:cs="Times New Roman"/>
          <w:color w:val="auto"/>
          <w:highlight w:val="none"/>
          <w:lang w:eastAsia="zh-CN"/>
        </w:rPr>
        <w:t>南侧，草棚、TMR车间</w:t>
      </w:r>
      <w:r>
        <w:rPr>
          <w:rFonts w:hint="default" w:ascii="Times New Roman" w:hAnsi="Times New Roman" w:eastAsia="宋体" w:cs="Times New Roman"/>
          <w:color w:val="auto"/>
          <w:highlight w:val="none"/>
        </w:rPr>
        <w:t>位于场区</w:t>
      </w:r>
      <w:r>
        <w:rPr>
          <w:rFonts w:hint="default" w:ascii="Times New Roman" w:hAnsi="Times New Roman" w:eastAsia="宋体" w:cs="Times New Roman"/>
          <w:color w:val="auto"/>
          <w:highlight w:val="none"/>
          <w:lang w:eastAsia="zh-CN"/>
        </w:rPr>
        <w:t>东北侧</w:t>
      </w:r>
      <w:r>
        <w:rPr>
          <w:rFonts w:hint="default" w:ascii="Times New Roman" w:hAnsi="Times New Roman" w:eastAsia="宋体" w:cs="Times New Roman"/>
          <w:color w:val="auto"/>
          <w:highlight w:val="none"/>
        </w:rPr>
        <w:t>；见图</w:t>
      </w:r>
      <w:r>
        <w:rPr>
          <w:rFonts w:hint="default" w:ascii="Times New Roman" w:hAnsi="Times New Roman" w:eastAsia="宋体" w:cs="Times New Roman"/>
          <w:color w:val="auto"/>
          <w:highlight w:val="none"/>
          <w:lang w:val="en-US" w:eastAsia="zh-CN"/>
        </w:rPr>
        <w:t>3.1-5</w:t>
      </w:r>
      <w:r>
        <w:rPr>
          <w:rFonts w:hint="default" w:ascii="Times New Roman" w:hAnsi="Times New Roman" w:eastAsia="宋体" w:cs="Times New Roman"/>
          <w:color w:val="auto"/>
          <w:highlight w:val="none"/>
        </w:rPr>
        <w:t>所示。</w:t>
      </w:r>
    </w:p>
    <w:p w14:paraId="18976EB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0000"/>
          <w:highlight w:val="none"/>
          <w:lang w:eastAsia="zh-CN"/>
        </w:rPr>
      </w:pPr>
      <w:r>
        <w:rPr>
          <w:rFonts w:hint="default" w:ascii="Times New Roman" w:hAnsi="Times New Roman" w:eastAsia="宋体" w:cs="Times New Roman"/>
          <w:color w:val="FF0000"/>
          <w:highlight w:val="none"/>
        </w:rPr>
        <w:t>（1）根据《畜禽养殖业污染治理工程技术规范》（HJ497-2009）中规定，畜禽养殖业污染治理工程应与养殖场生产区、居民区等建筑保持一定的卫生防护距离，设置在畜禽养殖场的生产区、办公生活区主导风向的下风向或侧风向处。本项目距场区最近居民位于场区</w:t>
      </w:r>
      <w:r>
        <w:rPr>
          <w:rFonts w:hint="default" w:ascii="Times New Roman" w:hAnsi="Times New Roman" w:eastAsia="宋体" w:cs="Times New Roman"/>
          <w:color w:val="FF0000"/>
          <w:highlight w:val="none"/>
          <w:lang w:val="en-US" w:eastAsia="zh-CN"/>
        </w:rPr>
        <w:t>南</w:t>
      </w:r>
      <w:r>
        <w:rPr>
          <w:rFonts w:hint="default" w:ascii="Times New Roman" w:hAnsi="Times New Roman" w:eastAsia="宋体" w:cs="Times New Roman"/>
          <w:color w:val="FF0000"/>
          <w:highlight w:val="none"/>
        </w:rPr>
        <w:t>侧85m处，该地区年主导风向为SSE风，属于当地20年主导风向的侧风向</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rPr>
        <w:t>本工程养殖区、生活管理区相互分开，该地区年主导风向为SSE风，</w:t>
      </w:r>
      <w:r>
        <w:rPr>
          <w:rFonts w:hint="default" w:ascii="Times New Roman" w:hAnsi="Times New Roman" w:eastAsia="宋体" w:cs="Times New Roman"/>
          <w:color w:val="0000FF"/>
          <w:highlight w:val="none"/>
          <w:lang w:eastAsia="zh-CN"/>
        </w:rPr>
        <w:t>本项目粪污处理池位于养殖区及生活区西南侧，属于当地20年主导风向的侧风向</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lang w:val="en-US" w:eastAsia="zh-CN"/>
        </w:rPr>
        <w:t>因此</w:t>
      </w:r>
      <w:r>
        <w:rPr>
          <w:rFonts w:hint="default" w:ascii="Times New Roman" w:hAnsi="Times New Roman" w:eastAsia="宋体" w:cs="Times New Roman"/>
          <w:color w:val="FF0000"/>
          <w:highlight w:val="none"/>
        </w:rPr>
        <w:t>，</w:t>
      </w:r>
      <w:r>
        <w:rPr>
          <w:rFonts w:hint="default" w:ascii="Times New Roman" w:hAnsi="Times New Roman" w:eastAsia="宋体" w:cs="Times New Roman"/>
          <w:color w:val="FF0000"/>
          <w:highlight w:val="none"/>
          <w:lang w:val="en-US" w:eastAsia="zh-CN"/>
        </w:rPr>
        <w:t>均</w:t>
      </w:r>
      <w:r>
        <w:rPr>
          <w:rFonts w:hint="default" w:ascii="Times New Roman" w:hAnsi="Times New Roman" w:eastAsia="宋体" w:cs="Times New Roman"/>
          <w:color w:val="FF0000"/>
          <w:highlight w:val="none"/>
        </w:rPr>
        <w:t>符合《畜禽养殖业污染防治技术规范》（HJ/T81-2001）的规定</w:t>
      </w:r>
      <w:r>
        <w:rPr>
          <w:rFonts w:hint="default" w:ascii="Times New Roman" w:hAnsi="Times New Roman" w:eastAsia="宋体" w:cs="Times New Roman"/>
          <w:color w:val="FF0000"/>
          <w:highlight w:val="none"/>
          <w:lang w:eastAsia="zh-CN"/>
        </w:rPr>
        <w:t>。</w:t>
      </w:r>
    </w:p>
    <w:p w14:paraId="3EA0FFE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）本工程采用干清粪工艺，符合《畜禽养殖业污染防治技术规范》（HJ/T81-2001）的规定。</w:t>
      </w:r>
    </w:p>
    <w:p w14:paraId="02F052C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等采取防渗等措施，容积完全满足当地农作物生产用肥的最大间隔时间的养殖场所产生的粪便总量贮存要求，符合《畜禽养殖业污染防治技术规范》（HJ/T81-2001）的规定。</w:t>
      </w:r>
    </w:p>
    <w:p w14:paraId="2393BB2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eastAsia="zh-CN"/>
        </w:rPr>
        <w:t>养殖场</w:t>
      </w:r>
      <w:r>
        <w:rPr>
          <w:rFonts w:hint="default" w:ascii="Times New Roman" w:hAnsi="Times New Roman" w:eastAsia="宋体" w:cs="Times New Roman"/>
          <w:color w:val="auto"/>
          <w:highlight w:val="none"/>
        </w:rPr>
        <w:t>场址选择地势高燥、排水良好、空气流畅、非污染区域，并且避开城镇和村民居住区的水源地；地面应相对平坦，坡度不宜过大，背风向阳，未建在低凹、风口处，符合</w:t>
      </w:r>
      <w:r>
        <w:rPr>
          <w:rFonts w:hint="default" w:ascii="Times New Roman" w:hAnsi="Times New Roman" w:eastAsia="宋体" w:cs="Times New Roman"/>
          <w:color w:val="auto"/>
          <w:highlight w:val="none"/>
          <w:lang w:eastAsia="zh-CN"/>
        </w:rPr>
        <w:t>养殖</w:t>
      </w:r>
      <w:r>
        <w:rPr>
          <w:rFonts w:hint="default" w:ascii="Times New Roman" w:hAnsi="Times New Roman" w:eastAsia="宋体" w:cs="Times New Roman"/>
          <w:color w:val="auto"/>
          <w:highlight w:val="none"/>
        </w:rPr>
        <w:t>场的选址要求。</w:t>
      </w:r>
    </w:p>
    <w:p w14:paraId="2A5BB982">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）项目建成投产后，养殖</w:t>
      </w:r>
      <w:r>
        <w:rPr>
          <w:rFonts w:hint="default" w:ascii="Times New Roman" w:hAnsi="Times New Roman" w:eastAsia="宋体" w:cs="Times New Roman"/>
          <w:color w:val="auto"/>
          <w:highlight w:val="none"/>
          <w:lang w:eastAsia="zh-CN"/>
        </w:rPr>
        <w:t>场</w:t>
      </w:r>
      <w:r>
        <w:rPr>
          <w:rFonts w:hint="default" w:ascii="Times New Roman" w:hAnsi="Times New Roman" w:eastAsia="宋体" w:cs="Times New Roman"/>
          <w:color w:val="auto"/>
          <w:highlight w:val="none"/>
        </w:rPr>
        <w:t>废气经处理达标后外排</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对周边环境的影响较小，区域环境空气质量能满足《环境空气质量标准》（GB3095-2012）中二级标准要求。</w:t>
      </w:r>
    </w:p>
    <w:p w14:paraId="04A54D3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）项目周边主要为</w:t>
      </w:r>
      <w:r>
        <w:rPr>
          <w:rFonts w:hint="default" w:ascii="Times New Roman" w:hAnsi="Times New Roman" w:eastAsia="宋体" w:cs="Times New Roman"/>
          <w:color w:val="auto"/>
          <w:highlight w:val="none"/>
          <w:lang w:eastAsia="zh-CN"/>
        </w:rPr>
        <w:t>草地、耕地和设施农用地</w:t>
      </w:r>
      <w:r>
        <w:rPr>
          <w:rFonts w:hint="default" w:ascii="Times New Roman" w:hAnsi="Times New Roman" w:eastAsia="宋体" w:cs="Times New Roman"/>
          <w:color w:val="auto"/>
          <w:highlight w:val="none"/>
        </w:rPr>
        <w:t>，植被为自然植被，人口较少，项目产生的三废经处理后对周边环境影响较小。</w:t>
      </w:r>
    </w:p>
    <w:p w14:paraId="0861F8A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0000FF"/>
          <w:highlight w:val="none"/>
          <w:lang w:eastAsia="zh-CN"/>
        </w:rPr>
      </w:pPr>
      <w:r>
        <w:rPr>
          <w:rFonts w:hint="default" w:ascii="Times New Roman" w:hAnsi="Times New Roman" w:eastAsia="宋体" w:cs="Times New Roman"/>
          <w:color w:val="0000FF"/>
          <w:highlight w:val="none"/>
          <w:lang w:eastAsia="zh-CN"/>
        </w:rPr>
        <w:t>（</w:t>
      </w:r>
      <w:r>
        <w:rPr>
          <w:rFonts w:hint="default" w:ascii="Times New Roman" w:hAnsi="Times New Roman" w:eastAsia="宋体" w:cs="Times New Roman"/>
          <w:color w:val="0000FF"/>
          <w:highlight w:val="none"/>
          <w:lang w:val="en-US" w:eastAsia="zh-CN"/>
        </w:rPr>
        <w:t>7</w:t>
      </w:r>
      <w:r>
        <w:rPr>
          <w:rFonts w:hint="default" w:ascii="Times New Roman" w:hAnsi="Times New Roman" w:eastAsia="宋体" w:cs="Times New Roman"/>
          <w:color w:val="0000FF"/>
          <w:highlight w:val="none"/>
          <w:lang w:eastAsia="zh-CN"/>
        </w:rPr>
        <w:t>）危废暂存间</w:t>
      </w:r>
      <w:r>
        <w:rPr>
          <w:rFonts w:hint="default" w:ascii="Times New Roman" w:hAnsi="Times New Roman" w:eastAsia="宋体" w:cs="Times New Roman"/>
          <w:color w:val="0000FF"/>
          <w:highlight w:val="none"/>
        </w:rPr>
        <w:t>选址要求</w:t>
      </w:r>
      <w:r>
        <w:rPr>
          <w:rFonts w:hint="default" w:ascii="Times New Roman" w:hAnsi="Times New Roman" w:eastAsia="宋体" w:cs="Times New Roman"/>
          <w:color w:val="0000FF"/>
          <w:highlight w:val="none"/>
          <w:lang w:eastAsia="zh-CN"/>
        </w:rPr>
        <w:t>：</w:t>
      </w:r>
    </w:p>
    <w:p w14:paraId="15208053">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0000FF"/>
          <w:highlight w:val="none"/>
          <w:lang w:val="en-US"/>
        </w:rPr>
      </w:pPr>
      <w:r>
        <w:rPr>
          <w:rFonts w:hint="default" w:ascii="Times New Roman" w:hAnsi="Times New Roman" w:eastAsia="宋体" w:cs="Times New Roman"/>
          <w:b/>
          <w:bCs/>
          <w:color w:val="0000FF"/>
          <w:highlight w:val="none"/>
          <w:lang w:val="en-US" w:eastAsia="zh-CN"/>
        </w:rPr>
        <w:t>3.1-11</w:t>
      </w:r>
      <w:r>
        <w:rPr>
          <w:rFonts w:hint="default" w:ascii="Times New Roman" w:hAnsi="Times New Roman" w:eastAsia="宋体" w:cs="Times New Roman"/>
          <w:b/>
          <w:bCs/>
          <w:color w:val="0000FF"/>
          <w:highlight w:val="none"/>
        </w:rPr>
        <w:t>《危险废物贮存污染控制标准》</w:t>
      </w:r>
      <w:r>
        <w:rPr>
          <w:rFonts w:hint="default" w:ascii="Times New Roman" w:hAnsi="Times New Roman" w:eastAsia="宋体" w:cs="Times New Roman"/>
          <w:b/>
          <w:bCs/>
          <w:color w:val="0000FF"/>
          <w:highlight w:val="none"/>
          <w:lang w:eastAsia="zh-CN"/>
        </w:rPr>
        <w:t>（</w:t>
      </w:r>
      <w:r>
        <w:rPr>
          <w:rFonts w:hint="default" w:ascii="Times New Roman" w:hAnsi="Times New Roman" w:eastAsia="宋体" w:cs="Times New Roman"/>
          <w:b/>
          <w:bCs/>
          <w:color w:val="0000FF"/>
          <w:highlight w:val="none"/>
          <w:lang w:val="en-US" w:eastAsia="zh-CN"/>
        </w:rPr>
        <w:t>GB18597-2023</w:t>
      </w:r>
      <w:r>
        <w:rPr>
          <w:rFonts w:hint="default" w:ascii="Times New Roman" w:hAnsi="Times New Roman" w:eastAsia="宋体" w:cs="Times New Roman"/>
          <w:b/>
          <w:bCs/>
          <w:color w:val="0000FF"/>
          <w:highlight w:val="none"/>
          <w:lang w:eastAsia="zh-CN"/>
        </w:rPr>
        <w:t>）</w:t>
      </w:r>
      <w:r>
        <w:rPr>
          <w:rFonts w:hint="default" w:ascii="Times New Roman" w:hAnsi="Times New Roman" w:eastAsia="宋体" w:cs="Times New Roman"/>
          <w:b/>
          <w:bCs/>
          <w:color w:val="0000FF"/>
          <w:highlight w:val="none"/>
          <w:lang w:val="en-US" w:eastAsia="zh-CN"/>
        </w:rPr>
        <w:t>符合性分析一览表</w:t>
      </w:r>
    </w:p>
    <w:tbl>
      <w:tblPr>
        <w:tblStyle w:val="41"/>
        <w:tblW w:w="82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8"/>
        <w:gridCol w:w="3075"/>
        <w:gridCol w:w="3076"/>
        <w:gridCol w:w="1308"/>
      </w:tblGrid>
      <w:tr w14:paraId="76244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vAlign w:val="top"/>
          </w:tcPr>
          <w:p w14:paraId="6CAF3364">
            <w:pPr>
              <w:keepNext w:val="0"/>
              <w:keepLines w:val="0"/>
              <w:pageBreakBefore w:val="0"/>
              <w:widowControl w:val="0"/>
              <w:kinsoku/>
              <w:wordWrap/>
              <w:overflowPunct/>
              <w:topLinePunct/>
              <w:autoSpaceDE w:val="0"/>
              <w:autoSpaceDN/>
              <w:bidi w:val="0"/>
              <w:adjustRightInd/>
              <w:snapToGrid w:val="0"/>
              <w:spacing w:line="240" w:lineRule="auto"/>
              <w:ind w:right="0" w:rightChars="0" w:firstLine="0" w:firstLineChars="0"/>
              <w:jc w:val="center"/>
              <w:textAlignment w:val="auto"/>
              <w:rPr>
                <w:rFonts w:hint="default" w:ascii="Times New Roman" w:hAnsi="Times New Roman" w:eastAsia="宋体" w:cs="Times New Roman"/>
                <w:b/>
                <w:bCs/>
                <w:color w:val="0000FF"/>
                <w:sz w:val="21"/>
                <w:szCs w:val="21"/>
                <w:highlight w:val="none"/>
                <w:vertAlign w:val="baseline"/>
                <w:lang w:val="en-US" w:eastAsia="zh-CN"/>
              </w:rPr>
            </w:pPr>
            <w:r>
              <w:rPr>
                <w:rFonts w:hint="default" w:ascii="Times New Roman" w:hAnsi="Times New Roman" w:eastAsia="宋体" w:cs="Times New Roman"/>
                <w:b/>
                <w:bCs/>
                <w:color w:val="0000FF"/>
                <w:sz w:val="21"/>
                <w:szCs w:val="21"/>
                <w:highlight w:val="none"/>
                <w:vertAlign w:val="baseline"/>
                <w:lang w:val="en-US" w:eastAsia="zh-CN"/>
              </w:rPr>
              <w:t>序号</w:t>
            </w:r>
          </w:p>
        </w:tc>
        <w:tc>
          <w:tcPr>
            <w:tcW w:w="2130" w:type="dxa"/>
            <w:vAlign w:val="top"/>
          </w:tcPr>
          <w:p w14:paraId="553716CA">
            <w:pPr>
              <w:keepNext w:val="0"/>
              <w:keepLines w:val="0"/>
              <w:pageBreakBefore w:val="0"/>
              <w:widowControl w:val="0"/>
              <w:kinsoku/>
              <w:wordWrap/>
              <w:overflowPunct/>
              <w:topLinePunct/>
              <w:autoSpaceDE w:val="0"/>
              <w:autoSpaceDN/>
              <w:bidi w:val="0"/>
              <w:adjustRightInd/>
              <w:snapToGrid w:val="0"/>
              <w:spacing w:line="240" w:lineRule="auto"/>
              <w:ind w:right="0" w:rightChars="0" w:firstLine="0" w:firstLineChars="0"/>
              <w:jc w:val="center"/>
              <w:textAlignment w:val="auto"/>
              <w:rPr>
                <w:rFonts w:hint="default" w:ascii="Times New Roman" w:hAnsi="Times New Roman" w:eastAsia="宋体" w:cs="Times New Roman"/>
                <w:b/>
                <w:bCs/>
                <w:color w:val="0000FF"/>
                <w:sz w:val="21"/>
                <w:szCs w:val="21"/>
                <w:highlight w:val="none"/>
                <w:vertAlign w:val="baseline"/>
                <w:lang w:val="en-US" w:eastAsia="zh-CN"/>
              </w:rPr>
            </w:pPr>
            <w:r>
              <w:rPr>
                <w:rFonts w:hint="default" w:ascii="Times New Roman" w:hAnsi="Times New Roman" w:eastAsia="宋体" w:cs="Times New Roman"/>
                <w:b/>
                <w:bCs/>
                <w:color w:val="0000FF"/>
                <w:sz w:val="21"/>
                <w:szCs w:val="21"/>
                <w:highlight w:val="none"/>
                <w:vertAlign w:val="baseline"/>
                <w:lang w:val="en-US" w:eastAsia="zh-CN"/>
              </w:rPr>
              <w:t>规范要求</w:t>
            </w:r>
          </w:p>
        </w:tc>
        <w:tc>
          <w:tcPr>
            <w:tcW w:w="2131" w:type="dxa"/>
            <w:vAlign w:val="top"/>
          </w:tcPr>
          <w:p w14:paraId="5DEEEA02">
            <w:pPr>
              <w:keepNext w:val="0"/>
              <w:keepLines w:val="0"/>
              <w:pageBreakBefore w:val="0"/>
              <w:widowControl w:val="0"/>
              <w:kinsoku/>
              <w:wordWrap/>
              <w:overflowPunct/>
              <w:topLinePunct/>
              <w:autoSpaceDE w:val="0"/>
              <w:autoSpaceDN/>
              <w:bidi w:val="0"/>
              <w:adjustRightInd/>
              <w:snapToGrid w:val="0"/>
              <w:spacing w:line="240" w:lineRule="auto"/>
              <w:ind w:right="0" w:rightChars="0" w:firstLine="0" w:firstLineChars="0"/>
              <w:jc w:val="center"/>
              <w:textAlignment w:val="auto"/>
              <w:rPr>
                <w:rFonts w:hint="default" w:ascii="Times New Roman" w:hAnsi="Times New Roman" w:eastAsia="宋体" w:cs="Times New Roman"/>
                <w:b/>
                <w:bCs/>
                <w:color w:val="0000FF"/>
                <w:sz w:val="21"/>
                <w:szCs w:val="21"/>
                <w:highlight w:val="none"/>
                <w:vertAlign w:val="baseline"/>
                <w:lang w:val="en-US" w:eastAsia="zh-CN"/>
              </w:rPr>
            </w:pPr>
            <w:r>
              <w:rPr>
                <w:rFonts w:hint="default" w:ascii="Times New Roman" w:hAnsi="Times New Roman" w:eastAsia="宋体" w:cs="Times New Roman"/>
                <w:b/>
                <w:bCs/>
                <w:color w:val="0000FF"/>
                <w:sz w:val="21"/>
                <w:szCs w:val="21"/>
                <w:highlight w:val="none"/>
                <w:vertAlign w:val="baseline"/>
                <w:lang w:val="en-US" w:eastAsia="zh-CN"/>
              </w:rPr>
              <w:t>本项目建设情况</w:t>
            </w:r>
          </w:p>
        </w:tc>
        <w:tc>
          <w:tcPr>
            <w:tcW w:w="567" w:type="dxa"/>
            <w:vAlign w:val="top"/>
          </w:tcPr>
          <w:p w14:paraId="1F3D2224">
            <w:pPr>
              <w:keepNext w:val="0"/>
              <w:keepLines w:val="0"/>
              <w:pageBreakBefore w:val="0"/>
              <w:widowControl w:val="0"/>
              <w:kinsoku/>
              <w:wordWrap/>
              <w:overflowPunct/>
              <w:topLinePunct/>
              <w:autoSpaceDE w:val="0"/>
              <w:autoSpaceDN/>
              <w:bidi w:val="0"/>
              <w:adjustRightInd/>
              <w:snapToGrid w:val="0"/>
              <w:spacing w:line="240" w:lineRule="auto"/>
              <w:ind w:right="0" w:rightChars="0" w:firstLine="0" w:firstLineChars="0"/>
              <w:jc w:val="center"/>
              <w:textAlignment w:val="auto"/>
              <w:rPr>
                <w:rFonts w:hint="default" w:ascii="Times New Roman" w:hAnsi="Times New Roman" w:eastAsia="宋体" w:cs="Times New Roman"/>
                <w:b/>
                <w:bCs/>
                <w:color w:val="0000FF"/>
                <w:sz w:val="21"/>
                <w:szCs w:val="21"/>
                <w:highlight w:val="none"/>
                <w:vertAlign w:val="baseline"/>
                <w:lang w:val="en-US" w:eastAsia="zh-CN"/>
              </w:rPr>
            </w:pPr>
            <w:r>
              <w:rPr>
                <w:rFonts w:hint="default" w:ascii="Times New Roman" w:hAnsi="Times New Roman" w:eastAsia="宋体" w:cs="Times New Roman"/>
                <w:b/>
                <w:bCs/>
                <w:color w:val="0000FF"/>
                <w:sz w:val="21"/>
                <w:szCs w:val="21"/>
                <w:highlight w:val="none"/>
                <w:vertAlign w:val="baseline"/>
                <w:lang w:val="en-US" w:eastAsia="zh-CN"/>
              </w:rPr>
              <w:t>符合性</w:t>
            </w:r>
          </w:p>
        </w:tc>
      </w:tr>
      <w:tr w14:paraId="137EE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vAlign w:val="top"/>
          </w:tcPr>
          <w:p w14:paraId="4E9B95BB">
            <w:pPr>
              <w:keepNext w:val="0"/>
              <w:keepLines w:val="0"/>
              <w:pageBreakBefore w:val="0"/>
              <w:widowControl w:val="0"/>
              <w:kinsoku/>
              <w:wordWrap/>
              <w:overflowPunct/>
              <w:topLinePunct/>
              <w:autoSpaceDE w:val="0"/>
              <w:autoSpaceDN/>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r>
              <w:rPr>
                <w:rFonts w:hint="default" w:ascii="Times New Roman" w:hAnsi="Times New Roman" w:eastAsia="宋体" w:cs="Times New Roman"/>
                <w:color w:val="0000FF"/>
                <w:sz w:val="21"/>
                <w:szCs w:val="21"/>
                <w:highlight w:val="none"/>
                <w:vertAlign w:val="baseline"/>
                <w:lang w:val="en-US" w:eastAsia="zh-CN"/>
              </w:rPr>
              <w:t>1</w:t>
            </w:r>
          </w:p>
        </w:tc>
        <w:tc>
          <w:tcPr>
            <w:tcW w:w="2130" w:type="dxa"/>
            <w:vAlign w:val="top"/>
          </w:tcPr>
          <w:p w14:paraId="74A6C59F">
            <w:pPr>
              <w:keepNext w:val="0"/>
              <w:keepLines w:val="0"/>
              <w:pageBreakBefore w:val="0"/>
              <w:widowControl w:val="0"/>
              <w:kinsoku/>
              <w:wordWrap/>
              <w:overflowPunct/>
              <w:topLinePunct/>
              <w:autoSpaceDE w:val="0"/>
              <w:autoSpaceDN/>
              <w:bidi w:val="0"/>
              <w:adjustRightInd/>
              <w:snapToGrid w:val="0"/>
              <w:spacing w:line="240" w:lineRule="auto"/>
              <w:ind w:right="0" w:rightChars="0"/>
              <w:textAlignment w:val="auto"/>
              <w:rPr>
                <w:rFonts w:hint="default" w:ascii="Times New Roman" w:hAnsi="Times New Roman" w:eastAsia="宋体" w:cs="Times New Roman"/>
                <w:color w:val="0000FF"/>
                <w:sz w:val="21"/>
                <w:szCs w:val="21"/>
                <w:highlight w:val="none"/>
                <w:vertAlign w:val="baseline"/>
              </w:rPr>
            </w:pPr>
            <w:r>
              <w:rPr>
                <w:rFonts w:hint="default" w:ascii="Times New Roman" w:hAnsi="Times New Roman" w:eastAsia="宋体" w:cs="Times New Roman"/>
                <w:color w:val="0000FF"/>
                <w:sz w:val="21"/>
                <w:szCs w:val="21"/>
                <w:highlight w:val="none"/>
              </w:rPr>
              <w:t>贮存设施选址应满足生态环境保护法律法规、规划和“三线一单”生态环境分区管控的要求，建设项目应依法进行环境影响评价。</w:t>
            </w:r>
          </w:p>
        </w:tc>
        <w:tc>
          <w:tcPr>
            <w:tcW w:w="2131" w:type="dxa"/>
            <w:vAlign w:val="top"/>
          </w:tcPr>
          <w:p w14:paraId="2FE290DE">
            <w:pPr>
              <w:keepNext w:val="0"/>
              <w:keepLines w:val="0"/>
              <w:pageBreakBefore w:val="0"/>
              <w:widowControl w:val="0"/>
              <w:kinsoku/>
              <w:wordWrap/>
              <w:overflowPunct/>
              <w:topLinePunct/>
              <w:autoSpaceDE w:val="0"/>
              <w:autoSpaceDN/>
              <w:bidi w:val="0"/>
              <w:adjustRightInd/>
              <w:snapToGrid w:val="0"/>
              <w:spacing w:line="240" w:lineRule="auto"/>
              <w:ind w:right="0" w:rightChars="0"/>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本项目目前进行环境影响评价。根据环境影响评价分析，本项目满足生态环境保护法律法规、规划和“三线一单”生态环境分区管控的要求</w:t>
            </w:r>
          </w:p>
        </w:tc>
        <w:tc>
          <w:tcPr>
            <w:tcW w:w="567" w:type="dxa"/>
            <w:vAlign w:val="top"/>
          </w:tcPr>
          <w:p w14:paraId="6AAF8FEA">
            <w:pPr>
              <w:keepNext w:val="0"/>
              <w:keepLines w:val="0"/>
              <w:pageBreakBefore w:val="0"/>
              <w:widowControl w:val="0"/>
              <w:kinsoku/>
              <w:wordWrap/>
              <w:overflowPunct/>
              <w:topLinePunct/>
              <w:autoSpaceDE w:val="0"/>
              <w:autoSpaceDN/>
              <w:bidi w:val="0"/>
              <w:adjustRightInd/>
              <w:snapToGrid w:val="0"/>
              <w:spacing w:line="240" w:lineRule="auto"/>
              <w:ind w:right="0" w:rightChars="0"/>
              <w:textAlignment w:val="auto"/>
              <w:rPr>
                <w:rFonts w:hint="default" w:ascii="Times New Roman" w:hAnsi="Times New Roman" w:eastAsia="宋体" w:cs="Times New Roman"/>
                <w:color w:val="0000FF"/>
                <w:sz w:val="21"/>
                <w:szCs w:val="21"/>
                <w:highlight w:val="none"/>
                <w:vertAlign w:val="baseline"/>
                <w:lang w:val="en-US" w:eastAsia="zh-CN"/>
              </w:rPr>
            </w:pPr>
            <w:r>
              <w:rPr>
                <w:rFonts w:hint="default" w:ascii="Times New Roman" w:hAnsi="Times New Roman" w:eastAsia="宋体" w:cs="Times New Roman"/>
                <w:color w:val="0000FF"/>
                <w:sz w:val="21"/>
                <w:szCs w:val="21"/>
                <w:highlight w:val="none"/>
                <w:vertAlign w:val="baseline"/>
                <w:lang w:val="en-US" w:eastAsia="zh-CN"/>
              </w:rPr>
              <w:t>符合</w:t>
            </w:r>
          </w:p>
        </w:tc>
      </w:tr>
      <w:tr w14:paraId="048BF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vAlign w:val="top"/>
          </w:tcPr>
          <w:p w14:paraId="40BA1064">
            <w:pPr>
              <w:keepNext w:val="0"/>
              <w:keepLines w:val="0"/>
              <w:pageBreakBefore w:val="0"/>
              <w:widowControl w:val="0"/>
              <w:kinsoku/>
              <w:wordWrap/>
              <w:overflowPunct/>
              <w:topLinePunct/>
              <w:autoSpaceDE w:val="0"/>
              <w:autoSpaceDN/>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r>
              <w:rPr>
                <w:rFonts w:hint="default" w:ascii="Times New Roman" w:hAnsi="Times New Roman" w:eastAsia="宋体" w:cs="Times New Roman"/>
                <w:color w:val="0000FF"/>
                <w:sz w:val="21"/>
                <w:szCs w:val="21"/>
                <w:highlight w:val="none"/>
                <w:vertAlign w:val="baseline"/>
                <w:lang w:val="en-US" w:eastAsia="zh-CN"/>
              </w:rPr>
              <w:t>2</w:t>
            </w:r>
          </w:p>
        </w:tc>
        <w:tc>
          <w:tcPr>
            <w:tcW w:w="2130" w:type="dxa"/>
            <w:vAlign w:val="top"/>
          </w:tcPr>
          <w:p w14:paraId="319E0706">
            <w:pPr>
              <w:keepNext w:val="0"/>
              <w:keepLines w:val="0"/>
              <w:pageBreakBefore w:val="0"/>
              <w:widowControl w:val="0"/>
              <w:kinsoku/>
              <w:wordWrap/>
              <w:overflowPunct/>
              <w:topLinePunct/>
              <w:autoSpaceDE w:val="0"/>
              <w:autoSpaceDN/>
              <w:bidi w:val="0"/>
              <w:adjustRightInd/>
              <w:snapToGrid w:val="0"/>
              <w:spacing w:line="240" w:lineRule="auto"/>
              <w:ind w:right="0" w:rightChars="0"/>
              <w:textAlignment w:val="auto"/>
              <w:rPr>
                <w:rFonts w:hint="default" w:ascii="Times New Roman" w:hAnsi="Times New Roman" w:eastAsia="宋体" w:cs="Times New Roman"/>
                <w:color w:val="0000FF"/>
                <w:sz w:val="21"/>
                <w:szCs w:val="21"/>
                <w:highlight w:val="none"/>
                <w:vertAlign w:val="baseline"/>
              </w:rPr>
            </w:pPr>
            <w:r>
              <w:rPr>
                <w:rFonts w:hint="default" w:ascii="Times New Roman" w:hAnsi="Times New Roman" w:eastAsia="宋体" w:cs="Times New Roman"/>
                <w:color w:val="0000FF"/>
                <w:sz w:val="21"/>
                <w:szCs w:val="21"/>
                <w:highlight w:val="none"/>
              </w:rPr>
              <w:t>集中贮存设施不应选在生态保护红线区域、永久基本农田和其他需要特别保护的区域内，不应建在溶洞区或易遭受洪水、滑坡、泥石流、潮汐等严重自然灾害影响的地区。</w:t>
            </w:r>
          </w:p>
        </w:tc>
        <w:tc>
          <w:tcPr>
            <w:tcW w:w="2131" w:type="dxa"/>
            <w:vAlign w:val="top"/>
          </w:tcPr>
          <w:p w14:paraId="4FF9A430">
            <w:pPr>
              <w:keepNext w:val="0"/>
              <w:keepLines w:val="0"/>
              <w:pageBreakBefore w:val="0"/>
              <w:widowControl w:val="0"/>
              <w:kinsoku/>
              <w:wordWrap/>
              <w:overflowPunct/>
              <w:topLinePunct/>
              <w:autoSpaceDE w:val="0"/>
              <w:autoSpaceDN/>
              <w:bidi w:val="0"/>
              <w:adjustRightInd/>
              <w:snapToGrid w:val="0"/>
              <w:spacing w:line="240" w:lineRule="auto"/>
              <w:ind w:right="0" w:rightChars="0"/>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本项目新建危废库不处于生态保护红线区域、永久基本农田和其他需要特别保护的区域内，不处于溶洞区或易遭受洪水、滑坡、泥石流、潮汐等严重自然灾害影响的地区</w:t>
            </w:r>
          </w:p>
        </w:tc>
        <w:tc>
          <w:tcPr>
            <w:tcW w:w="567" w:type="dxa"/>
            <w:vAlign w:val="top"/>
          </w:tcPr>
          <w:p w14:paraId="1AF5C153">
            <w:pPr>
              <w:keepNext w:val="0"/>
              <w:keepLines w:val="0"/>
              <w:pageBreakBefore w:val="0"/>
              <w:widowControl w:val="0"/>
              <w:kinsoku/>
              <w:wordWrap/>
              <w:overflowPunct/>
              <w:topLinePunct/>
              <w:autoSpaceDE w:val="0"/>
              <w:autoSpaceDN/>
              <w:bidi w:val="0"/>
              <w:adjustRightInd/>
              <w:snapToGrid w:val="0"/>
              <w:spacing w:line="240" w:lineRule="auto"/>
              <w:ind w:right="0" w:rightChars="0"/>
              <w:textAlignment w:val="auto"/>
              <w:rPr>
                <w:rFonts w:hint="default" w:ascii="Times New Roman" w:hAnsi="Times New Roman" w:eastAsia="宋体" w:cs="Times New Roman"/>
                <w:color w:val="0000FF"/>
                <w:sz w:val="21"/>
                <w:szCs w:val="21"/>
                <w:highlight w:val="none"/>
                <w:vertAlign w:val="baseline"/>
              </w:rPr>
            </w:pPr>
            <w:r>
              <w:rPr>
                <w:rFonts w:hint="default" w:ascii="Times New Roman" w:hAnsi="Times New Roman" w:eastAsia="宋体" w:cs="Times New Roman"/>
                <w:color w:val="0000FF"/>
                <w:sz w:val="21"/>
                <w:szCs w:val="21"/>
                <w:highlight w:val="none"/>
                <w:vertAlign w:val="baseline"/>
                <w:lang w:val="en-US" w:eastAsia="zh-CN"/>
              </w:rPr>
              <w:t>符合</w:t>
            </w:r>
          </w:p>
        </w:tc>
      </w:tr>
      <w:tr w14:paraId="2338C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vAlign w:val="top"/>
          </w:tcPr>
          <w:p w14:paraId="39640450">
            <w:pPr>
              <w:keepNext w:val="0"/>
              <w:keepLines w:val="0"/>
              <w:pageBreakBefore w:val="0"/>
              <w:widowControl w:val="0"/>
              <w:kinsoku/>
              <w:wordWrap/>
              <w:overflowPunct/>
              <w:topLinePunct/>
              <w:autoSpaceDE w:val="0"/>
              <w:autoSpaceDN/>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r>
              <w:rPr>
                <w:rFonts w:hint="default" w:ascii="Times New Roman" w:hAnsi="Times New Roman" w:eastAsia="宋体" w:cs="Times New Roman"/>
                <w:color w:val="0000FF"/>
                <w:sz w:val="21"/>
                <w:szCs w:val="21"/>
                <w:highlight w:val="none"/>
                <w:vertAlign w:val="baseline"/>
                <w:lang w:val="en-US" w:eastAsia="zh-CN"/>
              </w:rPr>
              <w:t>3</w:t>
            </w:r>
          </w:p>
        </w:tc>
        <w:tc>
          <w:tcPr>
            <w:tcW w:w="2130" w:type="dxa"/>
            <w:vAlign w:val="top"/>
          </w:tcPr>
          <w:p w14:paraId="163EAAF5">
            <w:pPr>
              <w:keepNext w:val="0"/>
              <w:keepLines w:val="0"/>
              <w:pageBreakBefore w:val="0"/>
              <w:widowControl w:val="0"/>
              <w:kinsoku/>
              <w:wordWrap/>
              <w:overflowPunct/>
              <w:topLinePunct/>
              <w:autoSpaceDE w:val="0"/>
              <w:autoSpaceDN/>
              <w:bidi w:val="0"/>
              <w:adjustRightInd/>
              <w:snapToGrid w:val="0"/>
              <w:spacing w:line="240" w:lineRule="auto"/>
              <w:ind w:right="0" w:rightChars="0"/>
              <w:textAlignment w:val="auto"/>
              <w:rPr>
                <w:rFonts w:hint="default" w:ascii="Times New Roman" w:hAnsi="Times New Roman" w:eastAsia="宋体" w:cs="Times New Roman"/>
                <w:color w:val="0000FF"/>
                <w:sz w:val="21"/>
                <w:szCs w:val="21"/>
                <w:highlight w:val="none"/>
                <w:vertAlign w:val="baseline"/>
              </w:rPr>
            </w:pPr>
            <w:r>
              <w:rPr>
                <w:rFonts w:hint="default" w:ascii="Times New Roman" w:hAnsi="Times New Roman" w:eastAsia="宋体" w:cs="Times New Roman"/>
                <w:color w:val="0000FF"/>
                <w:sz w:val="21"/>
                <w:szCs w:val="21"/>
                <w:highlight w:val="none"/>
              </w:rPr>
              <w:t>贮存设施不应选在江河、湖泊、运河、渠道、水库及其最高水位线以下的滩地和岸坡，以及法律法规规定禁止贮存危险废物的其他地点。</w:t>
            </w:r>
          </w:p>
        </w:tc>
        <w:tc>
          <w:tcPr>
            <w:tcW w:w="2131" w:type="dxa"/>
            <w:vAlign w:val="top"/>
          </w:tcPr>
          <w:p w14:paraId="6E72B53B">
            <w:pPr>
              <w:keepNext w:val="0"/>
              <w:keepLines w:val="0"/>
              <w:pageBreakBefore w:val="0"/>
              <w:widowControl w:val="0"/>
              <w:kinsoku/>
              <w:wordWrap/>
              <w:overflowPunct/>
              <w:topLinePunct/>
              <w:autoSpaceDE w:val="0"/>
              <w:autoSpaceDN/>
              <w:bidi w:val="0"/>
              <w:adjustRightInd/>
              <w:snapToGrid w:val="0"/>
              <w:spacing w:line="240" w:lineRule="auto"/>
              <w:ind w:right="0" w:rightChars="0"/>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本项目新建危废库不处于江河、湖泊、运河、渠道、水库及其最高水位线以下的滩地和岸坡，以及法律法规规定禁止贮存危险废物的其他地点</w:t>
            </w:r>
          </w:p>
        </w:tc>
        <w:tc>
          <w:tcPr>
            <w:tcW w:w="567" w:type="dxa"/>
            <w:vAlign w:val="top"/>
          </w:tcPr>
          <w:p w14:paraId="0164794E">
            <w:pPr>
              <w:keepNext w:val="0"/>
              <w:keepLines w:val="0"/>
              <w:pageBreakBefore w:val="0"/>
              <w:widowControl w:val="0"/>
              <w:kinsoku/>
              <w:wordWrap/>
              <w:overflowPunct/>
              <w:topLinePunct/>
              <w:autoSpaceDE w:val="0"/>
              <w:autoSpaceDN/>
              <w:bidi w:val="0"/>
              <w:adjustRightInd/>
              <w:snapToGrid w:val="0"/>
              <w:spacing w:line="240" w:lineRule="auto"/>
              <w:ind w:right="0" w:rightChars="0"/>
              <w:textAlignment w:val="auto"/>
              <w:rPr>
                <w:rFonts w:hint="default" w:ascii="Times New Roman" w:hAnsi="Times New Roman" w:eastAsia="宋体" w:cs="Times New Roman"/>
                <w:color w:val="0000FF"/>
                <w:sz w:val="21"/>
                <w:szCs w:val="21"/>
                <w:highlight w:val="none"/>
                <w:vertAlign w:val="baseline"/>
              </w:rPr>
            </w:pPr>
            <w:r>
              <w:rPr>
                <w:rFonts w:hint="default" w:ascii="Times New Roman" w:hAnsi="Times New Roman" w:eastAsia="宋体" w:cs="Times New Roman"/>
                <w:color w:val="0000FF"/>
                <w:sz w:val="21"/>
                <w:szCs w:val="21"/>
                <w:highlight w:val="none"/>
                <w:vertAlign w:val="baseline"/>
                <w:lang w:val="en-US" w:eastAsia="zh-CN"/>
              </w:rPr>
              <w:t>符合</w:t>
            </w:r>
          </w:p>
        </w:tc>
      </w:tr>
      <w:tr w14:paraId="108A8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vAlign w:val="top"/>
          </w:tcPr>
          <w:p w14:paraId="2D4CF78E">
            <w:pPr>
              <w:keepNext w:val="0"/>
              <w:keepLines w:val="0"/>
              <w:pageBreakBefore w:val="0"/>
              <w:widowControl w:val="0"/>
              <w:kinsoku/>
              <w:wordWrap/>
              <w:overflowPunct/>
              <w:topLinePunct/>
              <w:autoSpaceDE w:val="0"/>
              <w:autoSpaceDN/>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r>
              <w:rPr>
                <w:rFonts w:hint="default" w:ascii="Times New Roman" w:hAnsi="Times New Roman" w:eastAsia="宋体" w:cs="Times New Roman"/>
                <w:color w:val="0000FF"/>
                <w:sz w:val="21"/>
                <w:szCs w:val="21"/>
                <w:highlight w:val="none"/>
                <w:vertAlign w:val="baseline"/>
                <w:lang w:val="en-US" w:eastAsia="zh-CN"/>
              </w:rPr>
              <w:t>4</w:t>
            </w:r>
          </w:p>
        </w:tc>
        <w:tc>
          <w:tcPr>
            <w:tcW w:w="2130" w:type="dxa"/>
            <w:vAlign w:val="top"/>
          </w:tcPr>
          <w:p w14:paraId="0F9AF0B2">
            <w:pPr>
              <w:keepNext w:val="0"/>
              <w:keepLines w:val="0"/>
              <w:pageBreakBefore w:val="0"/>
              <w:widowControl w:val="0"/>
              <w:kinsoku/>
              <w:wordWrap/>
              <w:overflowPunct/>
              <w:topLinePunct/>
              <w:autoSpaceDE w:val="0"/>
              <w:autoSpaceDN/>
              <w:bidi w:val="0"/>
              <w:adjustRightInd/>
              <w:snapToGrid w:val="0"/>
              <w:spacing w:line="240" w:lineRule="auto"/>
              <w:ind w:right="0" w:rightChars="0"/>
              <w:textAlignment w:val="auto"/>
              <w:rPr>
                <w:rFonts w:hint="default" w:ascii="Times New Roman" w:hAnsi="Times New Roman" w:eastAsia="宋体" w:cs="Times New Roman"/>
                <w:color w:val="0000FF"/>
                <w:sz w:val="21"/>
                <w:szCs w:val="21"/>
                <w:highlight w:val="none"/>
                <w:vertAlign w:val="baseline"/>
              </w:rPr>
            </w:pPr>
            <w:r>
              <w:rPr>
                <w:rFonts w:hint="default" w:ascii="Times New Roman" w:hAnsi="Times New Roman" w:eastAsia="宋体" w:cs="Times New Roman"/>
                <w:color w:val="0000FF"/>
                <w:sz w:val="21"/>
                <w:szCs w:val="21"/>
                <w:highlight w:val="none"/>
              </w:rPr>
              <w:t>贮存设施场址的位置以及其与周围环境敏感目标的距离应依据环境影响评价文件确定。</w:t>
            </w:r>
          </w:p>
        </w:tc>
        <w:tc>
          <w:tcPr>
            <w:tcW w:w="2131" w:type="dxa"/>
            <w:vAlign w:val="top"/>
          </w:tcPr>
          <w:p w14:paraId="6E5DF46A">
            <w:pPr>
              <w:keepNext w:val="0"/>
              <w:keepLines w:val="0"/>
              <w:pageBreakBefore w:val="0"/>
              <w:widowControl w:val="0"/>
              <w:kinsoku/>
              <w:wordWrap/>
              <w:overflowPunct/>
              <w:topLinePunct/>
              <w:autoSpaceDE w:val="0"/>
              <w:autoSpaceDN/>
              <w:bidi w:val="0"/>
              <w:adjustRightInd/>
              <w:snapToGrid w:val="0"/>
              <w:spacing w:line="240" w:lineRule="auto"/>
              <w:ind w:right="0" w:rightChars="0"/>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根据环境影响评价文件核实，本项目最近的敏感点为危废间南侧291m处的公巨成村</w:t>
            </w:r>
          </w:p>
        </w:tc>
        <w:tc>
          <w:tcPr>
            <w:tcW w:w="567" w:type="dxa"/>
            <w:vAlign w:val="top"/>
          </w:tcPr>
          <w:p w14:paraId="08570329">
            <w:pPr>
              <w:keepNext w:val="0"/>
              <w:keepLines w:val="0"/>
              <w:pageBreakBefore w:val="0"/>
              <w:widowControl w:val="0"/>
              <w:kinsoku/>
              <w:wordWrap/>
              <w:overflowPunct/>
              <w:topLinePunct/>
              <w:autoSpaceDE w:val="0"/>
              <w:autoSpaceDN/>
              <w:bidi w:val="0"/>
              <w:adjustRightInd/>
              <w:snapToGrid w:val="0"/>
              <w:spacing w:line="240" w:lineRule="auto"/>
              <w:ind w:right="0" w:rightChars="0"/>
              <w:textAlignment w:val="auto"/>
              <w:rPr>
                <w:rFonts w:hint="default" w:ascii="Times New Roman" w:hAnsi="Times New Roman" w:eastAsia="宋体" w:cs="Times New Roman"/>
                <w:color w:val="0000FF"/>
                <w:sz w:val="21"/>
                <w:szCs w:val="21"/>
                <w:highlight w:val="none"/>
                <w:vertAlign w:val="baseline"/>
              </w:rPr>
            </w:pPr>
            <w:r>
              <w:rPr>
                <w:rFonts w:hint="default" w:ascii="Times New Roman" w:hAnsi="Times New Roman" w:eastAsia="宋体" w:cs="Times New Roman"/>
                <w:color w:val="0000FF"/>
                <w:sz w:val="21"/>
                <w:szCs w:val="21"/>
                <w:highlight w:val="none"/>
                <w:vertAlign w:val="baseline"/>
                <w:lang w:val="en-US" w:eastAsia="zh-CN"/>
              </w:rPr>
              <w:t>符合</w:t>
            </w:r>
          </w:p>
        </w:tc>
      </w:tr>
    </w:tbl>
    <w:p w14:paraId="7578F0C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综上所述，本工程总平面布置充分利用现有地势，按照功能和工艺流程，总体上按由</w:t>
      </w:r>
      <w:r>
        <w:rPr>
          <w:rFonts w:hint="default" w:ascii="Times New Roman" w:hAnsi="Times New Roman" w:eastAsia="宋体" w:cs="Times New Roman"/>
          <w:color w:val="auto"/>
          <w:highlight w:val="none"/>
          <w:lang w:eastAsia="zh-CN"/>
        </w:rPr>
        <w:t>东</w:t>
      </w:r>
      <w:r>
        <w:rPr>
          <w:rFonts w:hint="default" w:ascii="Times New Roman" w:hAnsi="Times New Roman" w:eastAsia="宋体" w:cs="Times New Roman"/>
          <w:color w:val="auto"/>
          <w:highlight w:val="none"/>
        </w:rPr>
        <w:t>往</w:t>
      </w:r>
      <w:r>
        <w:rPr>
          <w:rFonts w:hint="default" w:ascii="Times New Roman" w:hAnsi="Times New Roman" w:eastAsia="宋体" w:cs="Times New Roman"/>
          <w:color w:val="auto"/>
          <w:highlight w:val="none"/>
          <w:lang w:eastAsia="zh-CN"/>
        </w:rPr>
        <w:t>西</w:t>
      </w:r>
      <w:r>
        <w:rPr>
          <w:rFonts w:hint="default" w:ascii="Times New Roman" w:hAnsi="Times New Roman" w:eastAsia="宋体" w:cs="Times New Roman"/>
          <w:color w:val="auto"/>
          <w:highlight w:val="none"/>
        </w:rPr>
        <w:t>方向布置，生活区和养殖区分开，并用绿化树木和草地建立隔离带，</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位于场地</w:t>
      </w:r>
      <w:r>
        <w:rPr>
          <w:rFonts w:hint="default" w:ascii="Times New Roman" w:hAnsi="Times New Roman" w:eastAsia="宋体" w:cs="Times New Roman"/>
          <w:color w:val="auto"/>
          <w:highlight w:val="none"/>
          <w:lang w:val="en-US" w:eastAsia="zh-CN"/>
        </w:rPr>
        <w:t>西</w:t>
      </w:r>
      <w:r>
        <w:rPr>
          <w:rFonts w:hint="default" w:ascii="Times New Roman" w:hAnsi="Times New Roman" w:eastAsia="宋体" w:cs="Times New Roman"/>
          <w:color w:val="auto"/>
          <w:highlight w:val="none"/>
          <w:lang w:eastAsia="zh-CN"/>
        </w:rPr>
        <w:t>南侧。</w:t>
      </w:r>
      <w:r>
        <w:rPr>
          <w:rFonts w:hint="default" w:ascii="Times New Roman" w:hAnsi="Times New Roman" w:eastAsia="宋体" w:cs="Times New Roman"/>
          <w:color w:val="auto"/>
          <w:highlight w:val="none"/>
        </w:rPr>
        <w:t>场内道路和各种运输管线闭合成环线，规划合理，饲养道和运粪道不交叉。从整体布局和环境影响上看，工程总平面布置较合理</w:t>
      </w:r>
      <w:r>
        <w:rPr>
          <w:rFonts w:hint="default" w:ascii="Times New Roman" w:hAnsi="Times New Roman" w:eastAsia="宋体" w:cs="Times New Roman"/>
          <w:color w:val="auto"/>
          <w:highlight w:val="none"/>
          <w:lang w:eastAsia="zh-CN"/>
        </w:rPr>
        <w:t>。</w:t>
      </w:r>
    </w:p>
    <w:p w14:paraId="16FD051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p>
    <w:p w14:paraId="7458337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p>
    <w:p w14:paraId="09B26F7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p>
    <w:p w14:paraId="543A9EC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sectPr>
          <w:pgSz w:w="11906" w:h="16838"/>
          <w:pgMar w:top="1440" w:right="1800" w:bottom="1440" w:left="1800" w:header="851" w:footer="1134" w:gutter="0"/>
          <w:pgBorders>
            <w:top w:val="none" w:sz="0" w:space="0"/>
            <w:left w:val="none" w:sz="0" w:space="0"/>
            <w:bottom w:val="none" w:sz="0" w:space="0"/>
            <w:right w:val="none" w:sz="0" w:space="0"/>
          </w:pgBorders>
          <w:pgNumType w:fmt="decimal"/>
          <w:cols w:space="425" w:num="1"/>
          <w:docGrid w:linePitch="326" w:charSpace="0"/>
        </w:sectPr>
      </w:pPr>
    </w:p>
    <w:p w14:paraId="41EC64AD">
      <w:pPr>
        <w:pStyle w:val="39"/>
        <w:keepNext w:val="0"/>
        <w:keepLines w:val="0"/>
        <w:pageBreakBefore w:val="0"/>
        <w:widowControl w:val="0"/>
        <w:kinsoku/>
        <w:wordWrap/>
        <w:overflowPunct/>
        <w:topLinePunct/>
        <w:autoSpaceDE w:val="0"/>
        <w:autoSpaceDN/>
        <w:bidi w:val="0"/>
        <w:adjustRightInd/>
        <w:snapToGrid w:val="0"/>
        <w:spacing w:after="0" w:line="360" w:lineRule="auto"/>
        <w:ind w:left="0" w:leftChars="0" w:right="0" w:rightChars="0" w:firstLine="0" w:firstLineChars="0"/>
        <w:jc w:val="center"/>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drawing>
          <wp:anchor distT="0" distB="0" distL="114300" distR="114300" simplePos="0" relativeHeight="251765760" behindDoc="0" locked="0" layoutInCell="1" allowOverlap="1">
            <wp:simplePos x="0" y="0"/>
            <wp:positionH relativeFrom="column">
              <wp:posOffset>7799705</wp:posOffset>
            </wp:positionH>
            <wp:positionV relativeFrom="page">
              <wp:posOffset>924560</wp:posOffset>
            </wp:positionV>
            <wp:extent cx="612775" cy="673100"/>
            <wp:effectExtent l="0" t="0" r="15875" b="12700"/>
            <wp:wrapNone/>
            <wp:docPr id="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
                    <pic:cNvPicPr>
                      <a:picLocks noChangeAspect="1"/>
                    </pic:cNvPicPr>
                  </pic:nvPicPr>
                  <pic:blipFill>
                    <a:blip r:embed="rId16"/>
                    <a:srcRect l="3538" r="4555"/>
                    <a:stretch>
                      <a:fillRect/>
                    </a:stretch>
                  </pic:blipFill>
                  <pic:spPr>
                    <a:xfrm>
                      <a:off x="0" y="0"/>
                      <a:ext cx="612775" cy="673100"/>
                    </a:xfrm>
                    <a:prstGeom prst="rect">
                      <a:avLst/>
                    </a:prstGeom>
                    <a:noFill/>
                    <a:ln>
                      <a:noFill/>
                    </a:ln>
                  </pic:spPr>
                </pic:pic>
              </a:graphicData>
            </a:graphic>
          </wp:anchor>
        </w:drawing>
      </w:r>
      <w:r>
        <w:rPr>
          <w:rFonts w:hint="default" w:ascii="Times New Roman" w:hAnsi="Times New Roman" w:eastAsia="宋体" w:cs="Times New Roman"/>
          <w:color w:val="auto"/>
          <w:highlight w:val="none"/>
          <w:lang w:eastAsia="zh-CN"/>
        </w:rPr>
        <w:drawing>
          <wp:inline distT="0" distB="0" distL="114300" distR="114300">
            <wp:extent cx="8279765" cy="4975225"/>
            <wp:effectExtent l="0" t="0" r="6985" b="15875"/>
            <wp:docPr id="24" name="图片 24" descr="168361552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683615521789"/>
                    <pic:cNvPicPr>
                      <a:picLocks noChangeAspect="1"/>
                    </pic:cNvPicPr>
                  </pic:nvPicPr>
                  <pic:blipFill>
                    <a:blip r:embed="rId29"/>
                    <a:stretch>
                      <a:fillRect/>
                    </a:stretch>
                  </pic:blipFill>
                  <pic:spPr>
                    <a:xfrm>
                      <a:off x="0" y="0"/>
                      <a:ext cx="8279765" cy="4975225"/>
                    </a:xfrm>
                    <a:prstGeom prst="rect">
                      <a:avLst/>
                    </a:prstGeom>
                  </pic:spPr>
                </pic:pic>
              </a:graphicData>
            </a:graphic>
          </wp:inline>
        </w:drawing>
      </w:r>
    </w:p>
    <w:p w14:paraId="44CA0353">
      <w:pPr>
        <w:pStyle w:val="39"/>
        <w:keepNext w:val="0"/>
        <w:keepLines w:val="0"/>
        <w:pageBreakBefore w:val="0"/>
        <w:widowControl w:val="0"/>
        <w:kinsoku/>
        <w:wordWrap/>
        <w:overflowPunct/>
        <w:topLinePunct/>
        <w:autoSpaceDE w:val="0"/>
        <w:autoSpaceDN/>
        <w:bidi w:val="0"/>
        <w:adjustRightInd/>
        <w:snapToGrid w:val="0"/>
        <w:spacing w:after="0" w:line="360" w:lineRule="auto"/>
        <w:ind w:left="0" w:leftChars="0" w:right="0" w:rightChars="0" w:firstLine="0" w:firstLineChars="0"/>
        <w:jc w:val="center"/>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b/>
          <w:bCs/>
          <w:color w:val="auto"/>
          <w:highlight w:val="none"/>
        </w:rPr>
        <w:t>图3.1-</w:t>
      </w:r>
      <w:r>
        <w:rPr>
          <w:rFonts w:hint="default" w:ascii="Times New Roman" w:hAnsi="Times New Roman" w:eastAsia="宋体" w:cs="Times New Roman"/>
          <w:b/>
          <w:bCs/>
          <w:color w:val="auto"/>
          <w:highlight w:val="none"/>
          <w:lang w:val="en-US" w:eastAsia="zh-CN"/>
        </w:rPr>
        <w:t>5</w:t>
      </w:r>
      <w:r>
        <w:rPr>
          <w:rFonts w:hint="default" w:ascii="Times New Roman" w:hAnsi="Times New Roman" w:eastAsia="宋体" w:cs="Times New Roman"/>
          <w:b/>
          <w:bCs/>
          <w:color w:val="auto"/>
          <w:highlight w:val="none"/>
        </w:rPr>
        <w:t>项目</w:t>
      </w:r>
      <w:r>
        <w:rPr>
          <w:rFonts w:hint="default" w:ascii="Times New Roman" w:hAnsi="Times New Roman" w:eastAsia="宋体" w:cs="Times New Roman"/>
          <w:b/>
          <w:bCs/>
          <w:color w:val="auto"/>
          <w:highlight w:val="none"/>
          <w:lang w:eastAsia="zh-CN"/>
        </w:rPr>
        <w:t>平面布置</w:t>
      </w:r>
    </w:p>
    <w:p w14:paraId="2656030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sectPr>
          <w:pgSz w:w="16838" w:h="11906" w:orient="landscape"/>
          <w:pgMar w:top="1440" w:right="1800" w:bottom="1440" w:left="1800" w:header="851" w:footer="1134" w:gutter="0"/>
          <w:pgBorders>
            <w:top w:val="none" w:sz="0" w:space="0"/>
            <w:left w:val="none" w:sz="0" w:space="0"/>
            <w:bottom w:val="none" w:sz="0" w:space="0"/>
            <w:right w:val="none" w:sz="0" w:space="0"/>
          </w:pgBorders>
          <w:pgNumType w:fmt="decimal"/>
          <w:cols w:space="425" w:num="1"/>
          <w:docGrid w:linePitch="326" w:charSpace="0"/>
        </w:sectPr>
      </w:pPr>
    </w:p>
    <w:p w14:paraId="444E34C0">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222" w:name="_Toc7309"/>
      <w:bookmarkStart w:id="223" w:name="_Toc46421090"/>
      <w:r>
        <w:rPr>
          <w:rFonts w:hint="default" w:ascii="Times New Roman" w:hAnsi="Times New Roman" w:eastAsia="宋体" w:cs="Times New Roman"/>
          <w:color w:val="auto"/>
          <w:highlight w:val="none"/>
        </w:rPr>
        <w:t>3.2项目污染影响因素分析</w:t>
      </w:r>
      <w:bookmarkEnd w:id="222"/>
      <w:bookmarkEnd w:id="223"/>
    </w:p>
    <w:p w14:paraId="64172C4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本项目主要进行</w:t>
      </w:r>
      <w:r>
        <w:rPr>
          <w:rFonts w:hint="default" w:ascii="Times New Roman" w:hAnsi="Times New Roman" w:eastAsia="宋体" w:cs="Times New Roman"/>
          <w:color w:val="auto"/>
          <w:highlight w:val="none"/>
          <w:lang w:eastAsia="zh-CN"/>
        </w:rPr>
        <w:t>肉</w:t>
      </w:r>
      <w:r>
        <w:rPr>
          <w:rFonts w:hint="default" w:ascii="Times New Roman" w:hAnsi="Times New Roman" w:eastAsia="宋体" w:cs="Times New Roman"/>
          <w:color w:val="auto"/>
          <w:highlight w:val="none"/>
        </w:rPr>
        <w:t>牛饲养，不进行放牧作业，主要产污节点包括饲料加工、牛饲养和</w:t>
      </w:r>
      <w:r>
        <w:rPr>
          <w:rFonts w:hint="default" w:ascii="Times New Roman" w:hAnsi="Times New Roman" w:eastAsia="宋体" w:cs="Times New Roman"/>
          <w:color w:val="auto"/>
          <w:highlight w:val="none"/>
          <w:lang w:eastAsia="zh-CN"/>
        </w:rPr>
        <w:t>粪污处置</w:t>
      </w:r>
      <w:r>
        <w:rPr>
          <w:rFonts w:hint="default" w:ascii="Times New Roman" w:hAnsi="Times New Roman" w:eastAsia="宋体" w:cs="Times New Roman"/>
          <w:color w:val="auto"/>
          <w:highlight w:val="none"/>
        </w:rPr>
        <w:t>过程，项目采用《内蒙古自治区畜禽养殖主要污染物减排项目建设技术指南（试行）（内环发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2014</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83号）》的鼓励模式⑤：（储存+土地消纳）</w:t>
      </w:r>
      <w:r>
        <w:rPr>
          <w:rFonts w:hint="default" w:ascii="Times New Roman" w:hAnsi="Times New Roman" w:eastAsia="宋体" w:cs="Times New Roman"/>
          <w:color w:val="auto"/>
          <w:highlight w:val="none"/>
          <w:lang w:eastAsia="zh-CN"/>
        </w:rPr>
        <w:t>肉</w:t>
      </w:r>
      <w:r>
        <w:rPr>
          <w:rFonts w:hint="default" w:ascii="Times New Roman" w:hAnsi="Times New Roman" w:eastAsia="宋体" w:cs="Times New Roman"/>
          <w:color w:val="auto"/>
          <w:highlight w:val="none"/>
        </w:rPr>
        <w:t>牛规模化养殖场建设废弃物储存设施的方式处理养殖废物</w:t>
      </w:r>
      <w:r>
        <w:rPr>
          <w:rFonts w:hint="default" w:ascii="Times New Roman" w:hAnsi="Times New Roman" w:eastAsia="宋体" w:cs="Times New Roman"/>
          <w:color w:val="auto"/>
          <w:highlight w:val="none"/>
          <w:lang w:eastAsia="zh-CN"/>
        </w:rPr>
        <w:t>。</w:t>
      </w:r>
    </w:p>
    <w:p w14:paraId="6F199749">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color w:val="auto"/>
          <w:szCs w:val="24"/>
          <w:highlight w:val="none"/>
          <w:lang w:val="en-US" w:eastAsia="zh-CN"/>
        </w:rPr>
        <w:object>
          <v:shape id="_x0000_i1029" o:spt="75" type="#_x0000_t75" style="height:172.5pt;width:413.85pt;" o:ole="t" filled="f" o:preferrelative="t" stroked="f" coordsize="21600,21600">
            <v:path/>
            <v:fill on="f" focussize="0,0"/>
            <v:stroke on="f"/>
            <v:imagedata r:id="rId31" o:title=""/>
            <o:lock v:ext="edit" aspectratio="t"/>
            <w10:wrap type="none"/>
            <w10:anchorlock/>
          </v:shape>
          <o:OLEObject Type="Embed" ProgID="Visio.Drawing.11" ShapeID="_x0000_i1029" DrawAspect="Content" ObjectID="_1468075729" r:id="rId30">
            <o:LockedField>false</o:LockedField>
          </o:OLEObject>
        </w:object>
      </w:r>
      <w:r>
        <w:rPr>
          <w:rFonts w:hint="default" w:ascii="Times New Roman" w:hAnsi="Times New Roman" w:eastAsia="宋体" w:cs="Times New Roman"/>
          <w:b/>
          <w:bCs/>
          <w:color w:val="auto"/>
          <w:highlight w:val="none"/>
        </w:rPr>
        <w:t>图3.2-1</w:t>
      </w:r>
      <w:r>
        <w:rPr>
          <w:rFonts w:hint="default" w:ascii="Times New Roman" w:hAnsi="Times New Roman" w:eastAsia="宋体" w:cs="Times New Roman"/>
          <w:b/>
          <w:bCs/>
          <w:color w:val="auto"/>
          <w:highlight w:val="none"/>
          <w:lang w:eastAsia="zh-CN"/>
        </w:rPr>
        <w:t>肉牛</w:t>
      </w:r>
      <w:r>
        <w:rPr>
          <w:rFonts w:hint="default" w:ascii="Times New Roman" w:hAnsi="Times New Roman" w:eastAsia="宋体" w:cs="Times New Roman"/>
          <w:b/>
          <w:bCs/>
          <w:color w:val="auto"/>
          <w:highlight w:val="none"/>
        </w:rPr>
        <w:t>养殖工艺流程及产污环节</w:t>
      </w:r>
    </w:p>
    <w:p w14:paraId="3B5B5546">
      <w:pPr>
        <w:pStyle w:val="5"/>
        <w:pageBreakBefore w:val="0"/>
        <w:kinsoku/>
        <w:wordWrap/>
        <w:overflowPunct/>
        <w:autoSpaceDN/>
        <w:bidi w:val="0"/>
        <w:adjustRightInd/>
        <w:snapToGrid w:val="0"/>
        <w:spacing w:before="0" w:after="0" w:line="360" w:lineRule="auto"/>
        <w:ind w:left="0" w:leftChars="0" w:right="0" w:rightChars="0"/>
        <w:textAlignment w:val="auto"/>
        <w:outlineLvl w:val="1"/>
        <w:rPr>
          <w:rStyle w:val="44"/>
          <w:rFonts w:hint="default" w:ascii="Times New Roman" w:hAnsi="Times New Roman" w:eastAsia="宋体" w:cs="Times New Roman"/>
          <w:color w:val="auto"/>
          <w:highlight w:val="none"/>
        </w:rPr>
      </w:pPr>
      <w:bookmarkStart w:id="224" w:name="_Toc10967"/>
      <w:bookmarkStart w:id="225" w:name="_Toc46421091"/>
      <w:r>
        <w:rPr>
          <w:rFonts w:hint="default" w:ascii="Times New Roman" w:hAnsi="Times New Roman" w:eastAsia="宋体" w:cs="Times New Roman"/>
          <w:color w:val="auto"/>
          <w:highlight w:val="none"/>
        </w:rPr>
        <w:t>3.2.1</w:t>
      </w:r>
      <w:bookmarkStart w:id="226" w:name="_Hlk44173656"/>
      <w:r>
        <w:rPr>
          <w:rFonts w:hint="default" w:ascii="Times New Roman" w:hAnsi="Times New Roman" w:eastAsia="宋体" w:cs="Times New Roman"/>
          <w:color w:val="auto"/>
          <w:highlight w:val="none"/>
        </w:rPr>
        <w:t>青贮饲料制作、饲料拌合工艺流程简述</w:t>
      </w:r>
      <w:bookmarkEnd w:id="224"/>
      <w:bookmarkEnd w:id="225"/>
    </w:p>
    <w:p w14:paraId="7C823516">
      <w:pPr>
        <w:pageBreakBefore w:val="0"/>
        <w:kinsoku/>
        <w:wordWrap/>
        <w:overflowPunct/>
        <w:autoSpaceDN/>
        <w:bidi w:val="0"/>
        <w:adjustRightInd/>
        <w:snapToGrid w:val="0"/>
        <w:spacing w:line="360" w:lineRule="auto"/>
        <w:ind w:left="0" w:leftChars="0" w:right="0" w:rightChars="0" w:firstLine="480"/>
        <w:textAlignment w:val="auto"/>
        <w:outlineLvl w:val="2"/>
        <w:rPr>
          <w:rFonts w:hint="default" w:ascii="Times New Roman" w:hAnsi="Times New Roman" w:eastAsia="宋体" w:cs="Times New Roman"/>
          <w:color w:val="auto"/>
          <w:highlight w:val="none"/>
        </w:rPr>
      </w:pPr>
      <w:bookmarkStart w:id="227" w:name="_Toc21793"/>
      <w:bookmarkStart w:id="228" w:name="_Toc20651"/>
      <w:r>
        <w:rPr>
          <w:rFonts w:hint="default" w:ascii="Times New Roman" w:hAnsi="Times New Roman" w:eastAsia="宋体" w:cs="Times New Roman"/>
          <w:color w:val="auto"/>
          <w:highlight w:val="none"/>
        </w:rPr>
        <w:t>（1）青贮原料</w:t>
      </w:r>
      <w:bookmarkEnd w:id="227"/>
      <w:bookmarkEnd w:id="228"/>
    </w:p>
    <w:p w14:paraId="03BCD0DA">
      <w:pPr>
        <w:pageBreakBefore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青贮原料为玉米秸秆，在收割青贮时将青贮玉米破碎成2～3cm的长度。牛场和周边农户根据</w:t>
      </w:r>
      <w:r>
        <w:rPr>
          <w:rFonts w:hint="default" w:ascii="Times New Roman" w:hAnsi="Times New Roman" w:eastAsia="宋体" w:cs="Times New Roman"/>
          <w:color w:val="auto"/>
          <w:highlight w:val="none"/>
          <w:lang w:eastAsia="zh-CN"/>
        </w:rPr>
        <w:t>青贮</w:t>
      </w:r>
      <w:r>
        <w:rPr>
          <w:rFonts w:hint="default" w:ascii="Times New Roman" w:hAnsi="Times New Roman" w:eastAsia="宋体" w:cs="Times New Roman"/>
          <w:color w:val="auto"/>
          <w:highlight w:val="none"/>
        </w:rPr>
        <w:t>玉米的成熟程度，在乳熟后期至蜡熟前期进行及时收割，入窖时原料水分应控制在70%左右，一般以用手攥紧切碎的青贮原料有液体渗出而不下滴为宜，青贮玉米应</w:t>
      </w:r>
      <w:r>
        <w:rPr>
          <w:rFonts w:hint="default" w:ascii="Times New Roman" w:hAnsi="Times New Roman" w:eastAsia="宋体" w:cs="Times New Roman"/>
          <w:color w:val="auto"/>
          <w:highlight w:val="none"/>
          <w:lang w:eastAsia="zh-CN"/>
        </w:rPr>
        <w:t>含有</w:t>
      </w:r>
      <w:r>
        <w:rPr>
          <w:rFonts w:hint="default" w:ascii="Times New Roman" w:hAnsi="Times New Roman" w:eastAsia="宋体" w:cs="Times New Roman"/>
          <w:color w:val="auto"/>
          <w:highlight w:val="none"/>
        </w:rPr>
        <w:t>一定的可溶性糖（&gt;2%），含糖量不足时，应掺入含糖量较高的青绿饲料或添加适量淀粉、糖蜜等。以免影响原料产量或青贮质量，甚至导致青贮失败，在果穗达到乳熟期，收割全株青贮。</w:t>
      </w:r>
    </w:p>
    <w:p w14:paraId="61AD35A7">
      <w:pPr>
        <w:pageBreakBefore w:val="0"/>
        <w:kinsoku/>
        <w:wordWrap/>
        <w:overflowPunct/>
        <w:autoSpaceDN/>
        <w:bidi w:val="0"/>
        <w:adjustRightInd/>
        <w:snapToGrid w:val="0"/>
        <w:spacing w:line="360" w:lineRule="auto"/>
        <w:ind w:left="0" w:leftChars="0" w:right="0" w:rightChars="0" w:firstLine="480"/>
        <w:textAlignment w:val="auto"/>
        <w:outlineLvl w:val="2"/>
        <w:rPr>
          <w:rFonts w:hint="default" w:ascii="Times New Roman" w:hAnsi="Times New Roman" w:eastAsia="宋体" w:cs="Times New Roman"/>
          <w:color w:val="auto"/>
          <w:highlight w:val="none"/>
        </w:rPr>
      </w:pPr>
      <w:bookmarkStart w:id="229" w:name="_Toc29621"/>
      <w:bookmarkStart w:id="230" w:name="_Toc2245"/>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）装填</w:t>
      </w:r>
      <w:bookmarkEnd w:id="229"/>
      <w:bookmarkEnd w:id="230"/>
    </w:p>
    <w:p w14:paraId="43C706C2">
      <w:pPr>
        <w:pageBreakBefore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牧场在装填前先在</w:t>
      </w:r>
      <w:r>
        <w:rPr>
          <w:rFonts w:hint="default" w:ascii="Times New Roman" w:hAnsi="Times New Roman" w:eastAsia="宋体" w:cs="Times New Roman"/>
          <w:color w:val="auto"/>
          <w:highlight w:val="none"/>
          <w:lang w:eastAsia="zh-CN"/>
        </w:rPr>
        <w:t>窖</w:t>
      </w:r>
      <w:r>
        <w:rPr>
          <w:rFonts w:hint="default" w:ascii="Times New Roman" w:hAnsi="Times New Roman" w:eastAsia="宋体" w:cs="Times New Roman"/>
          <w:color w:val="auto"/>
          <w:highlight w:val="none"/>
        </w:rPr>
        <w:t>底铺上30cm厚的垫草，然后将铡短的青贮原料迅速装入</w:t>
      </w:r>
      <w:r>
        <w:rPr>
          <w:rFonts w:hint="default" w:ascii="Times New Roman" w:hAnsi="Times New Roman" w:eastAsia="宋体" w:cs="Times New Roman"/>
          <w:color w:val="auto"/>
          <w:highlight w:val="none"/>
          <w:lang w:eastAsia="zh-CN"/>
        </w:rPr>
        <w:t>窖</w:t>
      </w:r>
      <w:r>
        <w:rPr>
          <w:rFonts w:hint="default" w:ascii="Times New Roman" w:hAnsi="Times New Roman" w:eastAsia="宋体" w:cs="Times New Roman"/>
          <w:color w:val="auto"/>
          <w:highlight w:val="none"/>
        </w:rPr>
        <w:t>内。装时要边装料边用装载机层层压实，尽量排除空气。</w:t>
      </w:r>
    </w:p>
    <w:p w14:paraId="088BDCC0">
      <w:pPr>
        <w:pageBreakBefore w:val="0"/>
        <w:kinsoku/>
        <w:wordWrap/>
        <w:overflowPunct/>
        <w:autoSpaceDN/>
        <w:bidi w:val="0"/>
        <w:adjustRightInd/>
        <w:snapToGrid w:val="0"/>
        <w:spacing w:line="360" w:lineRule="auto"/>
        <w:ind w:left="0" w:leftChars="0" w:right="0" w:rightChars="0" w:firstLine="480"/>
        <w:textAlignment w:val="auto"/>
        <w:outlineLvl w:val="2"/>
        <w:rPr>
          <w:rFonts w:hint="default" w:ascii="Times New Roman" w:hAnsi="Times New Roman" w:eastAsia="宋体" w:cs="Times New Roman"/>
          <w:color w:val="auto"/>
          <w:highlight w:val="none"/>
          <w:lang w:eastAsia="zh-CN"/>
        </w:rPr>
      </w:pPr>
      <w:bookmarkStart w:id="231" w:name="_Toc10333"/>
      <w:bookmarkStart w:id="232" w:name="_Toc20643"/>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）封</w:t>
      </w:r>
      <w:r>
        <w:rPr>
          <w:rFonts w:hint="default" w:ascii="Times New Roman" w:hAnsi="Times New Roman" w:eastAsia="宋体" w:cs="Times New Roman"/>
          <w:color w:val="auto"/>
          <w:highlight w:val="none"/>
          <w:lang w:eastAsia="zh-CN"/>
        </w:rPr>
        <w:t>窖</w:t>
      </w:r>
      <w:bookmarkEnd w:id="231"/>
      <w:bookmarkEnd w:id="232"/>
    </w:p>
    <w:p w14:paraId="4164B72F">
      <w:pPr>
        <w:pageBreakBefore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牧场为地面式</w:t>
      </w:r>
      <w:r>
        <w:rPr>
          <w:rFonts w:hint="default" w:ascii="Times New Roman" w:hAnsi="Times New Roman" w:eastAsia="宋体" w:cs="Times New Roman"/>
          <w:color w:val="auto"/>
          <w:highlight w:val="none"/>
          <w:lang w:eastAsia="zh-CN"/>
        </w:rPr>
        <w:t>青贮平台</w:t>
      </w:r>
      <w:r>
        <w:rPr>
          <w:rFonts w:hint="default" w:ascii="Times New Roman" w:hAnsi="Times New Roman" w:eastAsia="宋体" w:cs="Times New Roman"/>
          <w:color w:val="auto"/>
          <w:highlight w:val="none"/>
        </w:rPr>
        <w:t>，地面为水泥混凝土抹面，方便</w:t>
      </w:r>
      <w:r>
        <w:rPr>
          <w:rFonts w:hint="default" w:ascii="Times New Roman" w:hAnsi="Times New Roman" w:eastAsia="宋体" w:cs="Times New Roman"/>
          <w:color w:val="auto"/>
          <w:highlight w:val="none"/>
          <w:lang w:eastAsia="zh-CN"/>
        </w:rPr>
        <w:t>青贮</w:t>
      </w:r>
      <w:r>
        <w:rPr>
          <w:rFonts w:hint="default" w:ascii="Times New Roman" w:hAnsi="Times New Roman" w:eastAsia="宋体" w:cs="Times New Roman"/>
          <w:color w:val="auto"/>
          <w:highlight w:val="none"/>
        </w:rPr>
        <w:t>饲料的储用。当</w:t>
      </w:r>
      <w:r>
        <w:rPr>
          <w:rFonts w:hint="default" w:ascii="Times New Roman" w:hAnsi="Times New Roman" w:eastAsia="宋体" w:cs="Times New Roman"/>
          <w:color w:val="auto"/>
          <w:highlight w:val="none"/>
          <w:lang w:eastAsia="zh-CN"/>
        </w:rPr>
        <w:t>青贮</w:t>
      </w:r>
      <w:r>
        <w:rPr>
          <w:rFonts w:hint="default" w:ascii="Times New Roman" w:hAnsi="Times New Roman" w:eastAsia="宋体" w:cs="Times New Roman"/>
          <w:color w:val="auto"/>
          <w:highlight w:val="none"/>
        </w:rPr>
        <w:t>饲料高出</w:t>
      </w:r>
      <w:r>
        <w:rPr>
          <w:rFonts w:hint="default" w:ascii="Times New Roman" w:hAnsi="Times New Roman" w:eastAsia="宋体" w:cs="Times New Roman"/>
          <w:color w:val="auto"/>
          <w:highlight w:val="none"/>
          <w:lang w:eastAsia="zh-CN"/>
        </w:rPr>
        <w:t>窖</w:t>
      </w:r>
      <w:r>
        <w:rPr>
          <w:rFonts w:hint="default" w:ascii="Times New Roman" w:hAnsi="Times New Roman" w:eastAsia="宋体" w:cs="Times New Roman"/>
          <w:color w:val="auto"/>
          <w:highlight w:val="none"/>
        </w:rPr>
        <w:t>沿60cm时进行封</w:t>
      </w:r>
      <w:r>
        <w:rPr>
          <w:rFonts w:hint="default" w:ascii="Times New Roman" w:hAnsi="Times New Roman" w:eastAsia="宋体" w:cs="Times New Roman"/>
          <w:color w:val="auto"/>
          <w:highlight w:val="none"/>
          <w:lang w:eastAsia="zh-CN"/>
        </w:rPr>
        <w:t>窖</w:t>
      </w:r>
      <w:r>
        <w:rPr>
          <w:rFonts w:hint="default" w:ascii="Times New Roman" w:hAnsi="Times New Roman" w:eastAsia="宋体" w:cs="Times New Roman"/>
          <w:color w:val="auto"/>
          <w:highlight w:val="none"/>
        </w:rPr>
        <w:t>，采用防老化的双层塑料布（长度和宽度依窖的大小而定），从一端铺至另一端，塑料布的宽度要余出</w:t>
      </w:r>
      <w:r>
        <w:rPr>
          <w:rFonts w:hint="default" w:ascii="Times New Roman" w:hAnsi="Times New Roman" w:eastAsia="宋体" w:cs="Times New Roman"/>
          <w:color w:val="auto"/>
          <w:highlight w:val="none"/>
          <w:lang w:eastAsia="zh-CN"/>
        </w:rPr>
        <w:t>窖</w:t>
      </w:r>
      <w:r>
        <w:rPr>
          <w:rFonts w:hint="default" w:ascii="Times New Roman" w:hAnsi="Times New Roman" w:eastAsia="宋体" w:cs="Times New Roman"/>
          <w:color w:val="auto"/>
          <w:highlight w:val="none"/>
        </w:rPr>
        <w:t>体30-40厘米，在窖口薄膜上加一定量的土，以保证其密封性，最后在薄膜上放置废旧轮胎进行压覆，以保证薄膜不会被风吹起或刮烂。</w:t>
      </w:r>
    </w:p>
    <w:p w14:paraId="098CB924">
      <w:pPr>
        <w:pageBreakBefore w:val="0"/>
        <w:kinsoku/>
        <w:wordWrap/>
        <w:overflowPunct/>
        <w:autoSpaceDN/>
        <w:bidi w:val="0"/>
        <w:adjustRightInd/>
        <w:snapToGrid w:val="0"/>
        <w:spacing w:line="360" w:lineRule="auto"/>
        <w:ind w:left="0" w:leftChars="0" w:right="0" w:rightChars="0" w:firstLine="480"/>
        <w:textAlignment w:val="auto"/>
        <w:outlineLvl w:val="2"/>
        <w:rPr>
          <w:rFonts w:hint="default" w:ascii="Times New Roman" w:hAnsi="Times New Roman" w:eastAsia="宋体" w:cs="Times New Roman"/>
          <w:color w:val="auto"/>
          <w:highlight w:val="none"/>
        </w:rPr>
      </w:pPr>
      <w:bookmarkStart w:id="233" w:name="_Toc19564"/>
      <w:bookmarkStart w:id="234" w:name="_Toc8628"/>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）青贮饲料取用</w:t>
      </w:r>
      <w:bookmarkEnd w:id="233"/>
      <w:bookmarkEnd w:id="234"/>
    </w:p>
    <w:p w14:paraId="67DDB591">
      <w:pPr>
        <w:pageBreakBefore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饲料青贮后30～50d便可开</w:t>
      </w:r>
      <w:r>
        <w:rPr>
          <w:rFonts w:hint="default" w:ascii="Times New Roman" w:hAnsi="Times New Roman" w:eastAsia="宋体" w:cs="Times New Roman"/>
          <w:color w:val="auto"/>
          <w:highlight w:val="none"/>
          <w:lang w:eastAsia="zh-CN"/>
        </w:rPr>
        <w:t>窖</w:t>
      </w:r>
      <w:r>
        <w:rPr>
          <w:rFonts w:hint="default" w:ascii="Times New Roman" w:hAnsi="Times New Roman" w:eastAsia="宋体" w:cs="Times New Roman"/>
          <w:color w:val="auto"/>
          <w:highlight w:val="none"/>
        </w:rPr>
        <w:t>取喂。取料从窖口开始取用，并逐步向窖内推进，取料后随即盖严取料口。</w:t>
      </w:r>
    </w:p>
    <w:p w14:paraId="0BE8122A">
      <w:pPr>
        <w:pageBreakBefore w:val="0"/>
        <w:kinsoku/>
        <w:wordWrap/>
        <w:overflowPunct/>
        <w:autoSpaceDN/>
        <w:bidi w:val="0"/>
        <w:adjustRightInd/>
        <w:snapToGrid w:val="0"/>
        <w:spacing w:line="360" w:lineRule="auto"/>
        <w:ind w:left="0" w:leftChars="0" w:right="0" w:rightChars="0" w:firstLine="480"/>
        <w:textAlignment w:val="auto"/>
        <w:outlineLvl w:val="2"/>
        <w:rPr>
          <w:rFonts w:hint="default" w:ascii="Times New Roman" w:hAnsi="Times New Roman" w:eastAsia="宋体" w:cs="Times New Roman"/>
          <w:color w:val="auto"/>
          <w:highlight w:val="none"/>
        </w:rPr>
      </w:pPr>
      <w:bookmarkStart w:id="235" w:name="_Toc153"/>
      <w:bookmarkStart w:id="236" w:name="_Toc2292"/>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）全混合日粮（TMR）搅拌工艺</w:t>
      </w:r>
      <w:bookmarkEnd w:id="235"/>
      <w:bookmarkEnd w:id="236"/>
    </w:p>
    <w:p w14:paraId="002A2F57">
      <w:pPr>
        <w:pageBreakBefore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全混合日粮（TMR）指根据牛群营养需要，把</w:t>
      </w:r>
      <w:r>
        <w:rPr>
          <w:rFonts w:hint="default" w:ascii="Times New Roman" w:hAnsi="Times New Roman" w:eastAsia="宋体" w:cs="Times New Roman"/>
          <w:color w:val="auto"/>
          <w:highlight w:val="none"/>
          <w:lang w:eastAsia="zh-CN"/>
        </w:rPr>
        <w:t>青贮</w:t>
      </w:r>
      <w:r>
        <w:rPr>
          <w:rFonts w:hint="default" w:ascii="Times New Roman" w:hAnsi="Times New Roman" w:eastAsia="宋体" w:cs="Times New Roman"/>
          <w:color w:val="auto"/>
          <w:highlight w:val="none"/>
        </w:rPr>
        <w:t>饲料、草料、</w:t>
      </w:r>
      <w:r>
        <w:rPr>
          <w:rFonts w:hint="default" w:ascii="Times New Roman" w:hAnsi="Times New Roman" w:eastAsia="宋体" w:cs="Times New Roman"/>
          <w:color w:val="auto"/>
          <w:highlight w:val="none"/>
          <w:lang w:eastAsia="zh-CN"/>
        </w:rPr>
        <w:t>精料</w:t>
      </w:r>
      <w:r>
        <w:rPr>
          <w:rFonts w:hint="default" w:ascii="Times New Roman" w:hAnsi="Times New Roman" w:eastAsia="宋体" w:cs="Times New Roman"/>
          <w:color w:val="auto"/>
          <w:highlight w:val="none"/>
        </w:rPr>
        <w:t>等按合理的比例及要求，利用TMR搅拌机进行搅拌，使之成为混合均匀、营养平衡的日粮。日粮的配制需按照泌乳牛、干</w:t>
      </w:r>
      <w:r>
        <w:rPr>
          <w:rFonts w:hint="default" w:ascii="Times New Roman" w:hAnsi="Times New Roman" w:eastAsia="宋体" w:cs="Times New Roman"/>
          <w:color w:val="auto"/>
          <w:highlight w:val="none"/>
          <w:lang w:eastAsia="zh-CN"/>
        </w:rPr>
        <w:t>肉牛</w:t>
      </w:r>
      <w:r>
        <w:rPr>
          <w:rFonts w:hint="default" w:ascii="Times New Roman" w:hAnsi="Times New Roman" w:eastAsia="宋体" w:cs="Times New Roman"/>
          <w:color w:val="auto"/>
          <w:highlight w:val="none"/>
        </w:rPr>
        <w:t>、青年牛的不同阶段进行配制，搅拌时间为5-8分钟。</w:t>
      </w:r>
    </w:p>
    <w:p w14:paraId="5699414C">
      <w:pPr>
        <w:pageBreakBefore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产污环节：</w:t>
      </w:r>
      <w:r>
        <w:rPr>
          <w:rFonts w:hint="default" w:ascii="Times New Roman" w:hAnsi="Times New Roman" w:eastAsia="宋体" w:cs="Times New Roman"/>
          <w:color w:val="auto"/>
          <w:highlight w:val="none"/>
          <w:lang w:eastAsia="zh-CN"/>
        </w:rPr>
        <w:t>青贮</w:t>
      </w:r>
      <w:r>
        <w:rPr>
          <w:rFonts w:hint="default" w:ascii="Times New Roman" w:hAnsi="Times New Roman" w:eastAsia="宋体" w:cs="Times New Roman"/>
          <w:color w:val="auto"/>
          <w:highlight w:val="none"/>
        </w:rPr>
        <w:t>饲料、</w:t>
      </w:r>
      <w:r>
        <w:rPr>
          <w:rFonts w:hint="default" w:ascii="Times New Roman" w:hAnsi="Times New Roman" w:eastAsia="宋体" w:cs="Times New Roman"/>
          <w:color w:val="auto"/>
          <w:highlight w:val="none"/>
          <w:lang w:eastAsia="zh-CN"/>
        </w:rPr>
        <w:t>干</w:t>
      </w:r>
      <w:r>
        <w:rPr>
          <w:rFonts w:hint="default" w:ascii="Times New Roman" w:hAnsi="Times New Roman" w:eastAsia="宋体" w:cs="Times New Roman"/>
          <w:color w:val="auto"/>
          <w:highlight w:val="none"/>
        </w:rPr>
        <w:t>草料</w:t>
      </w:r>
      <w:r>
        <w:rPr>
          <w:rFonts w:hint="default" w:ascii="Times New Roman" w:hAnsi="Times New Roman" w:eastAsia="宋体" w:cs="Times New Roman"/>
          <w:color w:val="auto"/>
          <w:highlight w:val="none"/>
          <w:lang w:eastAsia="zh-CN"/>
        </w:rPr>
        <w:t>、精饲料</w:t>
      </w:r>
      <w:r>
        <w:rPr>
          <w:rFonts w:hint="default" w:ascii="Times New Roman" w:hAnsi="Times New Roman" w:eastAsia="宋体" w:cs="Times New Roman"/>
          <w:color w:val="auto"/>
          <w:highlight w:val="none"/>
        </w:rPr>
        <w:t>等饲料装卸、日粮饲料配制过程中产生的粉尘以及噪声。</w:t>
      </w:r>
    </w:p>
    <w:p w14:paraId="2A03CF79">
      <w:pPr>
        <w:pStyle w:val="5"/>
        <w:pageBreakBefore w:val="0"/>
        <w:kinsoku/>
        <w:wordWrap/>
        <w:overflowPunct/>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237" w:name="_Toc1680"/>
      <w:bookmarkStart w:id="238" w:name="_Toc46421092"/>
      <w:r>
        <w:rPr>
          <w:rFonts w:hint="default" w:ascii="Times New Roman" w:hAnsi="Times New Roman" w:eastAsia="宋体" w:cs="Times New Roman"/>
          <w:color w:val="auto"/>
          <w:highlight w:val="none"/>
        </w:rPr>
        <w:t>3.2.2牛群饲养流程简述</w:t>
      </w:r>
      <w:bookmarkEnd w:id="237"/>
      <w:bookmarkEnd w:id="238"/>
    </w:p>
    <w:p w14:paraId="432F8AC5">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FF0000"/>
          <w:sz w:val="24"/>
          <w:szCs w:val="22"/>
          <w:highlight w:val="none"/>
          <w:lang w:val="en-US" w:eastAsia="zh-CN"/>
        </w:rPr>
      </w:pPr>
      <w:r>
        <w:rPr>
          <w:rFonts w:hint="default" w:ascii="Times New Roman" w:hAnsi="Times New Roman" w:eastAsia="宋体" w:cs="Times New Roman"/>
          <w:color w:val="FF0000"/>
          <w:sz w:val="24"/>
          <w:szCs w:val="22"/>
          <w:highlight w:val="none"/>
          <w:lang w:val="en-US" w:eastAsia="zh-CN"/>
        </w:rPr>
        <w:t>本项目包括养殖商品肉牛采用以下两种方式：</w:t>
      </w:r>
    </w:p>
    <w:p w14:paraId="64146FFF">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FF0000"/>
          <w:sz w:val="24"/>
          <w:szCs w:val="22"/>
          <w:highlight w:val="none"/>
          <w:lang w:val="en-US" w:eastAsia="zh-CN"/>
        </w:rPr>
      </w:pPr>
      <w:r>
        <w:rPr>
          <w:rFonts w:hint="default" w:ascii="Times New Roman" w:hAnsi="Times New Roman" w:eastAsia="宋体" w:cs="Times New Roman"/>
          <w:color w:val="FF0000"/>
          <w:sz w:val="24"/>
          <w:szCs w:val="22"/>
          <w:highlight w:val="none"/>
          <w:lang w:val="en-US" w:eastAsia="zh-CN"/>
        </w:rPr>
        <w:t>①由养殖场自有的母牛经受精后生产出的牛犊，并在本项目场内进行养殖育肥，其养殖周期达12个月；</w:t>
      </w:r>
    </w:p>
    <w:p w14:paraId="7D83DC81">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FF0000"/>
          <w:sz w:val="24"/>
          <w:szCs w:val="22"/>
          <w:highlight w:val="none"/>
          <w:lang w:val="en-US" w:eastAsia="zh-CN"/>
        </w:rPr>
      </w:pPr>
      <w:r>
        <w:rPr>
          <w:rFonts w:hint="default" w:ascii="Times New Roman" w:hAnsi="Times New Roman" w:eastAsia="宋体" w:cs="Times New Roman"/>
          <w:color w:val="FF0000"/>
          <w:sz w:val="24"/>
          <w:szCs w:val="22"/>
          <w:highlight w:val="none"/>
          <w:lang w:val="en-US" w:eastAsia="zh-CN"/>
        </w:rPr>
        <w:t>②外购架子牛在场内进行养殖育肥，进场育肥牛体重在300～400kg，经过12个月育肥养殖后，当育肥牛达到800kg的出栏标准时出栏外售。</w:t>
      </w:r>
    </w:p>
    <w:p w14:paraId="056EDACF">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outlineLvl w:val="2"/>
        <w:rPr>
          <w:rFonts w:hint="default" w:ascii="Times New Roman" w:hAnsi="Times New Roman" w:eastAsia="宋体" w:cs="Times New Roman"/>
          <w:color w:val="FF0000"/>
          <w:sz w:val="24"/>
          <w:szCs w:val="22"/>
          <w:highlight w:val="none"/>
          <w:lang w:val="en-US" w:eastAsia="zh-CN"/>
        </w:rPr>
      </w:pPr>
      <w:bookmarkStart w:id="239" w:name="_Toc31103"/>
      <w:bookmarkStart w:id="240" w:name="_Toc27540"/>
      <w:r>
        <w:rPr>
          <w:rFonts w:hint="default" w:ascii="Times New Roman" w:hAnsi="Times New Roman" w:eastAsia="宋体" w:cs="Times New Roman"/>
          <w:color w:val="FF0000"/>
          <w:sz w:val="24"/>
          <w:szCs w:val="22"/>
          <w:highlight w:val="none"/>
          <w:lang w:val="en-US" w:eastAsia="zh-CN"/>
        </w:rPr>
        <w:t>（1）繁育</w:t>
      </w:r>
      <w:r>
        <w:rPr>
          <w:rFonts w:hint="default" w:ascii="Times New Roman" w:hAnsi="Times New Roman" w:eastAsia="宋体" w:cs="Times New Roman"/>
          <w:color w:val="FF0000"/>
          <w:sz w:val="24"/>
          <w:szCs w:val="22"/>
          <w:highlight w:val="none"/>
          <w:lang w:val="en-US" w:eastAsia="zh-CN"/>
        </w:rPr>
        <w:t>牛犊</w:t>
      </w:r>
      <w:r>
        <w:rPr>
          <w:rFonts w:hint="default" w:ascii="Times New Roman" w:hAnsi="Times New Roman" w:eastAsia="宋体" w:cs="Times New Roman"/>
          <w:color w:val="FF0000"/>
          <w:sz w:val="24"/>
          <w:szCs w:val="22"/>
          <w:highlight w:val="none"/>
          <w:lang w:val="en-US" w:eastAsia="zh-CN"/>
        </w:rPr>
        <w:t>饲养</w:t>
      </w:r>
      <w:r>
        <w:rPr>
          <w:rFonts w:hint="default" w:ascii="Times New Roman" w:hAnsi="Times New Roman" w:eastAsia="宋体" w:cs="Times New Roman"/>
          <w:color w:val="FF0000"/>
          <w:sz w:val="24"/>
          <w:szCs w:val="22"/>
          <w:highlight w:val="none"/>
          <w:lang w:val="en-US" w:eastAsia="zh-CN"/>
        </w:rPr>
        <w:t>流程叙述：</w:t>
      </w:r>
      <w:bookmarkEnd w:id="239"/>
      <w:bookmarkEnd w:id="240"/>
    </w:p>
    <w:p w14:paraId="0AC2C403">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项目运营期间主要进行母牛受精、妊娠、分娩哺乳、仔牛保育、育肥五个生产程序，以“天”为计算单位，生产作业程序性生产方式，全过程分为五个生产环节。</w:t>
      </w:r>
    </w:p>
    <w:p w14:paraId="121D5C37">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本项目能繁母牛的繁殖周期为365天，其中产后泌乳为60天，配种及空怀观察期为90天，妊娠期为300天。</w:t>
      </w:r>
    </w:p>
    <w:p w14:paraId="6DB55DEC">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配种阶段：此阶段是从母牛产后90天开始进行第一次受精，受精后经妊娠诊断入妊娠牛舍之前，持续时间30天，最终确定</w:t>
      </w:r>
      <w:r>
        <w:rPr>
          <w:rFonts w:hint="default" w:ascii="Times New Roman" w:hAnsi="Times New Roman" w:eastAsia="宋体" w:cs="Times New Roman"/>
          <w:color w:val="auto"/>
          <w:sz w:val="24"/>
          <w:szCs w:val="22"/>
          <w:highlight w:val="none"/>
          <w:lang w:val="en-US" w:eastAsia="zh-CN"/>
        </w:rPr>
        <w:t>授精</w:t>
      </w:r>
      <w:r>
        <w:rPr>
          <w:rFonts w:hint="default" w:ascii="Times New Roman" w:hAnsi="Times New Roman" w:eastAsia="宋体" w:cs="Times New Roman"/>
          <w:color w:val="auto"/>
          <w:sz w:val="24"/>
          <w:szCs w:val="22"/>
          <w:highlight w:val="none"/>
          <w:lang w:val="en-US" w:eastAsia="zh-CN"/>
        </w:rPr>
        <w:t>成功。根据母牛的发情症状，适时配种以保证较高的受胎率；对返情母牛及时补配。</w:t>
      </w:r>
    </w:p>
    <w:p w14:paraId="30BA6473">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妊分娩阶段：妊娠阶段是指从配种牛舍转入妊娠牛舍至分娩前的时间，妊娠期为300天。分娩前1周转入产房产仔。搞好妊娠母牛的饲养，使之保持良好的体况，既要有一定的营养保证胎儿发育，储备供将来泌乳之需了又不能过肥，造成繁殖困难；注意观察</w:t>
      </w:r>
      <w:r>
        <w:rPr>
          <w:rFonts w:hint="default" w:ascii="Times New Roman" w:hAnsi="Times New Roman" w:eastAsia="宋体" w:cs="Times New Roman"/>
          <w:color w:val="auto"/>
          <w:sz w:val="24"/>
          <w:szCs w:val="22"/>
          <w:highlight w:val="none"/>
          <w:lang w:val="en-US" w:eastAsia="zh-CN"/>
        </w:rPr>
        <w:t>发情</w:t>
      </w:r>
      <w:r>
        <w:rPr>
          <w:rFonts w:hint="default" w:ascii="Times New Roman" w:hAnsi="Times New Roman" w:eastAsia="宋体" w:cs="Times New Roman"/>
          <w:color w:val="auto"/>
          <w:sz w:val="24"/>
          <w:szCs w:val="22"/>
          <w:highlight w:val="none"/>
          <w:lang w:val="en-US" w:eastAsia="zh-CN"/>
        </w:rPr>
        <w:t>及早期流产的母牛，适时补配。</w:t>
      </w:r>
    </w:p>
    <w:p w14:paraId="3FEBA815">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哺乳阶段：此阶段是产后开始至仔牛断奶为止，时间为60天。仔牛断奶后，母牛转入配种牛舍配种，断奶仔牛转入育肥舍培育。本阶段相对技术含量较高，要求饲养人员责任心强，具有良好的思想文化素质。抓好出生关，做好接产工作，使母牛顺利分娩；抓好补饲关提高仔牛断奶体重。</w:t>
      </w:r>
    </w:p>
    <w:p w14:paraId="20633F05">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仔牛保育阶段：此阶段是断奶仔牛从产房转入到仔牛育肥舍开始至离开仔牛育肥舍止，时间约为310天。随后牛犊转入生产育肥牛舍。由于本阶段仔牛从产仔牛舍转移到育肥舍，生活环境发生较大变化，应积极采取有效措施，预防仔牛的应激反应，保持仔牛良好的生长态势。</w:t>
      </w:r>
    </w:p>
    <w:p w14:paraId="4985A2D9">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生产育肥阶段：保育仔牛经过保育育肥以后成年，同时项目外购育肥牛一并进入育肥舍进行育肥饲养，育肥牛体重达到300～400kg</w:t>
      </w:r>
      <w:r>
        <w:rPr>
          <w:rFonts w:hint="default" w:ascii="Times New Roman" w:hAnsi="Times New Roman" w:eastAsia="宋体" w:cs="Times New Roman"/>
          <w:color w:val="auto"/>
          <w:sz w:val="24"/>
          <w:szCs w:val="22"/>
          <w:highlight w:val="none"/>
          <w:lang w:val="en-US" w:eastAsia="zh-CN"/>
        </w:rPr>
        <w:t>，</w:t>
      </w:r>
      <w:r>
        <w:rPr>
          <w:rFonts w:hint="default" w:ascii="Times New Roman" w:hAnsi="Times New Roman" w:eastAsia="宋体" w:cs="Times New Roman"/>
          <w:color w:val="auto"/>
          <w:sz w:val="24"/>
          <w:szCs w:val="22"/>
          <w:highlight w:val="none"/>
          <w:lang w:val="en-US" w:eastAsia="zh-CN"/>
        </w:rPr>
        <w:t>进入育肥舍开始饲养至体重达出栏结束为生产育肥阶段。育肥饲养期为12月，肉牛达800kg体重出栏。本阶段的主要任务是让牛充分生长，提高牛的饲料利用率。</w:t>
      </w:r>
    </w:p>
    <w:p w14:paraId="5815A2D5">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outlineLvl w:val="2"/>
        <w:rPr>
          <w:rFonts w:hint="default" w:ascii="Times New Roman" w:hAnsi="Times New Roman" w:eastAsia="宋体" w:cs="Times New Roman"/>
          <w:color w:val="FF0000"/>
          <w:sz w:val="24"/>
          <w:szCs w:val="22"/>
          <w:highlight w:val="none"/>
          <w:lang w:val="en-US" w:eastAsia="zh-CN"/>
        </w:rPr>
      </w:pPr>
      <w:bookmarkStart w:id="241" w:name="_Toc31535"/>
      <w:bookmarkStart w:id="242" w:name="_Toc26882"/>
      <w:r>
        <w:rPr>
          <w:rFonts w:hint="default" w:ascii="Times New Roman" w:hAnsi="Times New Roman" w:eastAsia="宋体" w:cs="Times New Roman"/>
          <w:color w:val="FF0000"/>
          <w:sz w:val="24"/>
          <w:szCs w:val="22"/>
          <w:highlight w:val="none"/>
          <w:lang w:val="en-US" w:eastAsia="zh-CN"/>
        </w:rPr>
        <w:t>（2）架子牛饲养</w:t>
      </w:r>
      <w:r>
        <w:rPr>
          <w:rFonts w:hint="default" w:ascii="Times New Roman" w:hAnsi="Times New Roman" w:eastAsia="宋体" w:cs="Times New Roman"/>
          <w:color w:val="FF0000"/>
          <w:sz w:val="24"/>
          <w:szCs w:val="22"/>
          <w:highlight w:val="none"/>
          <w:lang w:val="en-US" w:eastAsia="zh-CN"/>
        </w:rPr>
        <w:t>流程叙述：</w:t>
      </w:r>
      <w:bookmarkEnd w:id="241"/>
      <w:bookmarkEnd w:id="242"/>
    </w:p>
    <w:p w14:paraId="457F0C15">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FF0000"/>
          <w:sz w:val="24"/>
          <w:szCs w:val="22"/>
          <w:highlight w:val="none"/>
          <w:lang w:val="en-US" w:eastAsia="zh-CN"/>
        </w:rPr>
      </w:pPr>
      <w:r>
        <w:rPr>
          <w:rFonts w:hint="default" w:ascii="Times New Roman" w:hAnsi="Times New Roman" w:eastAsia="宋体" w:cs="Times New Roman"/>
          <w:color w:val="FF0000"/>
          <w:sz w:val="24"/>
          <w:szCs w:val="22"/>
          <w:highlight w:val="none"/>
          <w:lang w:val="en-US" w:eastAsia="zh-CN"/>
        </w:rPr>
        <w:t>本项目各品种牛均购买6月龄架子牛，分三个阶段（初期育肥、育肥期、催肥期）采取不同的技术措施，达到快速增重的目的。饲养周期为</w:t>
      </w:r>
      <w:r>
        <w:rPr>
          <w:rFonts w:hint="default" w:ascii="Times New Roman" w:hAnsi="Times New Roman" w:eastAsia="宋体" w:cs="Times New Roman"/>
          <w:color w:val="FF0000"/>
          <w:sz w:val="24"/>
          <w:szCs w:val="22"/>
          <w:highlight w:val="none"/>
          <w:lang w:val="en-US" w:eastAsia="zh-CN"/>
        </w:rPr>
        <w:t>12</w:t>
      </w:r>
      <w:r>
        <w:rPr>
          <w:rFonts w:hint="default" w:ascii="Times New Roman" w:hAnsi="Times New Roman" w:eastAsia="宋体" w:cs="Times New Roman"/>
          <w:color w:val="FF0000"/>
          <w:sz w:val="24"/>
          <w:szCs w:val="22"/>
          <w:highlight w:val="none"/>
          <w:lang w:val="en-US" w:eastAsia="zh-CN"/>
        </w:rPr>
        <w:t>个月，体重在</w:t>
      </w:r>
      <w:r>
        <w:rPr>
          <w:rFonts w:hint="default" w:ascii="Times New Roman" w:hAnsi="Times New Roman" w:eastAsia="宋体" w:cs="Times New Roman"/>
          <w:color w:val="FF0000"/>
          <w:sz w:val="24"/>
          <w:szCs w:val="22"/>
          <w:highlight w:val="none"/>
          <w:lang w:val="en-US" w:eastAsia="zh-CN"/>
        </w:rPr>
        <w:t>8</w:t>
      </w:r>
      <w:r>
        <w:rPr>
          <w:rFonts w:hint="default" w:ascii="Times New Roman" w:hAnsi="Times New Roman" w:eastAsia="宋体" w:cs="Times New Roman"/>
          <w:color w:val="FF0000"/>
          <w:sz w:val="24"/>
          <w:szCs w:val="22"/>
          <w:highlight w:val="none"/>
          <w:lang w:val="en-US" w:eastAsia="zh-CN"/>
        </w:rPr>
        <w:t>00公斤时出栏。</w:t>
      </w:r>
    </w:p>
    <w:p w14:paraId="6BA4D8A4">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FF0000"/>
          <w:sz w:val="24"/>
          <w:szCs w:val="22"/>
          <w:highlight w:val="none"/>
          <w:lang w:val="en-US" w:eastAsia="zh-CN"/>
        </w:rPr>
      </w:pPr>
      <w:r>
        <w:rPr>
          <w:rFonts w:hint="default" w:ascii="Times New Roman" w:hAnsi="Times New Roman" w:eastAsia="宋体" w:cs="Times New Roman"/>
          <w:color w:val="FF0000"/>
          <w:sz w:val="24"/>
          <w:szCs w:val="22"/>
          <w:highlight w:val="none"/>
          <w:lang w:val="en-US" w:eastAsia="zh-CN"/>
        </w:rPr>
        <w:t>育肥牛的主要工艺参数如下：</w:t>
      </w:r>
    </w:p>
    <w:p w14:paraId="2458E132">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FF0000"/>
          <w:sz w:val="24"/>
          <w:szCs w:val="22"/>
          <w:highlight w:val="none"/>
          <w:lang w:val="en-US" w:eastAsia="zh-CN"/>
        </w:rPr>
      </w:pPr>
      <w:r>
        <w:rPr>
          <w:rFonts w:hint="default" w:ascii="Times New Roman" w:hAnsi="Times New Roman" w:eastAsia="宋体" w:cs="Times New Roman"/>
          <w:color w:val="FF0000"/>
          <w:sz w:val="24"/>
          <w:szCs w:val="22"/>
          <w:highlight w:val="none"/>
          <w:lang w:val="en-US" w:eastAsia="zh-CN"/>
        </w:rPr>
        <w:t>①架子牛购进标准</w:t>
      </w:r>
    </w:p>
    <w:p w14:paraId="25B08634">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FF0000"/>
          <w:sz w:val="24"/>
          <w:szCs w:val="22"/>
          <w:highlight w:val="none"/>
          <w:lang w:val="en-US" w:eastAsia="zh-CN"/>
        </w:rPr>
      </w:pPr>
      <w:r>
        <w:rPr>
          <w:rFonts w:hint="default" w:ascii="Times New Roman" w:hAnsi="Times New Roman" w:eastAsia="宋体" w:cs="Times New Roman"/>
          <w:color w:val="FF0000"/>
          <w:sz w:val="24"/>
          <w:szCs w:val="22"/>
          <w:highlight w:val="none"/>
          <w:lang w:val="en-US" w:eastAsia="zh-CN"/>
        </w:rPr>
        <w:t>本项目外购的架子牛月龄为6月龄左右，体重约250kg。</w:t>
      </w:r>
    </w:p>
    <w:p w14:paraId="214D002D">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FF0000"/>
          <w:sz w:val="24"/>
          <w:szCs w:val="22"/>
          <w:highlight w:val="none"/>
          <w:lang w:val="en-US" w:eastAsia="zh-CN"/>
        </w:rPr>
      </w:pPr>
      <w:r>
        <w:rPr>
          <w:rFonts w:hint="default" w:ascii="Times New Roman" w:hAnsi="Times New Roman" w:eastAsia="宋体" w:cs="Times New Roman"/>
          <w:color w:val="FF0000"/>
          <w:sz w:val="24"/>
          <w:szCs w:val="22"/>
          <w:highlight w:val="none"/>
          <w:lang w:val="en-US" w:eastAsia="zh-CN"/>
        </w:rPr>
        <w:t>②育肥牛出栏标准</w:t>
      </w:r>
    </w:p>
    <w:p w14:paraId="31D7A716">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FF0000"/>
          <w:sz w:val="24"/>
          <w:szCs w:val="22"/>
          <w:highlight w:val="none"/>
          <w:lang w:val="en-US" w:eastAsia="zh-CN"/>
        </w:rPr>
      </w:pPr>
      <w:r>
        <w:rPr>
          <w:rFonts w:hint="default" w:ascii="Times New Roman" w:hAnsi="Times New Roman" w:eastAsia="宋体" w:cs="Times New Roman"/>
          <w:color w:val="FF0000"/>
          <w:sz w:val="24"/>
          <w:szCs w:val="22"/>
          <w:highlight w:val="none"/>
          <w:lang w:val="en-US" w:eastAsia="zh-CN"/>
        </w:rPr>
        <w:t>牛在育肥牛场的育肥天数为</w:t>
      </w:r>
      <w:r>
        <w:rPr>
          <w:rFonts w:hint="default" w:ascii="Times New Roman" w:hAnsi="Times New Roman" w:eastAsia="宋体" w:cs="Times New Roman"/>
          <w:color w:val="FF0000"/>
          <w:sz w:val="24"/>
          <w:szCs w:val="22"/>
          <w:highlight w:val="none"/>
          <w:lang w:val="en-US" w:eastAsia="zh-CN"/>
        </w:rPr>
        <w:t>365</w:t>
      </w:r>
      <w:r>
        <w:rPr>
          <w:rFonts w:hint="default" w:ascii="Times New Roman" w:hAnsi="Times New Roman" w:eastAsia="宋体" w:cs="Times New Roman"/>
          <w:color w:val="FF0000"/>
          <w:sz w:val="24"/>
          <w:szCs w:val="22"/>
          <w:highlight w:val="none"/>
          <w:lang w:val="en-US" w:eastAsia="zh-CN"/>
        </w:rPr>
        <w:t>天，出栏体重约为</w:t>
      </w:r>
      <w:r>
        <w:rPr>
          <w:rFonts w:hint="default" w:ascii="Times New Roman" w:hAnsi="Times New Roman" w:eastAsia="宋体" w:cs="Times New Roman"/>
          <w:color w:val="FF0000"/>
          <w:sz w:val="24"/>
          <w:szCs w:val="22"/>
          <w:highlight w:val="none"/>
          <w:lang w:val="en-US" w:eastAsia="zh-CN"/>
        </w:rPr>
        <w:t>8</w:t>
      </w:r>
      <w:r>
        <w:rPr>
          <w:rFonts w:hint="default" w:ascii="Times New Roman" w:hAnsi="Times New Roman" w:eastAsia="宋体" w:cs="Times New Roman"/>
          <w:color w:val="FF0000"/>
          <w:sz w:val="24"/>
          <w:szCs w:val="22"/>
          <w:highlight w:val="none"/>
          <w:lang w:val="en-US" w:eastAsia="zh-CN"/>
        </w:rPr>
        <w:t>00kg。</w:t>
      </w:r>
    </w:p>
    <w:p w14:paraId="12E86A15">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FF0000"/>
          <w:sz w:val="24"/>
          <w:szCs w:val="22"/>
          <w:highlight w:val="none"/>
          <w:lang w:val="en-US" w:eastAsia="zh-CN"/>
        </w:rPr>
      </w:pPr>
      <w:r>
        <w:rPr>
          <w:rFonts w:hint="default" w:ascii="Times New Roman" w:hAnsi="Times New Roman" w:eastAsia="宋体" w:cs="Times New Roman"/>
          <w:color w:val="FF0000"/>
          <w:sz w:val="24"/>
          <w:szCs w:val="22"/>
          <w:highlight w:val="none"/>
          <w:lang w:val="en-US" w:eastAsia="zh-CN"/>
        </w:rPr>
        <w:t>③喂饲方式及饲料标准</w:t>
      </w:r>
    </w:p>
    <w:p w14:paraId="45C08B57">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FF0000"/>
          <w:sz w:val="24"/>
          <w:szCs w:val="22"/>
          <w:highlight w:val="none"/>
          <w:lang w:val="en-US" w:eastAsia="zh-CN"/>
        </w:rPr>
      </w:pPr>
      <w:r>
        <w:rPr>
          <w:rFonts w:hint="default" w:ascii="Times New Roman" w:hAnsi="Times New Roman" w:eastAsia="宋体" w:cs="Times New Roman"/>
          <w:color w:val="FF0000"/>
          <w:sz w:val="24"/>
          <w:szCs w:val="22"/>
          <w:highlight w:val="none"/>
          <w:lang w:val="en-US" w:eastAsia="zh-CN"/>
        </w:rPr>
        <w:t>根据牛的日增重标准，全舍饲育肥牛采用定时人工给料、自动供水的喂饲方式。</w:t>
      </w:r>
    </w:p>
    <w:p w14:paraId="6ADA14D7">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sz w:val="24"/>
          <w:szCs w:val="22"/>
          <w:highlight w:val="none"/>
          <w:lang w:val="en-US" w:eastAsia="zh-CN"/>
        </w:rPr>
      </w:pPr>
    </w:p>
    <w:p w14:paraId="7A657AFD">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sz w:val="24"/>
          <w:szCs w:val="22"/>
          <w:highlight w:val="none"/>
          <w:lang w:val="en-US" w:eastAsia="zh-CN"/>
        </w:rPr>
      </w:pPr>
    </w:p>
    <w:p w14:paraId="070E065F">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sz w:val="24"/>
          <w:szCs w:val="22"/>
          <w:highlight w:val="none"/>
          <w:lang w:val="en-US" w:eastAsia="zh-CN"/>
        </w:rPr>
      </w:pPr>
    </w:p>
    <w:p w14:paraId="192F2E5F">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sz w:val="24"/>
          <w:szCs w:val="22"/>
          <w:highlight w:val="none"/>
          <w:lang w:val="en-US" w:eastAsia="zh-CN"/>
        </w:rPr>
      </w:pPr>
    </w:p>
    <w:p w14:paraId="74412BB8">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b/>
          <w:bCs/>
          <w:color w:val="auto"/>
          <w:highlight w:val="none"/>
        </w:rPr>
        <w:object>
          <v:shape id="_x0000_i1030" o:spt="75" type="#_x0000_t75" style="height:296.6pt;width:198.45pt;" o:ole="t" filled="f" o:preferrelative="t" stroked="f" coordsize="21600,21600">
            <v:path/>
            <v:fill on="f" focussize="0,0"/>
            <v:stroke on="f"/>
            <v:imagedata r:id="rId33" o:title=""/>
            <o:lock v:ext="edit" aspectratio="t"/>
            <w10:wrap type="none"/>
            <w10:anchorlock/>
          </v:shape>
          <o:OLEObject Type="Embed" ProgID="Visio.Drawing.11" ShapeID="_x0000_i1030" DrawAspect="Content" ObjectID="_1468075730" r:id="rId32">
            <o:LockedField>false</o:LockedField>
          </o:OLEObject>
        </w:object>
      </w:r>
    </w:p>
    <w:p w14:paraId="4DFAF182">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b/>
          <w:bCs/>
          <w:color w:val="auto"/>
          <w:highlight w:val="none"/>
        </w:rPr>
        <w:t>图3.2-</w:t>
      </w:r>
      <w:r>
        <w:rPr>
          <w:rFonts w:hint="default" w:ascii="Times New Roman" w:hAnsi="Times New Roman" w:eastAsia="宋体" w:cs="Times New Roman"/>
          <w:b/>
          <w:bCs/>
          <w:color w:val="auto"/>
          <w:highlight w:val="none"/>
          <w:lang w:val="en-US" w:eastAsia="zh-CN"/>
        </w:rPr>
        <w:t>2</w:t>
      </w:r>
      <w:r>
        <w:rPr>
          <w:rFonts w:hint="default" w:ascii="Times New Roman" w:hAnsi="Times New Roman" w:eastAsia="宋体" w:cs="Times New Roman"/>
          <w:b/>
          <w:bCs/>
          <w:color w:val="auto"/>
          <w:highlight w:val="none"/>
          <w:lang w:eastAsia="zh-CN"/>
        </w:rPr>
        <w:t>肉牛饲养</w:t>
      </w:r>
      <w:r>
        <w:rPr>
          <w:rFonts w:hint="default" w:ascii="Times New Roman" w:hAnsi="Times New Roman" w:eastAsia="宋体" w:cs="Times New Roman"/>
          <w:b/>
          <w:bCs/>
          <w:color w:val="auto"/>
          <w:highlight w:val="none"/>
        </w:rPr>
        <w:t>工艺流程及产污环节</w:t>
      </w:r>
    </w:p>
    <w:p w14:paraId="30B8A0AB">
      <w:pPr>
        <w:pStyle w:val="5"/>
        <w:pageBreakBefore w:val="0"/>
        <w:kinsoku/>
        <w:wordWrap/>
        <w:overflowPunct/>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243" w:name="_Toc46421097"/>
      <w:bookmarkStart w:id="244" w:name="_Toc18392"/>
      <w:r>
        <w:rPr>
          <w:rFonts w:hint="default" w:ascii="Times New Roman" w:hAnsi="Times New Roman" w:eastAsia="宋体" w:cs="Times New Roman"/>
          <w:color w:val="auto"/>
          <w:highlight w:val="none"/>
        </w:rPr>
        <w:t>3.2.</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粪污清理工艺</w:t>
      </w:r>
      <w:bookmarkEnd w:id="243"/>
      <w:bookmarkEnd w:id="244"/>
    </w:p>
    <w:p w14:paraId="1DC04BC1">
      <w:pPr>
        <w:pageBreakBefore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rPr>
        <w:t>本项目采用散栏式饲养结合运动场散养技术：肉牛可在不拴系、无固定床位的牛舍中自由采食、自由饮水和自由运动。项目牛舍采用干清粪工艺。牛舍及运动场垫料主要为碎秸秆和木屑。粪污采用清粪车将牛舍内粪污铲出，后由清粪车运至粪污处理池储存并堆肥，作为有机肥还田利用。</w:t>
      </w:r>
    </w:p>
    <w:p w14:paraId="553D20F7">
      <w:pPr>
        <w:pageBreakBefore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干清粪工艺的优点是粪便一经产生便分流，可保持舍内清洁，无臭味，产生的污水量少，且浓度低，易于净化处理，最大限度地减少废水的产生和排放，降低废水的污染负荷。干粪直接分离，养分损失小，肥料价值高，经过适当堆制后，可制作出高效生物活性有机肥，是减少和降低畜禽生产给环境所造成严重污染的重要措施之一。</w:t>
      </w:r>
    </w:p>
    <w:p w14:paraId="3C15C8B6">
      <w:pPr>
        <w:pStyle w:val="5"/>
        <w:pageBreakBefore w:val="0"/>
        <w:kinsoku/>
        <w:wordWrap/>
        <w:overflowPunct/>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245" w:name="_Toc2334"/>
      <w:r>
        <w:rPr>
          <w:rFonts w:hint="default" w:ascii="Times New Roman" w:hAnsi="Times New Roman" w:eastAsia="宋体" w:cs="Times New Roman"/>
          <w:color w:val="auto"/>
          <w:highlight w:val="none"/>
        </w:rPr>
        <w:t>3.2.</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eastAsia="zh-CN"/>
        </w:rPr>
        <w:t>堆肥</w:t>
      </w:r>
      <w:r>
        <w:rPr>
          <w:rFonts w:hint="default" w:ascii="Times New Roman" w:hAnsi="Times New Roman" w:eastAsia="宋体" w:cs="Times New Roman"/>
          <w:color w:val="auto"/>
          <w:highlight w:val="none"/>
        </w:rPr>
        <w:t>工艺</w:t>
      </w:r>
      <w:bookmarkEnd w:id="245"/>
    </w:p>
    <w:p w14:paraId="6156D7D6">
      <w:pPr>
        <w:pageBreakBefore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根据《畜禽养殖业污染治理工程技术规范》（HJ497-2009），本项目牛粪便的处理采用比较成熟的好氧堆肥发酵制作有机肥工艺。处理流程为预处理、发酵等工段。</w:t>
      </w:r>
    </w:p>
    <w:p w14:paraId="0AA14C24">
      <w:pPr>
        <w:pageBreakBefore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lang w:val="en-US" w:eastAsia="zh-CN"/>
        </w:rPr>
        <w:t>1</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rPr>
        <w:t>堆肥发酵工艺流程</w:t>
      </w:r>
    </w:p>
    <w:p w14:paraId="239451E9">
      <w:pPr>
        <w:pageBreakBefore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rPr>
        <w:t>根据《畜禽养殖业污染治理工程技术规范》（HJ497</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rPr>
        <w:t>2009），本项目</w:t>
      </w:r>
      <w:r>
        <w:rPr>
          <w:rFonts w:hint="default" w:ascii="Times New Roman" w:hAnsi="Times New Roman" w:eastAsia="宋体" w:cs="Times New Roman"/>
          <w:color w:val="FF0000"/>
          <w:highlight w:val="none"/>
          <w:lang w:eastAsia="zh-CN"/>
        </w:rPr>
        <w:t>牛粪便</w:t>
      </w:r>
      <w:r>
        <w:rPr>
          <w:rFonts w:hint="default" w:ascii="Times New Roman" w:hAnsi="Times New Roman" w:eastAsia="宋体" w:cs="Times New Roman"/>
          <w:color w:val="FF0000"/>
          <w:highlight w:val="none"/>
        </w:rPr>
        <w:t>的处理采用比较成熟的好氧堆肥发酵制作有机肥工艺。处理流程为预处理、发酵等工段。</w:t>
      </w:r>
    </w:p>
    <w:p w14:paraId="5FBDC542">
      <w:pPr>
        <w:pageBreakBefore w:val="0"/>
        <w:kinsoku/>
        <w:wordWrap/>
        <w:overflowPunct/>
        <w:autoSpaceDN/>
        <w:bidi w:val="0"/>
        <w:adjustRightInd/>
        <w:snapToGrid w:val="0"/>
        <w:spacing w:line="360" w:lineRule="auto"/>
        <w:ind w:left="0" w:leftChars="0" w:right="0" w:rightChars="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rPr>
        <w:t>①</w:t>
      </w:r>
      <w:r>
        <w:rPr>
          <w:rFonts w:hint="default" w:ascii="Times New Roman" w:hAnsi="Times New Roman" w:eastAsia="宋体" w:cs="Times New Roman"/>
          <w:color w:val="FF0000"/>
          <w:highlight w:val="none"/>
          <w:lang w:eastAsia="zh-CN"/>
        </w:rPr>
        <w:t>牛粪便</w:t>
      </w:r>
      <w:r>
        <w:rPr>
          <w:rFonts w:hint="default" w:ascii="Times New Roman" w:hAnsi="Times New Roman" w:eastAsia="宋体" w:cs="Times New Roman"/>
          <w:color w:val="FF0000"/>
          <w:highlight w:val="none"/>
        </w:rPr>
        <w:t>预处理</w:t>
      </w:r>
    </w:p>
    <w:p w14:paraId="7BB45908">
      <w:pPr>
        <w:pageBreakBefore w:val="0"/>
        <w:kinsoku/>
        <w:wordWrap/>
        <w:overflowPunct/>
        <w:autoSpaceDN/>
        <w:bidi w:val="0"/>
        <w:adjustRightInd/>
        <w:snapToGrid w:val="0"/>
        <w:spacing w:line="360" w:lineRule="auto"/>
        <w:ind w:left="0" w:leftChars="0" w:right="0" w:rightChars="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rPr>
        <w:t>每天将牛舍清运来的</w:t>
      </w:r>
      <w:r>
        <w:rPr>
          <w:rFonts w:hint="default" w:ascii="Times New Roman" w:hAnsi="Times New Roman" w:eastAsia="宋体" w:cs="Times New Roman"/>
          <w:color w:val="FF0000"/>
          <w:highlight w:val="none"/>
          <w:lang w:eastAsia="zh-CN"/>
        </w:rPr>
        <w:t>牛粪便</w:t>
      </w:r>
      <w:r>
        <w:rPr>
          <w:rFonts w:hint="default" w:ascii="Times New Roman" w:hAnsi="Times New Roman" w:eastAsia="宋体" w:cs="Times New Roman"/>
          <w:color w:val="FF0000"/>
          <w:highlight w:val="none"/>
        </w:rPr>
        <w:t>用污罐车送到</w:t>
      </w:r>
      <w:r>
        <w:rPr>
          <w:rFonts w:hint="default" w:ascii="Times New Roman" w:hAnsi="Times New Roman" w:eastAsia="宋体" w:cs="Times New Roman"/>
          <w:color w:val="FF0000"/>
          <w:highlight w:val="none"/>
          <w:lang w:eastAsia="zh-CN"/>
        </w:rPr>
        <w:t>粪污处理池</w:t>
      </w:r>
      <w:r>
        <w:rPr>
          <w:rFonts w:hint="default" w:ascii="Times New Roman" w:hAnsi="Times New Roman" w:eastAsia="宋体" w:cs="Times New Roman"/>
          <w:color w:val="FF0000"/>
          <w:highlight w:val="none"/>
        </w:rPr>
        <w:t>进行堆肥。</w:t>
      </w:r>
    </w:p>
    <w:p w14:paraId="72E45307">
      <w:pPr>
        <w:pageBreakBefore w:val="0"/>
        <w:kinsoku/>
        <w:wordWrap/>
        <w:overflowPunct/>
        <w:autoSpaceDN/>
        <w:bidi w:val="0"/>
        <w:adjustRightInd/>
        <w:snapToGrid w:val="0"/>
        <w:spacing w:line="360" w:lineRule="auto"/>
        <w:ind w:left="0" w:leftChars="0" w:right="0" w:rightChars="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rPr>
        <w:t>②调整C/N比、水分</w:t>
      </w:r>
    </w:p>
    <w:p w14:paraId="38F91D40">
      <w:pPr>
        <w:pageBreakBefore w:val="0"/>
        <w:kinsoku/>
        <w:wordWrap/>
        <w:overflowPunct/>
        <w:autoSpaceDN/>
        <w:bidi w:val="0"/>
        <w:adjustRightInd/>
        <w:snapToGrid w:val="0"/>
        <w:spacing w:line="360" w:lineRule="auto"/>
        <w:ind w:left="0" w:leftChars="0" w:right="0" w:rightChars="0"/>
        <w:textAlignment w:val="auto"/>
        <w:rPr>
          <w:rFonts w:hint="default" w:ascii="Times New Roman" w:hAnsi="Times New Roman" w:eastAsia="宋体" w:cs="Times New Roman"/>
          <w:color w:val="00B050"/>
          <w:highlight w:val="none"/>
        </w:rPr>
      </w:pPr>
      <w:r>
        <w:rPr>
          <w:rFonts w:hint="default" w:ascii="Times New Roman" w:hAnsi="Times New Roman" w:eastAsia="宋体" w:cs="Times New Roman"/>
          <w:color w:val="00B050"/>
          <w:highlight w:val="none"/>
          <w:lang w:eastAsia="zh-CN"/>
        </w:rPr>
        <w:t>肉牛尿液与牛粪便混合在一起，并于牛舍清理出的垫土进行拌合，保持堆肥材料的含水率在20%～30%之间</w:t>
      </w:r>
      <w:r>
        <w:rPr>
          <w:rFonts w:hint="default" w:ascii="Times New Roman" w:hAnsi="Times New Roman" w:eastAsia="宋体" w:cs="Times New Roman"/>
          <w:color w:val="00B050"/>
          <w:highlight w:val="none"/>
        </w:rPr>
        <w:t>。</w:t>
      </w:r>
    </w:p>
    <w:p w14:paraId="6863243E">
      <w:pPr>
        <w:pageBreakBefore w:val="0"/>
        <w:kinsoku/>
        <w:wordWrap/>
        <w:overflowPunct/>
        <w:autoSpaceDN/>
        <w:bidi w:val="0"/>
        <w:adjustRightInd/>
        <w:snapToGrid w:val="0"/>
        <w:spacing w:line="360" w:lineRule="auto"/>
        <w:ind w:left="0" w:leftChars="0" w:right="0" w:rightChars="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rPr>
        <w:t>③通气状况</w:t>
      </w:r>
    </w:p>
    <w:p w14:paraId="084FF6C2">
      <w:pPr>
        <w:pageBreakBefore w:val="0"/>
        <w:kinsoku/>
        <w:wordWrap/>
        <w:overflowPunct/>
        <w:autoSpaceDN/>
        <w:bidi w:val="0"/>
        <w:adjustRightInd/>
        <w:snapToGrid w:val="0"/>
        <w:spacing w:line="360" w:lineRule="auto"/>
        <w:ind w:left="0" w:leftChars="0" w:right="0" w:rightChars="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rPr>
        <w:t>好氧发酵是利用好氧微生物在有氧状态下对有机质进行的快速分解，因此，通气是保证好氧发酵顺利进行的重要因素之一。通风供氧起到三个作用，一是给微生物提供新陈代谢所需的氧气，二是带走部分水分，三是控制堆体温度。</w:t>
      </w:r>
    </w:p>
    <w:p w14:paraId="00A749A4">
      <w:pPr>
        <w:pageBreakBefore w:val="0"/>
        <w:kinsoku/>
        <w:wordWrap/>
        <w:overflowPunct/>
        <w:autoSpaceDN/>
        <w:bidi w:val="0"/>
        <w:adjustRightInd/>
        <w:snapToGrid w:val="0"/>
        <w:spacing w:line="360" w:lineRule="auto"/>
        <w:ind w:left="0" w:leftChars="0" w:right="0" w:rightChars="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rPr>
        <w:t>④pH值</w:t>
      </w:r>
    </w:p>
    <w:p w14:paraId="08C996E9">
      <w:pPr>
        <w:pageBreakBefore w:val="0"/>
        <w:kinsoku/>
        <w:wordWrap/>
        <w:overflowPunct/>
        <w:autoSpaceDN/>
        <w:bidi w:val="0"/>
        <w:adjustRightInd/>
        <w:snapToGrid w:val="0"/>
        <w:spacing w:line="360" w:lineRule="auto"/>
        <w:ind w:left="0" w:leftChars="0" w:right="0" w:rightChars="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rPr>
        <w:t>pH值</w:t>
      </w:r>
      <w:r>
        <w:rPr>
          <w:rFonts w:hint="default" w:ascii="Times New Roman" w:hAnsi="Times New Roman" w:eastAsia="宋体" w:cs="Times New Roman"/>
          <w:color w:val="FF0000"/>
          <w:highlight w:val="none"/>
          <w:lang w:eastAsia="zh-CN"/>
        </w:rPr>
        <w:t>是</w:t>
      </w:r>
      <w:r>
        <w:rPr>
          <w:rFonts w:hint="default" w:ascii="Times New Roman" w:hAnsi="Times New Roman" w:eastAsia="宋体" w:cs="Times New Roman"/>
          <w:color w:val="FF0000"/>
          <w:highlight w:val="none"/>
        </w:rPr>
        <w:t>影响微生物生长的重要因素之一，微生物的降解活动需要一个微酸性或中性的环境条件。pH值过高或过低都不利于微生物的繁殖和有机物的降解。在整个反应过程中，pH值随时间和温度的变化而变化，但一般情况下，堆肥的过程中有足够的缓冲作用，能使pH值稳定在可以保证好氧分解的酸碱度水平。</w:t>
      </w:r>
    </w:p>
    <w:p w14:paraId="670FA10B">
      <w:pPr>
        <w:pageBreakBefore w:val="0"/>
        <w:kinsoku/>
        <w:wordWrap/>
        <w:overflowPunct/>
        <w:autoSpaceDN/>
        <w:bidi w:val="0"/>
        <w:adjustRightInd/>
        <w:snapToGrid w:val="0"/>
        <w:spacing w:line="360" w:lineRule="auto"/>
        <w:ind w:left="0" w:leftChars="0" w:right="0" w:rightChars="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rPr>
        <w:t>⑤好氧发酵</w:t>
      </w:r>
    </w:p>
    <w:p w14:paraId="3927E13C">
      <w:pPr>
        <w:pageBreakBefore w:val="0"/>
        <w:kinsoku/>
        <w:wordWrap/>
        <w:overflowPunct/>
        <w:autoSpaceDN/>
        <w:bidi w:val="0"/>
        <w:adjustRightInd/>
        <w:snapToGrid w:val="0"/>
        <w:spacing w:line="360" w:lineRule="auto"/>
        <w:ind w:left="0" w:leftChars="0" w:right="0" w:rightChars="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rPr>
        <w:t>将调整好水分的粪污由铲车进行</w:t>
      </w:r>
      <w:r>
        <w:rPr>
          <w:rFonts w:hint="default" w:ascii="Times New Roman" w:hAnsi="Times New Roman" w:eastAsia="宋体" w:cs="Times New Roman"/>
          <w:color w:val="FF0000"/>
          <w:highlight w:val="none"/>
          <w:lang w:eastAsia="zh-CN"/>
        </w:rPr>
        <w:t>堆垛</w:t>
      </w:r>
      <w:r>
        <w:rPr>
          <w:rFonts w:hint="default" w:ascii="Times New Roman" w:hAnsi="Times New Roman" w:eastAsia="宋体" w:cs="Times New Roman"/>
          <w:color w:val="FF0000"/>
          <w:highlight w:val="none"/>
        </w:rPr>
        <w:t>，同时加入一定量的外源微生物“起爆剂”及减少氨释放和保氮的复合菌剂，以加快发酵速度和减少氨气的释放，促使有机质的降解和腐殖质的形成，达到《畜禽粪便无害化处理技术规范》（NY/T1168-2006）中的相关要求后，用于农田施用。好氧发酵分为三个阶段：升温阶段、高温阶段、降温或腐熟保温阶段。</w:t>
      </w:r>
    </w:p>
    <w:p w14:paraId="671297C4">
      <w:pPr>
        <w:pageBreakBefore w:val="0"/>
        <w:kinsoku/>
        <w:wordWrap/>
        <w:overflowPunct/>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升温阶段</w:t>
      </w:r>
    </w:p>
    <w:p w14:paraId="326A0FD4">
      <w:pPr>
        <w:pageBreakBefore w:val="0"/>
        <w:kinsoku/>
        <w:wordWrap/>
        <w:overflowPunct/>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发酵之前，物料中就存在着各种有害、无害的土著菌群，当C/N比、水分、温度适宜时，各类微生物菌群开始繁殖。当温度达到25℃以上时，中温性微生物菌群进入旺盛的繁殖期，开始活跃地对有机物进行分解和代谢，并产生大量的热。为了缩短堆肥时间，发酵初期在堆肥原料中加入“起爆剂”，即一些含碳量高的微生物易利用的物质，使微生物迅速</w:t>
      </w:r>
      <w:r>
        <w:rPr>
          <w:rFonts w:hint="default" w:ascii="Times New Roman" w:hAnsi="Times New Roman" w:eastAsia="宋体" w:cs="Times New Roman"/>
          <w:color w:val="auto"/>
          <w:highlight w:val="none"/>
          <w:lang w:eastAsia="zh-CN"/>
        </w:rPr>
        <w:t>增殖</w:t>
      </w:r>
      <w:r>
        <w:rPr>
          <w:rFonts w:hint="default" w:ascii="Times New Roman" w:hAnsi="Times New Roman" w:eastAsia="宋体" w:cs="Times New Roman"/>
          <w:color w:val="auto"/>
          <w:highlight w:val="none"/>
        </w:rPr>
        <w:t>，积累热量到高温阶段。</w:t>
      </w:r>
    </w:p>
    <w:p w14:paraId="256908E6">
      <w:pPr>
        <w:pageBreakBefore w:val="0"/>
        <w:kinsoku/>
        <w:wordWrap/>
        <w:overflowPunct/>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b</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高温阶段</w:t>
      </w:r>
    </w:p>
    <w:p w14:paraId="3814CAD0">
      <w:pPr>
        <w:pageBreakBefore w:val="0"/>
        <w:kinsoku/>
        <w:wordWrap/>
        <w:overflowPunct/>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当发酵温度上升到45℃以上时，即进入高温阶段。除少部分残留下来的和新形成的水溶性有机物继续分解外，复杂的有机物如半纤维素、纤维素等开始强烈分解，同时腐殖质开始形成。此时嗜热真菌、好热放线菌、好热芽孢杆菌等微生物的活动占了优势。当温度升到70℃以上时，大量的嗜热菌类死亡或进入休眠状态，在各种酶的作用下，有机质仍在继续分解。随着微生物的死亡、酶的作用消退，热量逐渐降低，此时，</w:t>
      </w:r>
      <w:r>
        <w:rPr>
          <w:rFonts w:hint="default" w:ascii="Times New Roman" w:hAnsi="Times New Roman" w:eastAsia="宋体" w:cs="Times New Roman"/>
          <w:color w:val="auto"/>
          <w:highlight w:val="none"/>
          <w:lang w:eastAsia="zh-CN"/>
        </w:rPr>
        <w:t>休眠得好热</w:t>
      </w:r>
      <w:r>
        <w:rPr>
          <w:rFonts w:hint="default" w:ascii="Times New Roman" w:hAnsi="Times New Roman" w:eastAsia="宋体" w:cs="Times New Roman"/>
          <w:color w:val="auto"/>
          <w:highlight w:val="none"/>
        </w:rPr>
        <w:t>微生物又重新活跃起来并产生新的热量，经过反复几次保持的高温水平，腐殖质基本形成，堆肥物质初步形成。</w:t>
      </w:r>
    </w:p>
    <w:p w14:paraId="42652AFA">
      <w:pPr>
        <w:pageBreakBefore w:val="0"/>
        <w:kinsoku/>
        <w:wordWrap/>
        <w:overflowPunct/>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降温阶段</w:t>
      </w:r>
    </w:p>
    <w:p w14:paraId="34965166">
      <w:pPr>
        <w:pageBreakBefore w:val="0"/>
        <w:kinsoku/>
        <w:wordWrap/>
        <w:overflowPunct/>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经过7天的高温堆肥后，进入</w:t>
      </w:r>
      <w:r>
        <w:rPr>
          <w:rFonts w:hint="default" w:ascii="Times New Roman" w:hAnsi="Times New Roman" w:eastAsia="宋体" w:cs="Times New Roman"/>
          <w:color w:val="auto"/>
          <w:highlight w:val="none"/>
          <w:lang w:eastAsia="zh-CN"/>
        </w:rPr>
        <w:t>内源</w:t>
      </w:r>
      <w:r>
        <w:rPr>
          <w:rFonts w:hint="default" w:ascii="Times New Roman" w:hAnsi="Times New Roman" w:eastAsia="宋体" w:cs="Times New Roman"/>
          <w:color w:val="auto"/>
          <w:highlight w:val="none"/>
        </w:rPr>
        <w:t>呼吸后期，只剩下较难分解的有机物和新形成的腐殖质，发热量减少，温度开始下降，当下降到40℃以下，中温微生物重新开始繁殖，剩下的难分解的木质类及纤维素在真菌作用下，少量被降解。此时进入物料的腐熟阶段，将条形堆集中到一起形成大堆，进行厌氧发酵，该阶段需15天。在该阶段物料失重及产热量很小，木质素降解产物与死亡微生物中的蛋白质结合形成对植物生长极其重要的腐植酸，经过该阶段后堆肥完成</w:t>
      </w:r>
      <w:r>
        <w:rPr>
          <w:rFonts w:hint="default" w:ascii="Times New Roman" w:hAnsi="Times New Roman" w:eastAsia="宋体" w:cs="Times New Roman"/>
          <w:color w:val="auto"/>
          <w:highlight w:val="none"/>
          <w:lang w:eastAsia="zh-CN"/>
        </w:rPr>
        <w:t>。</w:t>
      </w:r>
    </w:p>
    <w:p w14:paraId="712EB0EF">
      <w:pPr>
        <w:pageBreakBefore w:val="0"/>
        <w:kinsoku/>
        <w:wordWrap/>
        <w:overflowPunct/>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根据《冬季低温环境下牛粪便堆肥参数动态研究》（胡华锋，程璞，刘卫东，黄安群，程学来）（河南牧业工程高等专科学院学报</w:t>
      </w:r>
      <w:r>
        <w:rPr>
          <w:rFonts w:hint="default" w:ascii="Times New Roman" w:hAnsi="Times New Roman" w:eastAsia="宋体" w:cs="Times New Roman"/>
          <w:color w:val="auto"/>
          <w:highlight w:val="none"/>
          <w:lang w:val="en-US" w:eastAsia="zh-CN"/>
        </w:rPr>
        <w:t>第34卷第3期），冬季室外条垛式堆肥过程中，外界环境对堆肥内部温度影响比较大，需要对堆肥进行适当的保温措施和减少堆肥的翻堆频率。因此，本项目冬季采取覆盖废旧塑料薄膜保温和减少堆肥的翻堆频率的措施保持堆肥温度。</w:t>
      </w:r>
    </w:p>
    <w:p w14:paraId="76D0DEF0">
      <w:pPr>
        <w:pageBreakBefore w:val="0"/>
        <w:kinsoku/>
        <w:wordWrap/>
        <w:overflowPunct/>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0000FF"/>
          <w:sz w:val="24"/>
          <w:szCs w:val="24"/>
          <w:highlight w:val="none"/>
          <w:lang w:val="en-US" w:eastAsia="zh-CN"/>
        </w:rPr>
        <w:t>本项目牛粪</w:t>
      </w:r>
      <w:r>
        <w:rPr>
          <w:rFonts w:hint="default" w:ascii="Times New Roman" w:hAnsi="Times New Roman" w:eastAsia="宋体" w:cs="Times New Roman"/>
          <w:color w:val="0000FF"/>
          <w:sz w:val="24"/>
          <w:szCs w:val="24"/>
          <w:highlight w:val="none"/>
          <w:lang w:val="en-US" w:eastAsia="zh-CN"/>
        </w:rPr>
        <w:t>堆肥</w:t>
      </w:r>
      <w:r>
        <w:rPr>
          <w:rFonts w:hint="default" w:ascii="Times New Roman" w:hAnsi="Times New Roman" w:eastAsia="宋体" w:cs="Times New Roman"/>
          <w:color w:val="0000FF"/>
          <w:sz w:val="24"/>
          <w:szCs w:val="24"/>
          <w:highlight w:val="none"/>
          <w:lang w:val="en-US" w:eastAsia="zh-CN"/>
        </w:rPr>
        <w:t>工艺参照《畜禽粪便无害化处理技术规范》（GB/T36195-2018）进行无害化处理，采取静态垛式（好氧堆肥技术）工艺，其堆体温度维持50℃以上的时间不少于7d，或45℃以上不少于14d</w:t>
      </w:r>
      <w:r>
        <w:rPr>
          <w:rFonts w:hint="default" w:ascii="Times New Roman" w:hAnsi="Times New Roman" w:eastAsia="宋体" w:cs="Times New Roman"/>
          <w:color w:val="0000FF"/>
          <w:sz w:val="24"/>
          <w:szCs w:val="24"/>
          <w:highlight w:val="none"/>
          <w:lang w:val="en-US" w:eastAsia="zh-CN"/>
        </w:rPr>
        <w:t>。本项目牛粪</w:t>
      </w:r>
      <w:r>
        <w:rPr>
          <w:rFonts w:hint="default" w:ascii="Times New Roman" w:hAnsi="Times New Roman" w:eastAsia="宋体" w:cs="Times New Roman"/>
          <w:color w:val="auto"/>
          <w:sz w:val="24"/>
          <w:szCs w:val="24"/>
          <w:highlight w:val="none"/>
          <w:lang w:val="en-US" w:eastAsia="zh-CN"/>
        </w:rPr>
        <w:t>发酵60天后的牛粪</w:t>
      </w:r>
      <w:r>
        <w:rPr>
          <w:rFonts w:hint="default" w:ascii="Times New Roman" w:hAnsi="Times New Roman" w:eastAsia="宋体" w:cs="Times New Roman"/>
          <w:color w:val="auto"/>
          <w:kern w:val="0"/>
          <w:sz w:val="24"/>
          <w:szCs w:val="24"/>
          <w:highlight w:val="none"/>
          <w:lang w:val="en-US" w:eastAsia="zh-CN"/>
        </w:rPr>
        <w:t>作为有机肥还田利用</w:t>
      </w:r>
      <w:r>
        <w:rPr>
          <w:rFonts w:hint="default" w:ascii="Times New Roman" w:hAnsi="Times New Roman" w:eastAsia="宋体" w:cs="Times New Roman"/>
          <w:color w:val="0000FF"/>
          <w:kern w:val="0"/>
          <w:sz w:val="24"/>
          <w:szCs w:val="24"/>
          <w:highlight w:val="none"/>
          <w:lang w:val="en-US" w:eastAsia="zh-CN"/>
        </w:rPr>
        <w:t>，</w:t>
      </w:r>
      <w:r>
        <w:rPr>
          <w:rFonts w:hint="default" w:ascii="Times New Roman" w:hAnsi="Times New Roman" w:eastAsia="宋体" w:cs="Times New Roman"/>
          <w:color w:val="0000FF"/>
          <w:sz w:val="24"/>
          <w:szCs w:val="24"/>
          <w:highlight w:val="none"/>
          <w:lang w:val="en-US" w:eastAsia="zh-CN"/>
        </w:rPr>
        <w:t>经过堆肥处理后</w:t>
      </w:r>
      <w:r>
        <w:rPr>
          <w:rFonts w:hint="default" w:ascii="Times New Roman" w:hAnsi="Times New Roman" w:eastAsia="宋体" w:cs="Times New Roman"/>
          <w:color w:val="0000FF"/>
          <w:kern w:val="0"/>
          <w:sz w:val="24"/>
          <w:szCs w:val="24"/>
          <w:highlight w:val="none"/>
          <w:lang w:val="en-US" w:eastAsia="zh-CN"/>
        </w:rPr>
        <w:t>有机肥执行表3.2-1</w:t>
      </w:r>
      <w:r>
        <w:rPr>
          <w:rFonts w:hint="default" w:ascii="Times New Roman" w:hAnsi="Times New Roman" w:eastAsia="宋体" w:cs="Times New Roman"/>
          <w:color w:val="0000FF"/>
          <w:highlight w:val="none"/>
          <w:lang w:val="en-US" w:eastAsia="zh-CN"/>
        </w:rPr>
        <w:t>。</w:t>
      </w:r>
    </w:p>
    <w:p w14:paraId="7D4F8E0B">
      <w:pPr>
        <w:pageBreakBefore w:val="0"/>
        <w:kinsoku/>
        <w:wordWrap/>
        <w:overflowPunct/>
        <w:autoSpaceDN/>
        <w:bidi w:val="0"/>
        <w:adjustRightInd/>
        <w:snapToGrid w:val="0"/>
        <w:spacing w:line="360" w:lineRule="auto"/>
        <w:ind w:left="0" w:leftChars="0" w:right="0" w:rightChars="0"/>
        <w:textAlignment w:val="auto"/>
        <w:rPr>
          <w:rFonts w:hint="default" w:ascii="Times New Roman" w:hAnsi="Times New Roman" w:eastAsia="宋体" w:cs="Times New Roman"/>
          <w:color w:val="0000FF"/>
          <w:highlight w:val="none"/>
        </w:rPr>
      </w:pPr>
    </w:p>
    <w:p w14:paraId="04607DF9">
      <w:pPr>
        <w:pStyle w:val="39"/>
        <w:pageBreakBefore w:val="0"/>
        <w:kinsoku/>
        <w:wordWrap/>
        <w:overflowPunct/>
        <w:autoSpaceDN/>
        <w:bidi w:val="0"/>
        <w:adjustRightInd/>
        <w:snapToGrid w:val="0"/>
        <w:spacing w:after="0" w:line="360" w:lineRule="auto"/>
        <w:ind w:left="0" w:leftChars="0" w:right="0" w:rightChars="0" w:firstLine="482"/>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color w:val="auto"/>
          <w:szCs w:val="22"/>
          <w:highlight w:val="none"/>
        </w:rPr>
        <mc:AlternateContent>
          <mc:Choice Requires="wpg">
            <w:drawing>
              <wp:anchor distT="0" distB="0" distL="114300" distR="114300" simplePos="0" relativeHeight="251662336" behindDoc="0" locked="0" layoutInCell="1" allowOverlap="1">
                <wp:simplePos x="0" y="0"/>
                <wp:positionH relativeFrom="column">
                  <wp:posOffset>220980</wp:posOffset>
                </wp:positionH>
                <wp:positionV relativeFrom="paragraph">
                  <wp:posOffset>109220</wp:posOffset>
                </wp:positionV>
                <wp:extent cx="4819015" cy="437515"/>
                <wp:effectExtent l="0" t="0" r="0" b="0"/>
                <wp:wrapNone/>
                <wp:docPr id="61" name="组合 324"/>
                <wp:cNvGraphicFramePr/>
                <a:graphic xmlns:a="http://schemas.openxmlformats.org/drawingml/2006/main">
                  <a:graphicData uri="http://schemas.microsoft.com/office/word/2010/wordprocessingGroup">
                    <wpg:wgp>
                      <wpg:cNvGrpSpPr/>
                      <wpg:grpSpPr>
                        <a:xfrm>
                          <a:off x="0" y="0"/>
                          <a:ext cx="4819015" cy="437515"/>
                          <a:chOff x="855" y="3975"/>
                          <a:chExt cx="7589" cy="689"/>
                        </a:xfrm>
                      </wpg:grpSpPr>
                      <wps:wsp>
                        <wps:cNvPr id="52" name="文本框 2"/>
                        <wps:cNvSpPr txBox="1"/>
                        <wps:spPr>
                          <a:xfrm>
                            <a:off x="3120" y="4110"/>
                            <a:ext cx="1199" cy="43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43CFD59">
                              <w:pPr>
                                <w:spacing w:line="240" w:lineRule="auto"/>
                                <w:ind w:firstLine="0" w:firstLineChars="0"/>
                                <w:jc w:val="center"/>
                                <w:rPr>
                                  <w:sz w:val="21"/>
                                  <w:szCs w:val="21"/>
                                </w:rPr>
                              </w:pPr>
                              <w:r>
                                <w:rPr>
                                  <w:rFonts w:hint="eastAsia"/>
                                  <w:sz w:val="21"/>
                                  <w:szCs w:val="21"/>
                                </w:rPr>
                                <w:t>堆肥</w:t>
                              </w:r>
                            </w:p>
                          </w:txbxContent>
                        </wps:txbx>
                        <wps:bodyPr upright="1">
                          <a:spAutoFit/>
                        </wps:bodyPr>
                      </wps:wsp>
                      <wps:wsp>
                        <wps:cNvPr id="53" name="自选图形 326"/>
                        <wps:cNvCnPr/>
                        <wps:spPr>
                          <a:xfrm>
                            <a:off x="4334" y="4290"/>
                            <a:ext cx="1036" cy="0"/>
                          </a:xfrm>
                          <a:prstGeom prst="straightConnector1">
                            <a:avLst/>
                          </a:prstGeom>
                          <a:ln w="9525" cap="flat" cmpd="sng">
                            <a:solidFill>
                              <a:srgbClr val="000000"/>
                            </a:solidFill>
                            <a:prstDash val="solid"/>
                            <a:headEnd type="none" w="med" len="med"/>
                            <a:tailEnd type="triangle" w="med" len="med"/>
                          </a:ln>
                        </wps:spPr>
                        <wps:bodyPr/>
                      </wps:wsp>
                      <wps:wsp>
                        <wps:cNvPr id="54" name="文本框 2"/>
                        <wps:cNvSpPr txBox="1"/>
                        <wps:spPr>
                          <a:xfrm>
                            <a:off x="5370" y="4110"/>
                            <a:ext cx="1199" cy="43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21D134C">
                              <w:pPr>
                                <w:spacing w:line="240" w:lineRule="auto"/>
                                <w:ind w:firstLine="0" w:firstLineChars="0"/>
                                <w:jc w:val="center"/>
                                <w:rPr>
                                  <w:sz w:val="21"/>
                                  <w:szCs w:val="21"/>
                                </w:rPr>
                              </w:pPr>
                              <w:r>
                                <w:rPr>
                                  <w:rFonts w:hint="eastAsia"/>
                                  <w:sz w:val="21"/>
                                  <w:szCs w:val="21"/>
                                </w:rPr>
                                <w:t>腐熟</w:t>
                              </w:r>
                            </w:p>
                          </w:txbxContent>
                        </wps:txbx>
                        <wps:bodyPr upright="1">
                          <a:spAutoFit/>
                        </wps:bodyPr>
                      </wps:wsp>
                      <wps:wsp>
                        <wps:cNvPr id="55" name="自选图形 328"/>
                        <wps:cNvCnPr/>
                        <wps:spPr>
                          <a:xfrm>
                            <a:off x="6554" y="4290"/>
                            <a:ext cx="1036" cy="0"/>
                          </a:xfrm>
                          <a:prstGeom prst="straightConnector1">
                            <a:avLst/>
                          </a:prstGeom>
                          <a:ln w="9525" cap="flat" cmpd="sng">
                            <a:solidFill>
                              <a:srgbClr val="000000"/>
                            </a:solidFill>
                            <a:prstDash val="solid"/>
                            <a:headEnd type="none" w="med" len="med"/>
                            <a:tailEnd type="triangle" w="med" len="med"/>
                          </a:ln>
                        </wps:spPr>
                        <wps:bodyPr/>
                      </wps:wsp>
                      <wps:wsp>
                        <wps:cNvPr id="56" name="文本框 2"/>
                        <wps:cNvSpPr txBox="1"/>
                        <wps:spPr>
                          <a:xfrm>
                            <a:off x="7245" y="4095"/>
                            <a:ext cx="1199" cy="416"/>
                          </a:xfrm>
                          <a:prstGeom prst="rect">
                            <a:avLst/>
                          </a:prstGeom>
                          <a:noFill/>
                          <a:ln>
                            <a:noFill/>
                          </a:ln>
                        </wps:spPr>
                        <wps:txbx>
                          <w:txbxContent>
                            <w:p w14:paraId="447EFCF3">
                              <w:pPr>
                                <w:spacing w:line="240" w:lineRule="auto"/>
                                <w:ind w:firstLine="0" w:firstLineChars="0"/>
                                <w:jc w:val="center"/>
                                <w:rPr>
                                  <w:sz w:val="21"/>
                                  <w:szCs w:val="21"/>
                                </w:rPr>
                              </w:pPr>
                              <w:r>
                                <w:rPr>
                                  <w:rFonts w:hint="eastAsia"/>
                                  <w:sz w:val="21"/>
                                  <w:szCs w:val="21"/>
                                </w:rPr>
                                <w:t>还田</w:t>
                              </w:r>
                            </w:p>
                          </w:txbxContent>
                        </wps:txbx>
                        <wps:bodyPr upright="1">
                          <a:spAutoFit/>
                        </wps:bodyPr>
                      </wps:wsp>
                      <wps:wsp>
                        <wps:cNvPr id="57" name="自选图形 330"/>
                        <wps:cNvCnPr/>
                        <wps:spPr>
                          <a:xfrm>
                            <a:off x="2069" y="4290"/>
                            <a:ext cx="1036" cy="0"/>
                          </a:xfrm>
                          <a:prstGeom prst="straightConnector1">
                            <a:avLst/>
                          </a:prstGeom>
                          <a:ln w="9525" cap="flat" cmpd="sng">
                            <a:solidFill>
                              <a:srgbClr val="000000"/>
                            </a:solidFill>
                            <a:prstDash val="solid"/>
                            <a:headEnd type="none" w="med" len="med"/>
                            <a:tailEnd type="triangle" w="med" len="med"/>
                          </a:ln>
                        </wps:spPr>
                        <wps:bodyPr/>
                      </wps:wsp>
                      <wps:wsp>
                        <wps:cNvPr id="58" name="文本框 2"/>
                        <wps:cNvSpPr txBox="1"/>
                        <wps:spPr>
                          <a:xfrm>
                            <a:off x="855" y="3975"/>
                            <a:ext cx="1417" cy="689"/>
                          </a:xfrm>
                          <a:prstGeom prst="rect">
                            <a:avLst/>
                          </a:prstGeom>
                          <a:noFill/>
                          <a:ln>
                            <a:noFill/>
                          </a:ln>
                        </wps:spPr>
                        <wps:txbx>
                          <w:txbxContent>
                            <w:p w14:paraId="1DB97630">
                              <w:pPr>
                                <w:spacing w:line="240" w:lineRule="auto"/>
                                <w:ind w:firstLine="0" w:firstLineChars="0"/>
                                <w:jc w:val="center"/>
                                <w:rPr>
                                  <w:sz w:val="21"/>
                                  <w:szCs w:val="21"/>
                                </w:rPr>
                              </w:pPr>
                              <w:r>
                                <w:rPr>
                                  <w:rFonts w:hint="eastAsia"/>
                                  <w:sz w:val="21"/>
                                  <w:szCs w:val="21"/>
                                  <w:lang w:eastAsia="zh-CN"/>
                                </w:rPr>
                                <w:t>牛粪便</w:t>
                              </w:r>
                            </w:p>
                          </w:txbxContent>
                        </wps:txbx>
                        <wps:bodyPr upright="1"/>
                      </wps:wsp>
                    </wpg:wgp>
                  </a:graphicData>
                </a:graphic>
              </wp:anchor>
            </w:drawing>
          </mc:Choice>
          <mc:Fallback>
            <w:pict>
              <v:group id="组合 324" o:spid="_x0000_s1026" o:spt="203" style="position:absolute;left:0pt;margin-left:17.4pt;margin-top:8.6pt;height:34.45pt;width:379.45pt;z-index:251662336;mso-width-relative:page;mso-height-relative:page;" coordorigin="855,3975" coordsize="7589,689" o:gfxdata="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">
                <o:lock v:ext="edit" aspectratio="f"/>
                <v:shape id="文本框 2" o:spid="_x0000_s1026" o:spt="202" type="#_x0000_t202" style="position:absolute;left:3120;top:4110;height:431;width:1199;" fillcolor="#FFFFFF" filled="t" stroked="t" coordsize="21600,21600" o:gfxdata="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2Ojl7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style="mso-fit-shape-to-text:t;">
                    <w:txbxContent>
                      <w:p w14:paraId="343CFD59">
                        <w:pPr>
                          <w:spacing w:line="240" w:lineRule="auto"/>
                          <w:ind w:firstLine="0" w:firstLineChars="0"/>
                          <w:jc w:val="center"/>
                          <w:rPr>
                            <w:sz w:val="21"/>
                            <w:szCs w:val="21"/>
                          </w:rPr>
                        </w:pPr>
                        <w:r>
                          <w:rPr>
                            <w:rFonts w:hint="eastAsia"/>
                            <w:sz w:val="21"/>
                            <w:szCs w:val="21"/>
                          </w:rPr>
                          <w:t>堆肥</w:t>
                        </w:r>
                      </w:p>
                    </w:txbxContent>
                  </v:textbox>
                </v:shape>
                <v:shape id="自选图形 326" o:spid="_x0000_s1026" o:spt="32" type="#_x0000_t32" style="position:absolute;left:4334;top:4290;height:0;width:1036;" filled="f" stroked="t" coordsize="21600,21600" o:gfxdata="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TTOT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文本框 2" o:spid="_x0000_s1026" o:spt="202" type="#_x0000_t202" style="position:absolute;left:5370;top:4110;height:431;width:1199;" fillcolor="#FFFFFF" filled="t" stroked="t" coordsize="21600,21600" o:gfxdata="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p8El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style="mso-fit-shape-to-text:t;">
                    <w:txbxContent>
                      <w:p w14:paraId="321D134C">
                        <w:pPr>
                          <w:spacing w:line="240" w:lineRule="auto"/>
                          <w:ind w:firstLine="0" w:firstLineChars="0"/>
                          <w:jc w:val="center"/>
                          <w:rPr>
                            <w:sz w:val="21"/>
                            <w:szCs w:val="21"/>
                          </w:rPr>
                        </w:pPr>
                        <w:r>
                          <w:rPr>
                            <w:rFonts w:hint="eastAsia"/>
                            <w:sz w:val="21"/>
                            <w:szCs w:val="21"/>
                          </w:rPr>
                          <w:t>腐熟</w:t>
                        </w:r>
                      </w:p>
                    </w:txbxContent>
                  </v:textbox>
                </v:shape>
                <v:shape id="自选图形 328" o:spid="_x0000_s1026" o:spt="32" type="#_x0000_t32" style="position:absolute;left:6554;top:4290;height:0;width:1036;" filled="f" stroked="t" coordsize="21600,21600" o:gfxdata="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ZHzo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文本框 2" o:spid="_x0000_s1026" o:spt="202" type="#_x0000_t202" style="position:absolute;left:7245;top:4095;height:416;width:1199;" filled="f" stroked="f" coordsize="21600,21600" o:gfxdata="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3+wGL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14:paraId="447EFCF3">
                        <w:pPr>
                          <w:spacing w:line="240" w:lineRule="auto"/>
                          <w:ind w:firstLine="0" w:firstLineChars="0"/>
                          <w:jc w:val="center"/>
                          <w:rPr>
                            <w:sz w:val="21"/>
                            <w:szCs w:val="21"/>
                          </w:rPr>
                        </w:pPr>
                        <w:r>
                          <w:rPr>
                            <w:rFonts w:hint="eastAsia"/>
                            <w:sz w:val="21"/>
                            <w:szCs w:val="21"/>
                          </w:rPr>
                          <w:t>还田</w:t>
                        </w:r>
                      </w:p>
                    </w:txbxContent>
                  </v:textbox>
                </v:shape>
                <v:shape id="自选图形 330" o:spid="_x0000_s1026" o:spt="32" type="#_x0000_t32" style="position:absolute;left:2069;top:4290;height:0;width:1036;" filled="f" stroked="t" coordsize="21600,21600" o:gfxdata="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g/IT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文本框 2" o:spid="_x0000_s1026" o:spt="202" type="#_x0000_t202" style="position:absolute;left:855;top:3975;height:689;width:1417;" filled="f" stroked="f" coordsize="21600,21600" o:gfxdata="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rrzMwtwAAANsAAAAP&#10;AAAAAAAAAAEAIAAAACIAAABkcnMvZG93bnJldi54bWxQSwECFAAUAAAACACHTuJAMy8FnjsAAAA5&#10;AAAAEAAAAAAAAAABACAAAAAGAQAAZHJzL3NoYXBleG1sLnhtbFBLBQYAAAAABgAGAFsBAACwAwAA&#10;AAA=&#10;">
                  <v:fill on="f" focussize="0,0"/>
                  <v:stroke on="f"/>
                  <v:imagedata o:title=""/>
                  <o:lock v:ext="edit" aspectratio="f"/>
                  <v:textbox>
                    <w:txbxContent>
                      <w:p w14:paraId="1DB97630">
                        <w:pPr>
                          <w:spacing w:line="240" w:lineRule="auto"/>
                          <w:ind w:firstLine="0" w:firstLineChars="0"/>
                          <w:jc w:val="center"/>
                          <w:rPr>
                            <w:sz w:val="21"/>
                            <w:szCs w:val="21"/>
                          </w:rPr>
                        </w:pPr>
                        <w:r>
                          <w:rPr>
                            <w:rFonts w:hint="eastAsia"/>
                            <w:sz w:val="21"/>
                            <w:szCs w:val="21"/>
                            <w:lang w:eastAsia="zh-CN"/>
                          </w:rPr>
                          <w:t>牛粪便</w:t>
                        </w:r>
                      </w:p>
                    </w:txbxContent>
                  </v:textbox>
                </v:shape>
              </v:group>
            </w:pict>
          </mc:Fallback>
        </mc:AlternateContent>
      </w:r>
    </w:p>
    <w:p w14:paraId="1CFF1236">
      <w:pPr>
        <w:pageBreakBefore w:val="0"/>
        <w:kinsoku/>
        <w:wordWrap/>
        <w:overflowPunct/>
        <w:autoSpaceDN/>
        <w:bidi w:val="0"/>
        <w:adjustRightInd/>
        <w:snapToGrid w:val="0"/>
        <w:spacing w:line="360" w:lineRule="auto"/>
        <w:ind w:left="0" w:leftChars="0" w:right="0" w:rightChars="0" w:firstLine="0" w:firstLineChars="0"/>
        <w:textAlignment w:val="auto"/>
        <w:rPr>
          <w:rFonts w:hint="default" w:ascii="Times New Roman" w:hAnsi="Times New Roman" w:eastAsia="宋体" w:cs="Times New Roman"/>
          <w:color w:val="auto"/>
          <w:highlight w:val="none"/>
        </w:rPr>
      </w:pPr>
    </w:p>
    <w:p w14:paraId="611D877B">
      <w:pPr>
        <w:pStyle w:val="7"/>
        <w:pageBreakBefore w:val="0"/>
        <w:kinsoku/>
        <w:wordWrap/>
        <w:overflowPunct/>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p>
    <w:p w14:paraId="363A9945">
      <w:pPr>
        <w:pStyle w:val="7"/>
        <w:pageBreakBefore w:val="0"/>
        <w:kinsoku/>
        <w:wordWrap/>
        <w:overflowPunct/>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图3.2-</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粪便好氧堆肥工艺流程示意图</w:t>
      </w:r>
    </w:p>
    <w:p w14:paraId="639A5D05">
      <w:pPr>
        <w:pStyle w:val="7"/>
        <w:spacing w:line="360" w:lineRule="auto"/>
        <w:rPr>
          <w:rFonts w:hint="default" w:ascii="Times New Roman" w:hAnsi="Times New Roman" w:eastAsia="宋体" w:cs="Times New Roman"/>
          <w:color w:val="FF0000"/>
          <w:highlight w:val="none"/>
          <w:lang w:val="en-US" w:eastAsia="zh-CN"/>
        </w:rPr>
      </w:pPr>
      <w:r>
        <w:rPr>
          <w:rFonts w:hint="default" w:ascii="Times New Roman" w:hAnsi="Times New Roman" w:eastAsia="宋体" w:cs="Times New Roman"/>
          <w:color w:val="FF0000"/>
          <w:highlight w:val="none"/>
        </w:rPr>
        <w:t>表</w:t>
      </w:r>
      <w:r>
        <w:rPr>
          <w:rFonts w:hint="default" w:ascii="Times New Roman" w:hAnsi="Times New Roman" w:eastAsia="宋体" w:cs="Times New Roman"/>
          <w:color w:val="FF0000"/>
          <w:highlight w:val="none"/>
          <w:lang w:val="en-US" w:eastAsia="zh-CN"/>
        </w:rPr>
        <w:t>3.2-1</w:t>
      </w:r>
      <w:r>
        <w:rPr>
          <w:rFonts w:hint="default" w:ascii="Times New Roman" w:hAnsi="Times New Roman" w:eastAsia="宋体" w:cs="Times New Roman"/>
          <w:color w:val="FF0000"/>
          <w:highlight w:val="none"/>
        </w:rPr>
        <w:t>粪污</w:t>
      </w:r>
      <w:r>
        <w:rPr>
          <w:rFonts w:hint="default" w:ascii="Times New Roman" w:hAnsi="Times New Roman" w:eastAsia="宋体" w:cs="Times New Roman"/>
          <w:color w:val="FF0000"/>
          <w:highlight w:val="none"/>
          <w:lang w:val="en-US" w:eastAsia="zh-CN"/>
        </w:rPr>
        <w:t>无害化处理后卫生学要求</w:t>
      </w:r>
    </w:p>
    <w:tbl>
      <w:tblPr>
        <w:tblStyle w:val="40"/>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4"/>
        <w:gridCol w:w="2547"/>
        <w:gridCol w:w="1909"/>
        <w:gridCol w:w="2547"/>
      </w:tblGrid>
      <w:tr w14:paraId="6C12B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Align w:val="center"/>
          </w:tcPr>
          <w:p w14:paraId="476A038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类别</w:t>
            </w:r>
          </w:p>
        </w:tc>
        <w:tc>
          <w:tcPr>
            <w:tcW w:w="1134" w:type="dxa"/>
            <w:vAlign w:val="center"/>
          </w:tcPr>
          <w:p w14:paraId="2096859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执行标准名称</w:t>
            </w:r>
          </w:p>
        </w:tc>
        <w:tc>
          <w:tcPr>
            <w:tcW w:w="850" w:type="dxa"/>
            <w:vAlign w:val="center"/>
          </w:tcPr>
          <w:p w14:paraId="68D343F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lang w:eastAsia="zh-CN"/>
              </w:rPr>
            </w:pPr>
            <w:r>
              <w:rPr>
                <w:rFonts w:hint="default" w:ascii="Times New Roman" w:hAnsi="Times New Roman" w:eastAsia="宋体" w:cs="Times New Roman"/>
                <w:color w:val="0000FF"/>
                <w:sz w:val="21"/>
                <w:szCs w:val="21"/>
                <w:highlight w:val="none"/>
                <w:lang w:val="en-US" w:eastAsia="zh-CN"/>
              </w:rPr>
              <w:t>项目</w:t>
            </w:r>
          </w:p>
        </w:tc>
        <w:tc>
          <w:tcPr>
            <w:tcW w:w="1134" w:type="dxa"/>
            <w:vAlign w:val="center"/>
          </w:tcPr>
          <w:p w14:paraId="7F29207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vertAlign w:val="baseline"/>
                <w:lang w:val="en-US" w:eastAsia="zh-CN"/>
              </w:rPr>
              <w:t>卫生学要求</w:t>
            </w:r>
          </w:p>
        </w:tc>
      </w:tr>
      <w:tr w14:paraId="18346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restart"/>
            <w:vAlign w:val="center"/>
          </w:tcPr>
          <w:p w14:paraId="1262776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b w:val="0"/>
                <w:bCs w:val="0"/>
                <w:color w:val="0000FF"/>
                <w:sz w:val="21"/>
                <w:szCs w:val="21"/>
                <w:highlight w:val="none"/>
                <w:vertAlign w:val="baseline"/>
                <w:lang w:val="en-US" w:eastAsia="zh-CN"/>
              </w:rPr>
              <w:t>腐熟发酵牛粪</w:t>
            </w:r>
          </w:p>
        </w:tc>
        <w:tc>
          <w:tcPr>
            <w:tcW w:w="1134" w:type="dxa"/>
            <w:vMerge w:val="restart"/>
            <w:vAlign w:val="center"/>
          </w:tcPr>
          <w:p w14:paraId="3918411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《畜禽粪便无害化处理技术规范》（GB/T36195-2018）表1</w:t>
            </w:r>
            <w:r>
              <w:rPr>
                <w:rFonts w:hint="default" w:ascii="Times New Roman" w:hAnsi="Times New Roman" w:eastAsia="宋体" w:cs="Times New Roman"/>
                <w:color w:val="0000FF"/>
                <w:sz w:val="21"/>
                <w:szCs w:val="21"/>
                <w:highlight w:val="none"/>
                <w:lang w:eastAsia="zh-CN"/>
              </w:rPr>
              <w:t>固体畜禽粪污</w:t>
            </w:r>
            <w:r>
              <w:rPr>
                <w:rFonts w:hint="default" w:ascii="Times New Roman" w:hAnsi="Times New Roman" w:eastAsia="宋体" w:cs="Times New Roman"/>
                <w:color w:val="0000FF"/>
                <w:sz w:val="21"/>
                <w:szCs w:val="21"/>
                <w:highlight w:val="none"/>
              </w:rPr>
              <w:t>便堆肥处理卫生学要求</w:t>
            </w:r>
          </w:p>
        </w:tc>
        <w:tc>
          <w:tcPr>
            <w:tcW w:w="850" w:type="dxa"/>
            <w:vAlign w:val="center"/>
          </w:tcPr>
          <w:p w14:paraId="306C5C7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蛔虫卵</w:t>
            </w:r>
          </w:p>
        </w:tc>
        <w:tc>
          <w:tcPr>
            <w:tcW w:w="1134" w:type="dxa"/>
            <w:vAlign w:val="center"/>
          </w:tcPr>
          <w:p w14:paraId="5DCE6DD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死亡率≥95%</w:t>
            </w:r>
          </w:p>
        </w:tc>
      </w:tr>
      <w:tr w14:paraId="70CAA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continue"/>
            <w:vAlign w:val="center"/>
          </w:tcPr>
          <w:p w14:paraId="2F59BED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FF"/>
                <w:sz w:val="21"/>
                <w:szCs w:val="21"/>
                <w:highlight w:val="none"/>
                <w:vertAlign w:val="baseline"/>
                <w:lang w:val="en-US" w:eastAsia="zh-CN"/>
              </w:rPr>
            </w:pPr>
          </w:p>
        </w:tc>
        <w:tc>
          <w:tcPr>
            <w:tcW w:w="1134" w:type="dxa"/>
            <w:vMerge w:val="continue"/>
            <w:vAlign w:val="center"/>
          </w:tcPr>
          <w:p w14:paraId="66856DE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p>
        </w:tc>
        <w:tc>
          <w:tcPr>
            <w:tcW w:w="850" w:type="dxa"/>
            <w:vAlign w:val="center"/>
          </w:tcPr>
          <w:p w14:paraId="6543161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粪大肠菌群数</w:t>
            </w:r>
          </w:p>
        </w:tc>
        <w:tc>
          <w:tcPr>
            <w:tcW w:w="1134" w:type="dxa"/>
            <w:vAlign w:val="center"/>
          </w:tcPr>
          <w:p w14:paraId="0CF45A8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≤10</w:t>
            </w:r>
            <w:r>
              <w:rPr>
                <w:rFonts w:hint="default" w:ascii="Times New Roman" w:hAnsi="Times New Roman" w:eastAsia="宋体" w:cs="Times New Roman"/>
                <w:color w:val="0000FF"/>
                <w:sz w:val="21"/>
                <w:szCs w:val="21"/>
                <w:highlight w:val="none"/>
                <w:vertAlign w:val="superscript"/>
              </w:rPr>
              <w:t>5</w:t>
            </w:r>
            <w:r>
              <w:rPr>
                <w:rFonts w:hint="default" w:ascii="Times New Roman" w:hAnsi="Times New Roman" w:eastAsia="宋体" w:cs="Times New Roman"/>
                <w:color w:val="0000FF"/>
                <w:sz w:val="21"/>
                <w:szCs w:val="21"/>
                <w:highlight w:val="none"/>
              </w:rPr>
              <w:t>个/kg</w:t>
            </w:r>
          </w:p>
        </w:tc>
      </w:tr>
      <w:tr w14:paraId="1B8BE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continue"/>
            <w:vAlign w:val="center"/>
          </w:tcPr>
          <w:p w14:paraId="0375B18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FF"/>
                <w:sz w:val="21"/>
                <w:szCs w:val="21"/>
                <w:highlight w:val="none"/>
                <w:vertAlign w:val="baseline"/>
                <w:lang w:val="en-US" w:eastAsia="zh-CN"/>
              </w:rPr>
            </w:pPr>
          </w:p>
        </w:tc>
        <w:tc>
          <w:tcPr>
            <w:tcW w:w="1134" w:type="dxa"/>
            <w:vMerge w:val="continue"/>
            <w:vAlign w:val="center"/>
          </w:tcPr>
          <w:p w14:paraId="0B1719A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p>
        </w:tc>
        <w:tc>
          <w:tcPr>
            <w:tcW w:w="850" w:type="dxa"/>
            <w:vAlign w:val="center"/>
          </w:tcPr>
          <w:p w14:paraId="686E3F2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苍蝇</w:t>
            </w:r>
          </w:p>
        </w:tc>
        <w:tc>
          <w:tcPr>
            <w:tcW w:w="1134" w:type="dxa"/>
            <w:vAlign w:val="center"/>
          </w:tcPr>
          <w:p w14:paraId="5666FD2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堆体周围不应有活的蛆、蛹或新羽化的成蝇</w:t>
            </w:r>
          </w:p>
        </w:tc>
      </w:tr>
      <w:tr w14:paraId="79807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continue"/>
            <w:vAlign w:val="center"/>
          </w:tcPr>
          <w:p w14:paraId="409038E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p>
        </w:tc>
        <w:tc>
          <w:tcPr>
            <w:tcW w:w="1134" w:type="dxa"/>
            <w:vMerge w:val="restart"/>
            <w:vAlign w:val="center"/>
          </w:tcPr>
          <w:p w14:paraId="253F911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vertAlign w:val="baseline"/>
                <w:lang w:val="en-US" w:eastAsia="zh-CN"/>
              </w:rPr>
              <w:t>《畜禽粪便还田技术规范》（GB/T25246-2010）表1堆肥的卫生学要求</w:t>
            </w:r>
          </w:p>
        </w:tc>
        <w:tc>
          <w:tcPr>
            <w:tcW w:w="850" w:type="dxa"/>
            <w:vAlign w:val="center"/>
          </w:tcPr>
          <w:p w14:paraId="57D2D222">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lang w:val="zh-CN" w:eastAsia="zh-CN" w:bidi="zh-CN"/>
              </w:rPr>
            </w:pPr>
            <w:r>
              <w:rPr>
                <w:rFonts w:hint="default" w:ascii="Times New Roman" w:hAnsi="Times New Roman" w:eastAsia="宋体" w:cs="Times New Roman"/>
                <w:color w:val="0000FF"/>
                <w:sz w:val="21"/>
                <w:szCs w:val="21"/>
                <w:highlight w:val="none"/>
              </w:rPr>
              <w:t>蛔虫卵</w:t>
            </w:r>
          </w:p>
        </w:tc>
        <w:tc>
          <w:tcPr>
            <w:tcW w:w="1134" w:type="dxa"/>
            <w:vAlign w:val="center"/>
          </w:tcPr>
          <w:p w14:paraId="0E82257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rPr>
              <w:t>95%</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lang w:val="en-US" w:eastAsia="zh-CN"/>
              </w:rPr>
              <w:t>100%</w:t>
            </w:r>
          </w:p>
        </w:tc>
      </w:tr>
      <w:tr w14:paraId="1150D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continue"/>
            <w:vAlign w:val="center"/>
          </w:tcPr>
          <w:p w14:paraId="71C9539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p>
        </w:tc>
        <w:tc>
          <w:tcPr>
            <w:tcW w:w="1134" w:type="dxa"/>
            <w:vMerge w:val="continue"/>
            <w:vAlign w:val="center"/>
          </w:tcPr>
          <w:p w14:paraId="0F25AE4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p>
        </w:tc>
        <w:tc>
          <w:tcPr>
            <w:tcW w:w="850" w:type="dxa"/>
            <w:vAlign w:val="center"/>
          </w:tcPr>
          <w:p w14:paraId="6709B781">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lang w:val="zh-CN" w:eastAsia="zh-CN" w:bidi="zh-CN"/>
              </w:rPr>
            </w:pPr>
            <w:r>
              <w:rPr>
                <w:rFonts w:hint="default" w:ascii="Times New Roman" w:hAnsi="Times New Roman" w:eastAsia="宋体" w:cs="Times New Roman"/>
                <w:color w:val="0000FF"/>
                <w:sz w:val="21"/>
                <w:szCs w:val="21"/>
                <w:highlight w:val="none"/>
              </w:rPr>
              <w:t>粪大肠菌群数</w:t>
            </w:r>
          </w:p>
        </w:tc>
        <w:tc>
          <w:tcPr>
            <w:tcW w:w="1134" w:type="dxa"/>
            <w:vAlign w:val="center"/>
          </w:tcPr>
          <w:p w14:paraId="7064512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10</w:t>
            </w:r>
            <w:r>
              <w:rPr>
                <w:rFonts w:hint="default" w:ascii="Times New Roman" w:hAnsi="Times New Roman" w:eastAsia="宋体" w:cs="Times New Roman"/>
                <w:color w:val="0000FF"/>
                <w:sz w:val="21"/>
                <w:szCs w:val="21"/>
                <w:highlight w:val="none"/>
                <w:vertAlign w:val="superscript"/>
                <w:lang w:val="en-US" w:eastAsia="zh-CN"/>
              </w:rPr>
              <w:t>-1</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lang w:val="en-US" w:eastAsia="zh-CN"/>
              </w:rPr>
              <w:t>10</w:t>
            </w:r>
            <w:r>
              <w:rPr>
                <w:rFonts w:hint="default" w:ascii="Times New Roman" w:hAnsi="Times New Roman" w:eastAsia="宋体" w:cs="Times New Roman"/>
                <w:color w:val="0000FF"/>
                <w:sz w:val="21"/>
                <w:szCs w:val="21"/>
                <w:highlight w:val="none"/>
                <w:vertAlign w:val="superscript"/>
                <w:lang w:val="en-US" w:eastAsia="zh-CN"/>
              </w:rPr>
              <w:t>-2</w:t>
            </w:r>
          </w:p>
        </w:tc>
      </w:tr>
      <w:tr w14:paraId="061CC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continue"/>
            <w:vAlign w:val="center"/>
          </w:tcPr>
          <w:p w14:paraId="3943D69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p>
        </w:tc>
        <w:tc>
          <w:tcPr>
            <w:tcW w:w="1134" w:type="dxa"/>
            <w:vMerge w:val="continue"/>
            <w:vAlign w:val="center"/>
          </w:tcPr>
          <w:p w14:paraId="3B206A9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p>
        </w:tc>
        <w:tc>
          <w:tcPr>
            <w:tcW w:w="850" w:type="dxa"/>
            <w:vAlign w:val="center"/>
          </w:tcPr>
          <w:p w14:paraId="6DD73C82">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lang w:val="zh-CN" w:eastAsia="zh-CN" w:bidi="zh-CN"/>
              </w:rPr>
            </w:pPr>
            <w:r>
              <w:rPr>
                <w:rFonts w:hint="default" w:ascii="Times New Roman" w:hAnsi="Times New Roman" w:eastAsia="宋体" w:cs="Times New Roman"/>
                <w:color w:val="0000FF"/>
                <w:sz w:val="21"/>
                <w:szCs w:val="21"/>
                <w:highlight w:val="none"/>
              </w:rPr>
              <w:t>苍蝇</w:t>
            </w:r>
          </w:p>
        </w:tc>
        <w:tc>
          <w:tcPr>
            <w:tcW w:w="1134" w:type="dxa"/>
            <w:vAlign w:val="center"/>
          </w:tcPr>
          <w:p w14:paraId="49953BB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堆肥中及堆肥周围没有活的</w:t>
            </w:r>
            <w:r>
              <w:rPr>
                <w:rFonts w:hint="default" w:ascii="Times New Roman" w:hAnsi="Times New Roman" w:eastAsia="宋体" w:cs="Times New Roman"/>
                <w:color w:val="0000FF"/>
                <w:sz w:val="21"/>
                <w:szCs w:val="21"/>
                <w:highlight w:val="none"/>
              </w:rPr>
              <w:t>蛆、蛹或新羽化的成蝇</w:t>
            </w:r>
          </w:p>
        </w:tc>
      </w:tr>
      <w:bookmarkEnd w:id="226"/>
    </w:tbl>
    <w:p w14:paraId="38CDF733">
      <w:pPr>
        <w:pStyle w:val="5"/>
        <w:keepNext w:val="0"/>
        <w:keepLines w:val="0"/>
        <w:pageBreakBefore w:val="0"/>
        <w:widowControl w:val="0"/>
        <w:kinsoku/>
        <w:wordWrap/>
        <w:overflowPunct/>
        <w:topLinePunct w:val="0"/>
        <w:autoSpaceDE/>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sz w:val="24"/>
          <w:szCs w:val="24"/>
          <w:highlight w:val="none"/>
        </w:rPr>
      </w:pPr>
      <w:bookmarkStart w:id="246" w:name="_Toc15638"/>
      <w:bookmarkStart w:id="247" w:name="_Toc17019"/>
      <w:bookmarkStart w:id="248" w:name="_Toc277632284"/>
      <w:bookmarkStart w:id="249" w:name="_Toc276333558"/>
      <w:bookmarkStart w:id="250" w:name="_Toc274251884"/>
      <w:bookmarkStart w:id="251" w:name="_Toc276105856"/>
      <w:bookmarkStart w:id="252" w:name="_Toc277949914"/>
      <w:bookmarkStart w:id="253" w:name="_Toc274251955"/>
      <w:bookmarkStart w:id="254" w:name="_Toc277949249"/>
      <w:bookmarkStart w:id="255" w:name="_Toc15163"/>
      <w:bookmarkStart w:id="256" w:name="_Toc277196476"/>
      <w:bookmarkStart w:id="257" w:name="_Toc277228930"/>
      <w:bookmarkStart w:id="258" w:name="_Toc277336091"/>
      <w:bookmarkStart w:id="259" w:name="_Toc277238933"/>
      <w:bookmarkStart w:id="260" w:name="_Toc277244740"/>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eastAsia="zh-CN"/>
        </w:rPr>
        <w:t>牛舍、粪污处理池除臭工艺</w:t>
      </w:r>
      <w:bookmarkEnd w:id="246"/>
      <w:bookmarkEnd w:id="247"/>
    </w:p>
    <w:p w14:paraId="4EC2E02B">
      <w:pPr>
        <w:keepNext w:val="0"/>
        <w:keepLines w:val="0"/>
        <w:pageBreakBefore w:val="0"/>
        <w:widowControl w:val="0"/>
        <w:kinsoku/>
        <w:wordWrap/>
        <w:overflowPunct/>
        <w:topLinePunct w:val="0"/>
        <w:autoSpaceDE/>
        <w:autoSpaceDN/>
        <w:bidi w:val="0"/>
        <w:adjustRightInd/>
        <w:snapToGrid w:val="0"/>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①项目采用干清粪工艺，在牛舍设置通风口，采用自然通风的方式换气，加快排除有害气体。</w:t>
      </w:r>
    </w:p>
    <w:p w14:paraId="2AB1A775">
      <w:pPr>
        <w:keepNext w:val="0"/>
        <w:keepLines w:val="0"/>
        <w:pageBreakBefore w:val="0"/>
        <w:widowControl w:val="0"/>
        <w:kinsoku/>
        <w:wordWrap/>
        <w:overflowPunct/>
        <w:topLinePunct w:val="0"/>
        <w:autoSpaceDE/>
        <w:autoSpaceDN/>
        <w:bidi w:val="0"/>
        <w:adjustRightInd/>
        <w:snapToGrid w:val="0"/>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②养殖区等消毒应采用环境友好的消毒剂和消毒措施，防止产生氯代有机物及其他二次污染物。</w:t>
      </w:r>
    </w:p>
    <w:p w14:paraId="59852691">
      <w:pPr>
        <w:keepNext w:val="0"/>
        <w:keepLines w:val="0"/>
        <w:pageBreakBefore w:val="0"/>
        <w:widowControl w:val="0"/>
        <w:kinsoku/>
        <w:wordWrap/>
        <w:overflowPunct/>
        <w:topLinePunct w:val="0"/>
        <w:autoSpaceDE/>
        <w:autoSpaceDN/>
        <w:bidi w:val="0"/>
        <w:adjustRightInd/>
        <w:snapToGrid w:val="0"/>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③加强场区及场界的绿化，场区绿化以完全消灭裸露地面为原则，选择适宜吸臭植物种类，广种花草树木，场界边缘地带种植双季槐等高大树种形成多层防护林带，以降低恶臭污染的影响程度。</w:t>
      </w:r>
    </w:p>
    <w:p w14:paraId="6DEA3DB6">
      <w:pPr>
        <w:keepNext w:val="0"/>
        <w:keepLines w:val="0"/>
        <w:pageBreakBefore w:val="0"/>
        <w:widowControl w:val="0"/>
        <w:kinsoku/>
        <w:wordWrap/>
        <w:overflowPunct/>
        <w:topLinePunct w:val="0"/>
        <w:autoSpaceDE/>
        <w:autoSpaceDN/>
        <w:bidi w:val="0"/>
        <w:adjustRightInd/>
        <w:snapToGrid w:val="0"/>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④对牛舍、运动场、粪污处理池喷洒除臭剂。</w:t>
      </w:r>
    </w:p>
    <w:p w14:paraId="2C0A2EA9">
      <w:pPr>
        <w:keepNext w:val="0"/>
        <w:keepLines w:val="0"/>
        <w:pageBreakBefore w:val="0"/>
        <w:widowControl w:val="0"/>
        <w:kinsoku/>
        <w:wordWrap/>
        <w:overflowPunct/>
        <w:topLinePunct w:val="0"/>
        <w:autoSpaceDE/>
        <w:autoSpaceDN/>
        <w:bidi w:val="0"/>
        <w:adjustRightInd/>
        <w:snapToGrid w:val="0"/>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fldChar w:fldCharType="begin"/>
      </w:r>
      <w:r>
        <w:rPr>
          <w:rFonts w:hint="default" w:ascii="Times New Roman" w:hAnsi="Times New Roman" w:eastAsia="宋体" w:cs="Times New Roman"/>
          <w:color w:val="auto"/>
          <w:sz w:val="24"/>
          <w:szCs w:val="24"/>
          <w:highlight w:val="none"/>
          <w:lang w:val="en-US" w:eastAsia="zh-CN"/>
        </w:rPr>
        <w:instrText xml:space="preserve"> = 5 \* GB3 \* MERGEFORMAT </w:instrText>
      </w:r>
      <w:r>
        <w:rPr>
          <w:rFonts w:hint="default" w:ascii="Times New Roman" w:hAnsi="Times New Roman" w:eastAsia="宋体" w:cs="Times New Roman"/>
          <w:color w:val="auto"/>
          <w:sz w:val="24"/>
          <w:szCs w:val="24"/>
          <w:highlight w:val="none"/>
          <w:lang w:val="en-US" w:eastAsia="zh-CN"/>
        </w:rPr>
        <w:fldChar w:fldCharType="separate"/>
      </w:r>
      <w:r>
        <w:rPr>
          <w:rFonts w:hint="default" w:ascii="Times New Roman" w:hAnsi="Times New Roman" w:eastAsia="宋体" w:cs="Times New Roman"/>
          <w:color w:val="auto"/>
          <w:highlight w:val="none"/>
        </w:rPr>
        <w:t>⑤</w:t>
      </w:r>
      <w:r>
        <w:rPr>
          <w:rFonts w:hint="default" w:ascii="Times New Roman" w:hAnsi="Times New Roman" w:eastAsia="宋体" w:cs="Times New Roman"/>
          <w:color w:val="auto"/>
          <w:sz w:val="24"/>
          <w:szCs w:val="24"/>
          <w:highlight w:val="none"/>
          <w:lang w:val="en-US" w:eastAsia="zh-CN"/>
        </w:rPr>
        <w:fldChar w:fldCharType="end"/>
      </w:r>
      <w:r>
        <w:rPr>
          <w:rFonts w:hint="default" w:ascii="Times New Roman" w:hAnsi="Times New Roman" w:eastAsia="宋体" w:cs="Times New Roman"/>
          <w:color w:val="auto"/>
          <w:sz w:val="24"/>
          <w:szCs w:val="24"/>
          <w:highlight w:val="none"/>
          <w:lang w:val="en-US" w:eastAsia="zh-CN"/>
        </w:rPr>
        <w:t>合理</w:t>
      </w:r>
      <w:r>
        <w:rPr>
          <w:rFonts w:hint="default" w:ascii="Times New Roman" w:hAnsi="Times New Roman" w:eastAsia="宋体" w:cs="Times New Roman"/>
          <w:color w:val="auto"/>
          <w:kern w:val="0"/>
          <w:sz w:val="24"/>
          <w:szCs w:val="24"/>
          <w:highlight w:val="none"/>
        </w:rPr>
        <w:t>控制饲养密度</w:t>
      </w:r>
      <w:r>
        <w:rPr>
          <w:rFonts w:hint="default" w:ascii="Times New Roman" w:hAnsi="Times New Roman" w:eastAsia="宋体" w:cs="Times New Roman"/>
          <w:color w:val="auto"/>
          <w:kern w:val="0"/>
          <w:sz w:val="24"/>
          <w:szCs w:val="24"/>
          <w:highlight w:val="none"/>
          <w:lang w:eastAsia="zh-CN"/>
        </w:rPr>
        <w:t>，进行科学喂养，可以有效降低恶臭气体的产生</w:t>
      </w:r>
      <w:r>
        <w:rPr>
          <w:rFonts w:hint="default" w:ascii="Times New Roman" w:hAnsi="Times New Roman" w:eastAsia="宋体" w:cs="Times New Roman"/>
          <w:color w:val="auto"/>
          <w:sz w:val="24"/>
          <w:szCs w:val="24"/>
          <w:highlight w:val="none"/>
          <w:lang w:val="en-US" w:eastAsia="zh-CN"/>
        </w:rPr>
        <w:t>。</w:t>
      </w:r>
    </w:p>
    <w:p w14:paraId="7E809E89">
      <w:pPr>
        <w:pStyle w:val="5"/>
        <w:keepNext w:val="0"/>
        <w:keepLines w:val="0"/>
        <w:pageBreakBefore w:val="0"/>
        <w:widowControl w:val="0"/>
        <w:kinsoku/>
        <w:wordWrap/>
        <w:overflowPunct/>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sz w:val="24"/>
          <w:szCs w:val="24"/>
          <w:highlight w:val="none"/>
          <w:lang w:eastAsia="zh-CN"/>
        </w:rPr>
      </w:pPr>
      <w:bookmarkStart w:id="261" w:name="_Toc1542"/>
      <w:bookmarkStart w:id="262" w:name="_Toc1578"/>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.2.</w:t>
      </w:r>
      <w:bookmarkEnd w:id="248"/>
      <w:bookmarkEnd w:id="249"/>
      <w:bookmarkEnd w:id="250"/>
      <w:bookmarkEnd w:id="251"/>
      <w:bookmarkEnd w:id="252"/>
      <w:bookmarkEnd w:id="253"/>
      <w:bookmarkEnd w:id="254"/>
      <w:bookmarkEnd w:id="255"/>
      <w:bookmarkEnd w:id="256"/>
      <w:bookmarkEnd w:id="257"/>
      <w:bookmarkEnd w:id="258"/>
      <w:bookmarkEnd w:id="259"/>
      <w:bookmarkEnd w:id="260"/>
      <w:r>
        <w:rPr>
          <w:rFonts w:hint="default"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lang w:eastAsia="zh-CN"/>
        </w:rPr>
        <w:t>卫生防疫系统</w:t>
      </w:r>
      <w:bookmarkEnd w:id="261"/>
      <w:bookmarkEnd w:id="262"/>
    </w:p>
    <w:p w14:paraId="0AC39E57">
      <w:pPr>
        <w:keepNext w:val="0"/>
        <w:keepLines w:val="0"/>
        <w:pageBreakBefore w:val="0"/>
        <w:widowControl/>
        <w:kinsoku/>
        <w:wordWrap/>
        <w:overflowPunct/>
        <w:topLinePunct w:val="0"/>
        <w:autoSpaceDE/>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肉牛疫病防控包括消毒和灭菌、免疫接种。按规程进行免疫接种、卫生消毒、定期保健护理、病牛隔离治疗，重点做好消化系统疾病、代谢病、蹄病和犊牛腹泻病的预防治疗。</w:t>
      </w:r>
    </w:p>
    <w:p w14:paraId="5ECAA8F7">
      <w:pPr>
        <w:keepNext w:val="0"/>
        <w:keepLines w:val="0"/>
        <w:pageBreakBefore w:val="0"/>
        <w:widowControl/>
        <w:kinsoku/>
        <w:wordWrap/>
        <w:overflowPunct/>
        <w:topLinePunct w:val="0"/>
        <w:autoSpaceDE/>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（1）环境消毒</w:t>
      </w:r>
    </w:p>
    <w:p w14:paraId="35844D44">
      <w:pPr>
        <w:keepNext w:val="0"/>
        <w:keepLines w:val="0"/>
        <w:pageBreakBefore w:val="0"/>
        <w:widowControl/>
        <w:kinsoku/>
        <w:wordWrap/>
        <w:overflowPunct/>
        <w:topLinePunct w:val="0"/>
        <w:autoSpaceDE/>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牛舍周围环境定期撒生石灰消毒。</w:t>
      </w:r>
      <w:r>
        <w:rPr>
          <w:rFonts w:hint="default" w:ascii="Times New Roman" w:hAnsi="Times New Roman" w:eastAsia="宋体" w:cs="Times New Roman"/>
          <w:color w:val="auto"/>
          <w:sz w:val="24"/>
          <w:szCs w:val="28"/>
          <w:highlight w:val="none"/>
          <w:lang w:eastAsia="zh-CN"/>
        </w:rPr>
        <w:t>养殖区</w:t>
      </w:r>
      <w:r>
        <w:rPr>
          <w:rFonts w:hint="default" w:ascii="Times New Roman" w:hAnsi="Times New Roman" w:eastAsia="宋体" w:cs="Times New Roman"/>
          <w:color w:val="auto"/>
          <w:sz w:val="24"/>
          <w:szCs w:val="28"/>
          <w:highlight w:val="none"/>
        </w:rPr>
        <w:t>周围及场内污染地、排粪坑，每月用</w:t>
      </w:r>
      <w:r>
        <w:rPr>
          <w:rFonts w:hint="default" w:ascii="Times New Roman" w:hAnsi="Times New Roman" w:eastAsia="宋体" w:cs="Times New Roman"/>
          <w:color w:val="auto"/>
          <w:sz w:val="24"/>
          <w:szCs w:val="28"/>
          <w:highlight w:val="none"/>
          <w:lang w:eastAsia="zh-CN"/>
        </w:rPr>
        <w:t>消毒水</w:t>
      </w:r>
      <w:r>
        <w:rPr>
          <w:rFonts w:hint="default" w:ascii="Times New Roman" w:hAnsi="Times New Roman" w:eastAsia="宋体" w:cs="Times New Roman"/>
          <w:color w:val="auto"/>
          <w:sz w:val="24"/>
          <w:szCs w:val="28"/>
          <w:highlight w:val="none"/>
        </w:rPr>
        <w:t>消毒1次。在牛场、牛舍入口设消毒池。</w:t>
      </w:r>
    </w:p>
    <w:p w14:paraId="4E21ED1A">
      <w:pPr>
        <w:keepNext w:val="0"/>
        <w:keepLines w:val="0"/>
        <w:pageBreakBefore w:val="0"/>
        <w:widowControl/>
        <w:kinsoku/>
        <w:wordWrap/>
        <w:overflowPunct/>
        <w:topLinePunct w:val="0"/>
        <w:autoSpaceDE/>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（2）人员消毒</w:t>
      </w:r>
    </w:p>
    <w:p w14:paraId="33B5F288">
      <w:pPr>
        <w:keepNext w:val="0"/>
        <w:keepLines w:val="0"/>
        <w:pageBreakBefore w:val="0"/>
        <w:widowControl/>
        <w:kinsoku/>
        <w:wordWrap/>
        <w:overflowPunct/>
        <w:topLinePunct w:val="0"/>
        <w:autoSpaceDE/>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工作人员进入生产区净道和牛舍，要更换工作服、工作鞋，并经</w:t>
      </w:r>
      <w:r>
        <w:rPr>
          <w:rFonts w:hint="default" w:ascii="Times New Roman" w:hAnsi="Times New Roman" w:eastAsia="宋体" w:cs="Times New Roman"/>
          <w:color w:val="auto"/>
          <w:sz w:val="24"/>
          <w:szCs w:val="28"/>
          <w:highlight w:val="none"/>
          <w:lang w:eastAsia="zh-CN"/>
        </w:rPr>
        <w:t>消毒液</w:t>
      </w:r>
      <w:r>
        <w:rPr>
          <w:rFonts w:hint="default" w:ascii="Times New Roman" w:hAnsi="Times New Roman" w:eastAsia="宋体" w:cs="Times New Roman"/>
          <w:color w:val="auto"/>
          <w:sz w:val="24"/>
          <w:szCs w:val="28"/>
          <w:highlight w:val="none"/>
        </w:rPr>
        <w:t>进行消毒。外来人员必须进入生产区时，应更换场内工作服、工作鞋，并经</w:t>
      </w:r>
      <w:r>
        <w:rPr>
          <w:rFonts w:hint="default" w:ascii="Times New Roman" w:hAnsi="Times New Roman" w:eastAsia="宋体" w:cs="Times New Roman"/>
          <w:color w:val="auto"/>
          <w:sz w:val="24"/>
          <w:szCs w:val="28"/>
          <w:highlight w:val="none"/>
          <w:lang w:eastAsia="zh-CN"/>
        </w:rPr>
        <w:t>消毒液</w:t>
      </w:r>
      <w:r>
        <w:rPr>
          <w:rFonts w:hint="default" w:ascii="Times New Roman" w:hAnsi="Times New Roman" w:eastAsia="宋体" w:cs="Times New Roman"/>
          <w:color w:val="auto"/>
          <w:sz w:val="24"/>
          <w:szCs w:val="28"/>
          <w:highlight w:val="none"/>
        </w:rPr>
        <w:t>进行消毒，并遵守场内防疫制度，按指定路线行走。</w:t>
      </w:r>
    </w:p>
    <w:p w14:paraId="5A9206D9">
      <w:pPr>
        <w:keepNext w:val="0"/>
        <w:keepLines w:val="0"/>
        <w:pageBreakBefore w:val="0"/>
        <w:widowControl/>
        <w:kinsoku/>
        <w:wordWrap/>
        <w:overflowPunct/>
        <w:topLinePunct w:val="0"/>
        <w:autoSpaceDE/>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（3）牛舍消毒：每天清扫，定期喷雾消毒。</w:t>
      </w:r>
    </w:p>
    <w:p w14:paraId="07503967">
      <w:pPr>
        <w:keepNext w:val="0"/>
        <w:keepLines w:val="0"/>
        <w:pageBreakBefore w:val="0"/>
        <w:widowControl/>
        <w:kinsoku/>
        <w:wordWrap/>
        <w:overflowPunct/>
        <w:topLinePunct w:val="0"/>
        <w:autoSpaceDE/>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8"/>
          <w:highlight w:val="none"/>
          <w:lang w:eastAsia="zh-CN"/>
        </w:rPr>
      </w:pPr>
      <w:r>
        <w:rPr>
          <w:rFonts w:hint="default" w:ascii="Times New Roman" w:hAnsi="Times New Roman" w:eastAsia="宋体" w:cs="Times New Roman"/>
          <w:color w:val="auto"/>
          <w:sz w:val="24"/>
          <w:szCs w:val="28"/>
          <w:highlight w:val="none"/>
        </w:rPr>
        <w:t>（4）用具消毒：定期对水槽、饲料车、料桶等饲养用具进行消毒</w:t>
      </w:r>
      <w:r>
        <w:rPr>
          <w:rFonts w:hint="default" w:ascii="Times New Roman" w:hAnsi="Times New Roman" w:eastAsia="宋体" w:cs="Times New Roman"/>
          <w:color w:val="auto"/>
          <w:sz w:val="24"/>
          <w:szCs w:val="28"/>
          <w:highlight w:val="none"/>
          <w:lang w:eastAsia="zh-CN"/>
        </w:rPr>
        <w:t>。</w:t>
      </w:r>
    </w:p>
    <w:p w14:paraId="0AEF67A7">
      <w:pPr>
        <w:keepNext w:val="0"/>
        <w:keepLines w:val="0"/>
        <w:pageBreakBefore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根据项目流程及建设内容可知，项目主要污染物见下表。</w:t>
      </w:r>
    </w:p>
    <w:p w14:paraId="4A75474B">
      <w:pPr>
        <w:pStyle w:val="7"/>
        <w:pageBreakBefore w:val="0"/>
        <w:kinsoku/>
        <w:wordWrap/>
        <w:overflowPunct/>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表3.2-</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项目排污环节分析一览表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8"/>
        <w:gridCol w:w="468"/>
        <w:gridCol w:w="1177"/>
        <w:gridCol w:w="1177"/>
        <w:gridCol w:w="4987"/>
      </w:tblGrid>
      <w:tr w14:paraId="00A358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8" w:type="dxa"/>
            <w:tcBorders>
              <w:top w:val="single" w:color="auto" w:sz="4" w:space="0"/>
              <w:left w:val="single" w:color="auto" w:sz="4" w:space="0"/>
            </w:tcBorders>
            <w:tcMar>
              <w:left w:w="28" w:type="dxa"/>
              <w:right w:w="28" w:type="dxa"/>
            </w:tcMar>
            <w:vAlign w:val="center"/>
          </w:tcPr>
          <w:p w14:paraId="7FD8C88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类别</w:t>
            </w:r>
          </w:p>
        </w:tc>
        <w:tc>
          <w:tcPr>
            <w:tcW w:w="468" w:type="dxa"/>
            <w:tcBorders>
              <w:top w:val="single" w:color="auto" w:sz="4" w:space="0"/>
            </w:tcBorders>
            <w:tcMar>
              <w:left w:w="28" w:type="dxa"/>
              <w:right w:w="28" w:type="dxa"/>
            </w:tcMar>
            <w:vAlign w:val="center"/>
          </w:tcPr>
          <w:p w14:paraId="75FBCC0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编号</w:t>
            </w:r>
          </w:p>
        </w:tc>
        <w:tc>
          <w:tcPr>
            <w:tcW w:w="1177" w:type="dxa"/>
            <w:tcBorders>
              <w:top w:val="single" w:color="auto" w:sz="4" w:space="0"/>
            </w:tcBorders>
            <w:tcMar>
              <w:left w:w="28" w:type="dxa"/>
              <w:right w:w="28" w:type="dxa"/>
            </w:tcMar>
            <w:vAlign w:val="center"/>
          </w:tcPr>
          <w:p w14:paraId="4021C4F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污染工序</w:t>
            </w:r>
          </w:p>
        </w:tc>
        <w:tc>
          <w:tcPr>
            <w:tcW w:w="1177" w:type="dxa"/>
            <w:tcBorders>
              <w:top w:val="single" w:color="auto" w:sz="4" w:space="0"/>
            </w:tcBorders>
            <w:tcMar>
              <w:left w:w="28" w:type="dxa"/>
              <w:right w:w="28" w:type="dxa"/>
            </w:tcMar>
            <w:vAlign w:val="center"/>
          </w:tcPr>
          <w:p w14:paraId="46B9927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主要污染物</w:t>
            </w:r>
          </w:p>
        </w:tc>
        <w:tc>
          <w:tcPr>
            <w:tcW w:w="4987" w:type="dxa"/>
            <w:tcBorders>
              <w:top w:val="single" w:color="auto" w:sz="4" w:space="0"/>
              <w:right w:val="single" w:color="auto" w:sz="4" w:space="0"/>
            </w:tcBorders>
            <w:tcMar>
              <w:left w:w="28" w:type="dxa"/>
              <w:right w:w="28" w:type="dxa"/>
            </w:tcMar>
            <w:vAlign w:val="center"/>
          </w:tcPr>
          <w:p w14:paraId="0D74BBA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处理措施/去向</w:t>
            </w:r>
          </w:p>
        </w:tc>
      </w:tr>
      <w:tr w14:paraId="5197B8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8" w:type="dxa"/>
            <w:vMerge w:val="restart"/>
            <w:tcBorders>
              <w:left w:val="single" w:color="auto" w:sz="4" w:space="0"/>
            </w:tcBorders>
            <w:tcMar>
              <w:left w:w="28" w:type="dxa"/>
              <w:right w:w="28" w:type="dxa"/>
            </w:tcMar>
            <w:vAlign w:val="center"/>
          </w:tcPr>
          <w:p w14:paraId="2AA7005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468" w:type="dxa"/>
            <w:tcMar>
              <w:left w:w="28" w:type="dxa"/>
              <w:right w:w="28" w:type="dxa"/>
            </w:tcMar>
            <w:vAlign w:val="center"/>
          </w:tcPr>
          <w:p w14:paraId="1753860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G</w:t>
            </w:r>
            <w:r>
              <w:rPr>
                <w:rFonts w:hint="default" w:ascii="Times New Roman" w:hAnsi="Times New Roman" w:eastAsia="宋体" w:cs="Times New Roman"/>
                <w:color w:val="auto"/>
                <w:sz w:val="21"/>
                <w:szCs w:val="21"/>
                <w:highlight w:val="none"/>
                <w:lang w:val="en-US" w:eastAsia="zh-CN"/>
              </w:rPr>
              <w:t>1</w:t>
            </w:r>
          </w:p>
        </w:tc>
        <w:tc>
          <w:tcPr>
            <w:tcW w:w="1177" w:type="dxa"/>
            <w:tcMar>
              <w:left w:w="28" w:type="dxa"/>
              <w:right w:w="28" w:type="dxa"/>
            </w:tcMar>
            <w:vAlign w:val="center"/>
          </w:tcPr>
          <w:p w14:paraId="2BF7DDE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牛舍</w:t>
            </w:r>
          </w:p>
        </w:tc>
        <w:tc>
          <w:tcPr>
            <w:tcW w:w="1177" w:type="dxa"/>
            <w:tcMar>
              <w:left w:w="28" w:type="dxa"/>
              <w:right w:w="28" w:type="dxa"/>
            </w:tcMar>
            <w:vAlign w:val="center"/>
          </w:tcPr>
          <w:p w14:paraId="08AB80C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氨、硫化氢</w:t>
            </w:r>
            <w:r>
              <w:rPr>
                <w:rFonts w:hint="default" w:ascii="Times New Roman" w:hAnsi="Times New Roman" w:eastAsia="宋体" w:cs="Times New Roman"/>
                <w:color w:val="auto"/>
                <w:sz w:val="21"/>
                <w:szCs w:val="21"/>
                <w:highlight w:val="none"/>
              </w:rPr>
              <w:t>、臭气浓度</w:t>
            </w:r>
          </w:p>
        </w:tc>
        <w:tc>
          <w:tcPr>
            <w:tcW w:w="4987" w:type="dxa"/>
            <w:tcBorders>
              <w:right w:val="single" w:color="auto" w:sz="4" w:space="0"/>
            </w:tcBorders>
            <w:tcMar>
              <w:left w:w="28" w:type="dxa"/>
              <w:right w:w="28" w:type="dxa"/>
            </w:tcMar>
            <w:vAlign w:val="center"/>
          </w:tcPr>
          <w:p w14:paraId="7E388F1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通过日粮设计，</w:t>
            </w:r>
            <w:r>
              <w:rPr>
                <w:rFonts w:hint="default" w:ascii="Times New Roman" w:hAnsi="Times New Roman" w:eastAsia="宋体" w:cs="Times New Roman"/>
                <w:color w:val="auto"/>
                <w:sz w:val="21"/>
                <w:szCs w:val="21"/>
                <w:highlight w:val="none"/>
              </w:rPr>
              <w:t>饲料添加EM复合微生物制剂，</w:t>
            </w:r>
            <w:r>
              <w:rPr>
                <w:rFonts w:hint="default" w:ascii="Times New Roman" w:hAnsi="Times New Roman" w:eastAsia="宋体" w:cs="Times New Roman"/>
                <w:color w:val="auto"/>
                <w:kern w:val="0"/>
                <w:sz w:val="21"/>
                <w:szCs w:val="21"/>
                <w:highlight w:val="none"/>
              </w:rPr>
              <w:t>牛舍采用及时清理粪尿，加强牛舍通风（除冬季封闭保暖外，均为敞开式通风）</w:t>
            </w:r>
            <w:r>
              <w:rPr>
                <w:rFonts w:hint="default" w:ascii="Times New Roman" w:hAnsi="Times New Roman" w:eastAsia="宋体" w:cs="Times New Roman"/>
                <w:color w:val="auto"/>
                <w:kern w:val="0"/>
                <w:sz w:val="21"/>
                <w:szCs w:val="21"/>
                <w:highlight w:val="none"/>
                <w:lang w:eastAsia="zh-CN"/>
              </w:rPr>
              <w:t>。</w:t>
            </w:r>
          </w:p>
        </w:tc>
      </w:tr>
      <w:tr w14:paraId="36B5C3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8" w:type="dxa"/>
            <w:vMerge w:val="continue"/>
            <w:tcBorders>
              <w:left w:val="single" w:color="auto" w:sz="4" w:space="0"/>
            </w:tcBorders>
            <w:tcMar>
              <w:left w:w="28" w:type="dxa"/>
              <w:right w:w="28" w:type="dxa"/>
            </w:tcMar>
            <w:vAlign w:val="center"/>
          </w:tcPr>
          <w:p w14:paraId="71B12B8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468" w:type="dxa"/>
            <w:tcMar>
              <w:left w:w="28" w:type="dxa"/>
              <w:right w:w="28" w:type="dxa"/>
            </w:tcMar>
            <w:vAlign w:val="center"/>
          </w:tcPr>
          <w:p w14:paraId="315E6CA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G</w:t>
            </w:r>
            <w:r>
              <w:rPr>
                <w:rFonts w:hint="default" w:ascii="Times New Roman" w:hAnsi="Times New Roman" w:eastAsia="宋体" w:cs="Times New Roman"/>
                <w:color w:val="auto"/>
                <w:sz w:val="21"/>
                <w:szCs w:val="21"/>
                <w:highlight w:val="none"/>
                <w:lang w:val="en-US" w:eastAsia="zh-CN"/>
              </w:rPr>
              <w:t>2</w:t>
            </w:r>
          </w:p>
        </w:tc>
        <w:tc>
          <w:tcPr>
            <w:tcW w:w="1177" w:type="dxa"/>
            <w:tcMar>
              <w:left w:w="28" w:type="dxa"/>
              <w:right w:w="28" w:type="dxa"/>
            </w:tcMar>
            <w:vAlign w:val="center"/>
          </w:tcPr>
          <w:p w14:paraId="75B3D93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粪污处理池</w:t>
            </w:r>
          </w:p>
        </w:tc>
        <w:tc>
          <w:tcPr>
            <w:tcW w:w="1177" w:type="dxa"/>
            <w:tcMar>
              <w:left w:w="28" w:type="dxa"/>
              <w:right w:w="28" w:type="dxa"/>
            </w:tcMar>
            <w:vAlign w:val="center"/>
          </w:tcPr>
          <w:p w14:paraId="5750D66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氨、硫化氢</w:t>
            </w:r>
            <w:r>
              <w:rPr>
                <w:rFonts w:hint="default" w:ascii="Times New Roman" w:hAnsi="Times New Roman" w:eastAsia="宋体" w:cs="Times New Roman"/>
                <w:color w:val="auto"/>
                <w:sz w:val="21"/>
                <w:szCs w:val="21"/>
                <w:highlight w:val="none"/>
              </w:rPr>
              <w:t>、臭气浓度</w:t>
            </w:r>
          </w:p>
        </w:tc>
        <w:tc>
          <w:tcPr>
            <w:tcW w:w="4987" w:type="dxa"/>
            <w:tcBorders>
              <w:right w:val="single" w:color="auto" w:sz="4" w:space="0"/>
            </w:tcBorders>
            <w:tcMar>
              <w:left w:w="28" w:type="dxa"/>
              <w:right w:w="28" w:type="dxa"/>
            </w:tcMar>
            <w:vAlign w:val="center"/>
          </w:tcPr>
          <w:p w14:paraId="5356E60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牛粪便</w:t>
            </w:r>
            <w:r>
              <w:rPr>
                <w:rFonts w:hint="default" w:ascii="Times New Roman" w:hAnsi="Times New Roman" w:eastAsia="宋体" w:cs="Times New Roman"/>
                <w:color w:val="auto"/>
                <w:sz w:val="21"/>
                <w:szCs w:val="21"/>
                <w:highlight w:val="none"/>
                <w:lang w:val="en-US" w:eastAsia="zh-CN"/>
              </w:rPr>
              <w:t>清运至</w:t>
            </w:r>
            <w:r>
              <w:rPr>
                <w:rFonts w:hint="default" w:ascii="Times New Roman" w:hAnsi="Times New Roman" w:eastAsia="宋体" w:cs="Times New Roman"/>
                <w:color w:val="auto"/>
                <w:sz w:val="21"/>
                <w:szCs w:val="21"/>
                <w:highlight w:val="none"/>
                <w:lang w:eastAsia="zh-CN"/>
              </w:rPr>
              <w:t>粪污处理池储存并堆肥，</w:t>
            </w:r>
            <w:r>
              <w:rPr>
                <w:rFonts w:hint="default" w:ascii="Times New Roman" w:hAnsi="Times New Roman" w:eastAsia="宋体" w:cs="Times New Roman"/>
                <w:color w:val="auto"/>
                <w:sz w:val="21"/>
                <w:szCs w:val="21"/>
                <w:highlight w:val="none"/>
                <w:lang w:val="en-US" w:eastAsia="zh-CN"/>
              </w:rPr>
              <w:t>采取</w:t>
            </w:r>
            <w:r>
              <w:rPr>
                <w:rFonts w:hint="default" w:ascii="Times New Roman" w:hAnsi="Times New Roman" w:eastAsia="宋体" w:cs="Times New Roman"/>
                <w:color w:val="auto"/>
                <w:kern w:val="0"/>
                <w:sz w:val="21"/>
                <w:szCs w:val="21"/>
                <w:highlight w:val="none"/>
              </w:rPr>
              <w:t>定期喷洒</w:t>
            </w:r>
            <w:r>
              <w:rPr>
                <w:rFonts w:hint="default" w:ascii="Times New Roman" w:hAnsi="Times New Roman" w:eastAsia="宋体" w:cs="Times New Roman"/>
                <w:color w:val="auto"/>
                <w:sz w:val="21"/>
                <w:szCs w:val="21"/>
                <w:highlight w:val="none"/>
              </w:rPr>
              <w:t>减少氨释放和保氮的复合菌剂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同时场区内加强绿化</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kern w:val="0"/>
                <w:sz w:val="21"/>
                <w:szCs w:val="21"/>
                <w:highlight w:val="none"/>
              </w:rPr>
              <w:t>可减少臭气的产生</w:t>
            </w:r>
            <w:r>
              <w:rPr>
                <w:rFonts w:hint="default" w:ascii="Times New Roman" w:hAnsi="Times New Roman" w:eastAsia="宋体" w:cs="Times New Roman"/>
                <w:color w:val="auto"/>
                <w:kern w:val="0"/>
                <w:sz w:val="21"/>
                <w:szCs w:val="21"/>
                <w:highlight w:val="none"/>
                <w:lang w:eastAsia="zh-CN"/>
              </w:rPr>
              <w:t>。</w:t>
            </w:r>
          </w:p>
        </w:tc>
      </w:tr>
      <w:tr w14:paraId="35CD42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8" w:type="dxa"/>
            <w:vMerge w:val="continue"/>
            <w:tcBorders>
              <w:left w:val="single" w:color="auto" w:sz="4" w:space="0"/>
            </w:tcBorders>
            <w:tcMar>
              <w:left w:w="28" w:type="dxa"/>
              <w:right w:w="28" w:type="dxa"/>
            </w:tcMar>
            <w:vAlign w:val="center"/>
          </w:tcPr>
          <w:p w14:paraId="2D92BB5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468" w:type="dxa"/>
            <w:tcMar>
              <w:left w:w="28" w:type="dxa"/>
              <w:right w:w="28" w:type="dxa"/>
            </w:tcMar>
            <w:vAlign w:val="center"/>
          </w:tcPr>
          <w:p w14:paraId="6C3019F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G</w:t>
            </w:r>
            <w:r>
              <w:rPr>
                <w:rFonts w:hint="default" w:ascii="Times New Roman" w:hAnsi="Times New Roman" w:eastAsia="宋体" w:cs="Times New Roman"/>
                <w:color w:val="auto"/>
                <w:sz w:val="21"/>
                <w:szCs w:val="21"/>
                <w:highlight w:val="none"/>
                <w:lang w:val="en-US" w:eastAsia="zh-CN"/>
              </w:rPr>
              <w:t>3</w:t>
            </w:r>
          </w:p>
        </w:tc>
        <w:tc>
          <w:tcPr>
            <w:tcW w:w="1177" w:type="dxa"/>
            <w:tcMar>
              <w:left w:w="28" w:type="dxa"/>
              <w:right w:w="28" w:type="dxa"/>
            </w:tcMar>
            <w:vAlign w:val="center"/>
          </w:tcPr>
          <w:p w14:paraId="37DA414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饲料配料</w:t>
            </w:r>
          </w:p>
        </w:tc>
        <w:tc>
          <w:tcPr>
            <w:tcW w:w="1177" w:type="dxa"/>
            <w:tcMar>
              <w:left w:w="28" w:type="dxa"/>
              <w:right w:w="28" w:type="dxa"/>
            </w:tcMar>
            <w:vAlign w:val="center"/>
          </w:tcPr>
          <w:p w14:paraId="5D7B517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颗粒物</w:t>
            </w:r>
          </w:p>
        </w:tc>
        <w:tc>
          <w:tcPr>
            <w:tcW w:w="4987" w:type="dxa"/>
            <w:tcBorders>
              <w:right w:val="single" w:color="auto" w:sz="4" w:space="0"/>
            </w:tcBorders>
            <w:tcMar>
              <w:left w:w="28" w:type="dxa"/>
              <w:right w:w="28" w:type="dxa"/>
            </w:tcMar>
            <w:vAlign w:val="center"/>
          </w:tcPr>
          <w:p w14:paraId="665477B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优质饲草料及青贮玉米等原料粒度大，搅拌的过程</w:t>
            </w:r>
            <w:r>
              <w:rPr>
                <w:rFonts w:hint="default" w:ascii="Times New Roman" w:hAnsi="Times New Roman" w:eastAsia="宋体" w:cs="Times New Roman"/>
                <w:bCs/>
                <w:color w:val="auto"/>
                <w:sz w:val="21"/>
                <w:szCs w:val="21"/>
                <w:highlight w:val="none"/>
                <w:lang w:val="en-US" w:eastAsia="zh-CN"/>
              </w:rPr>
              <w:t>加入定量水，饲料粉碎机和</w:t>
            </w:r>
            <w:r>
              <w:rPr>
                <w:rFonts w:hint="default" w:ascii="Times New Roman" w:hAnsi="Times New Roman" w:eastAsia="宋体" w:cs="Times New Roman"/>
                <w:bCs/>
                <w:color w:val="auto"/>
                <w:sz w:val="21"/>
                <w:szCs w:val="21"/>
                <w:highlight w:val="none"/>
                <w:lang w:eastAsia="zh-CN"/>
              </w:rPr>
              <w:t>TMR混合机</w:t>
            </w:r>
            <w:r>
              <w:rPr>
                <w:rFonts w:hint="default" w:ascii="Times New Roman" w:hAnsi="Times New Roman" w:eastAsia="宋体" w:cs="Times New Roman"/>
                <w:bCs/>
                <w:color w:val="auto"/>
                <w:sz w:val="21"/>
                <w:szCs w:val="21"/>
                <w:highlight w:val="none"/>
                <w:lang w:val="en-US" w:eastAsia="zh-CN"/>
              </w:rPr>
              <w:t>位于</w:t>
            </w:r>
            <w:r>
              <w:rPr>
                <w:rFonts w:hint="default" w:ascii="Times New Roman" w:hAnsi="Times New Roman" w:eastAsia="宋体" w:cs="Times New Roman"/>
                <w:bCs/>
                <w:color w:val="auto"/>
                <w:sz w:val="21"/>
                <w:szCs w:val="21"/>
                <w:highlight w:val="none"/>
              </w:rPr>
              <w:t>全封闭TMR车间</w:t>
            </w:r>
            <w:r>
              <w:rPr>
                <w:rFonts w:hint="default" w:ascii="Times New Roman" w:hAnsi="Times New Roman" w:eastAsia="宋体" w:cs="Times New Roman"/>
                <w:bCs/>
                <w:color w:val="auto"/>
                <w:sz w:val="21"/>
                <w:szCs w:val="21"/>
                <w:highlight w:val="none"/>
                <w:lang w:val="en-US" w:eastAsia="zh-CN"/>
              </w:rPr>
              <w:t>内</w:t>
            </w:r>
            <w:r>
              <w:rPr>
                <w:rFonts w:hint="default" w:ascii="Times New Roman" w:hAnsi="Times New Roman" w:eastAsia="宋体" w:cs="Times New Roman"/>
                <w:bCs/>
                <w:color w:val="auto"/>
                <w:sz w:val="21"/>
                <w:szCs w:val="21"/>
                <w:highlight w:val="none"/>
              </w:rPr>
              <w:t>，破碎和</w:t>
            </w:r>
            <w:r>
              <w:rPr>
                <w:rFonts w:hint="default" w:ascii="Times New Roman" w:hAnsi="Times New Roman" w:eastAsia="宋体" w:cs="Times New Roman"/>
                <w:bCs/>
                <w:color w:val="auto"/>
                <w:sz w:val="21"/>
                <w:szCs w:val="21"/>
                <w:highlight w:val="none"/>
                <w:lang w:val="en-US" w:eastAsia="zh-CN"/>
              </w:rPr>
              <w:t>搅拌</w:t>
            </w:r>
            <w:r>
              <w:rPr>
                <w:rFonts w:hint="default" w:ascii="Times New Roman" w:hAnsi="Times New Roman" w:eastAsia="宋体" w:cs="Times New Roman"/>
                <w:bCs/>
                <w:color w:val="auto"/>
                <w:sz w:val="21"/>
                <w:szCs w:val="21"/>
                <w:highlight w:val="none"/>
              </w:rPr>
              <w:t>过程中产生的颗粒物在封闭车间内沉降</w:t>
            </w:r>
            <w:r>
              <w:rPr>
                <w:rFonts w:hint="default" w:ascii="Times New Roman" w:hAnsi="Times New Roman" w:eastAsia="宋体" w:cs="Times New Roman"/>
                <w:bCs/>
                <w:color w:val="auto"/>
                <w:sz w:val="21"/>
                <w:szCs w:val="21"/>
                <w:highlight w:val="none"/>
                <w:lang w:eastAsia="zh-CN"/>
              </w:rPr>
              <w:t>。</w:t>
            </w:r>
          </w:p>
        </w:tc>
      </w:tr>
      <w:tr w14:paraId="7C0888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8" w:type="dxa"/>
            <w:tcBorders>
              <w:left w:val="single" w:color="auto" w:sz="4" w:space="0"/>
            </w:tcBorders>
            <w:tcMar>
              <w:left w:w="28" w:type="dxa"/>
              <w:right w:w="28" w:type="dxa"/>
            </w:tcMar>
            <w:vAlign w:val="center"/>
          </w:tcPr>
          <w:p w14:paraId="03D9289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w:t>
            </w:r>
          </w:p>
        </w:tc>
        <w:tc>
          <w:tcPr>
            <w:tcW w:w="468" w:type="dxa"/>
            <w:tcMar>
              <w:left w:w="28" w:type="dxa"/>
              <w:right w:w="28" w:type="dxa"/>
            </w:tcMar>
            <w:vAlign w:val="center"/>
          </w:tcPr>
          <w:p w14:paraId="3C57E5C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W1</w:t>
            </w:r>
          </w:p>
        </w:tc>
        <w:tc>
          <w:tcPr>
            <w:tcW w:w="1177" w:type="dxa"/>
            <w:tcMar>
              <w:left w:w="28" w:type="dxa"/>
              <w:right w:w="28" w:type="dxa"/>
            </w:tcMar>
            <w:vAlign w:val="center"/>
          </w:tcPr>
          <w:p w14:paraId="22D813B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工作人员</w:t>
            </w:r>
          </w:p>
        </w:tc>
        <w:tc>
          <w:tcPr>
            <w:tcW w:w="1177" w:type="dxa"/>
            <w:tcMar>
              <w:left w:w="28" w:type="dxa"/>
              <w:right w:w="28" w:type="dxa"/>
            </w:tcMar>
            <w:vAlign w:val="center"/>
          </w:tcPr>
          <w:p w14:paraId="0895D29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生活污水</w:t>
            </w:r>
          </w:p>
        </w:tc>
        <w:tc>
          <w:tcPr>
            <w:tcW w:w="4987" w:type="dxa"/>
            <w:tcBorders>
              <w:right w:val="single" w:color="auto" w:sz="4" w:space="0"/>
            </w:tcBorders>
            <w:tcMar>
              <w:left w:w="28" w:type="dxa"/>
              <w:right w:w="28" w:type="dxa"/>
            </w:tcMar>
            <w:vAlign w:val="center"/>
          </w:tcPr>
          <w:p w14:paraId="31C1893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生活污水</w:t>
            </w:r>
            <w:r>
              <w:rPr>
                <w:rFonts w:hint="default" w:ascii="Times New Roman" w:hAnsi="Times New Roman" w:eastAsia="宋体" w:cs="Times New Roman"/>
                <w:color w:val="auto"/>
                <w:sz w:val="21"/>
                <w:szCs w:val="21"/>
                <w:highlight w:val="none"/>
                <w:lang w:eastAsia="zh-CN"/>
              </w:rPr>
              <w:t>经化粪池处理</w:t>
            </w:r>
            <w:r>
              <w:rPr>
                <w:rFonts w:hint="default" w:ascii="Times New Roman" w:hAnsi="Times New Roman" w:eastAsia="宋体" w:cs="Times New Roman"/>
                <w:color w:val="auto"/>
                <w:sz w:val="21"/>
                <w:szCs w:val="21"/>
                <w:highlight w:val="none"/>
              </w:rPr>
              <w:t>后，</w:t>
            </w:r>
            <w:r>
              <w:rPr>
                <w:rFonts w:hint="default" w:ascii="Times New Roman" w:hAnsi="Times New Roman" w:eastAsia="宋体" w:cs="Times New Roman"/>
                <w:color w:val="auto"/>
                <w:sz w:val="21"/>
                <w:szCs w:val="21"/>
                <w:highlight w:val="none"/>
                <w:lang w:eastAsia="zh-CN"/>
              </w:rPr>
              <w:t>定期由当地环卫部门清运处置。</w:t>
            </w:r>
          </w:p>
        </w:tc>
      </w:tr>
      <w:tr w14:paraId="1360E4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8" w:type="dxa"/>
            <w:vMerge w:val="restart"/>
            <w:tcBorders>
              <w:left w:val="single" w:color="auto" w:sz="4" w:space="0"/>
            </w:tcBorders>
            <w:tcMar>
              <w:left w:w="28" w:type="dxa"/>
              <w:right w:w="28" w:type="dxa"/>
            </w:tcMar>
            <w:vAlign w:val="center"/>
          </w:tcPr>
          <w:p w14:paraId="467A583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w:t>
            </w:r>
          </w:p>
        </w:tc>
        <w:tc>
          <w:tcPr>
            <w:tcW w:w="468" w:type="dxa"/>
            <w:tcMar>
              <w:left w:w="28" w:type="dxa"/>
              <w:right w:w="28" w:type="dxa"/>
            </w:tcMar>
            <w:vAlign w:val="center"/>
          </w:tcPr>
          <w:p w14:paraId="2ABACDA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S1</w:t>
            </w:r>
          </w:p>
        </w:tc>
        <w:tc>
          <w:tcPr>
            <w:tcW w:w="1177" w:type="dxa"/>
            <w:vMerge w:val="restart"/>
            <w:tcMar>
              <w:left w:w="28" w:type="dxa"/>
              <w:right w:w="28" w:type="dxa"/>
            </w:tcMar>
            <w:vAlign w:val="center"/>
          </w:tcPr>
          <w:p w14:paraId="0DD4A92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牛舍及运动场</w:t>
            </w:r>
          </w:p>
        </w:tc>
        <w:tc>
          <w:tcPr>
            <w:tcW w:w="1177" w:type="dxa"/>
            <w:tcMar>
              <w:left w:w="28" w:type="dxa"/>
              <w:right w:w="28" w:type="dxa"/>
            </w:tcMar>
            <w:vAlign w:val="center"/>
          </w:tcPr>
          <w:p w14:paraId="2935073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牛粪便</w:t>
            </w:r>
          </w:p>
        </w:tc>
        <w:tc>
          <w:tcPr>
            <w:tcW w:w="4987" w:type="dxa"/>
            <w:tcBorders>
              <w:right w:val="single" w:color="auto" w:sz="4" w:space="0"/>
            </w:tcBorders>
            <w:tcMar>
              <w:left w:w="28" w:type="dxa"/>
              <w:right w:w="28" w:type="dxa"/>
            </w:tcMar>
            <w:vAlign w:val="center"/>
          </w:tcPr>
          <w:p w14:paraId="262DEA7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本项目</w:t>
            </w:r>
            <w:r>
              <w:rPr>
                <w:rFonts w:hint="default" w:ascii="Times New Roman" w:hAnsi="Times New Roman" w:eastAsia="宋体" w:cs="Times New Roman"/>
                <w:color w:val="auto"/>
                <w:kern w:val="0"/>
                <w:sz w:val="21"/>
                <w:szCs w:val="21"/>
                <w:highlight w:val="none"/>
              </w:rPr>
              <w:t>清粪方式</w:t>
            </w:r>
            <w:r>
              <w:rPr>
                <w:rFonts w:hint="default" w:ascii="Times New Roman" w:hAnsi="Times New Roman" w:eastAsia="宋体" w:cs="Times New Roman"/>
                <w:color w:val="auto"/>
                <w:sz w:val="21"/>
                <w:szCs w:val="21"/>
                <w:highlight w:val="none"/>
                <w:lang w:val="en-US" w:eastAsia="zh-CN"/>
              </w:rPr>
              <w:t>采用</w:t>
            </w:r>
            <w:r>
              <w:rPr>
                <w:rFonts w:hint="default" w:ascii="Times New Roman" w:hAnsi="Times New Roman" w:eastAsia="宋体" w:cs="Times New Roman"/>
                <w:color w:val="auto"/>
                <w:sz w:val="21"/>
                <w:szCs w:val="21"/>
                <w:highlight w:val="none"/>
              </w:rPr>
              <w:t>干清粪工艺</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日产日清</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采用</w:t>
            </w:r>
            <w:r>
              <w:rPr>
                <w:rFonts w:hint="default" w:ascii="Times New Roman" w:hAnsi="Times New Roman" w:eastAsia="宋体" w:cs="Times New Roman"/>
                <w:color w:val="auto"/>
                <w:sz w:val="21"/>
                <w:szCs w:val="21"/>
                <w:highlight w:val="none"/>
              </w:rPr>
              <w:t>铲车</w:t>
            </w:r>
            <w:r>
              <w:rPr>
                <w:rFonts w:hint="default" w:ascii="Times New Roman" w:hAnsi="Times New Roman" w:eastAsia="宋体" w:cs="Times New Roman"/>
                <w:color w:val="auto"/>
                <w:sz w:val="21"/>
                <w:szCs w:val="21"/>
                <w:highlight w:val="none"/>
                <w:lang w:val="en-US" w:eastAsia="zh-CN"/>
              </w:rPr>
              <w:t>将牛舍内和运动场的牛粪便和</w:t>
            </w:r>
            <w:r>
              <w:rPr>
                <w:rFonts w:hint="default" w:ascii="Times New Roman" w:hAnsi="Times New Roman" w:eastAsia="宋体" w:cs="Times New Roman"/>
                <w:color w:val="auto"/>
                <w:sz w:val="21"/>
                <w:szCs w:val="21"/>
                <w:highlight w:val="none"/>
                <w:lang w:eastAsia="zh-CN"/>
              </w:rPr>
              <w:t>牛群尿液</w:t>
            </w:r>
            <w:r>
              <w:rPr>
                <w:rFonts w:hint="default" w:ascii="Times New Roman" w:hAnsi="Times New Roman" w:eastAsia="宋体" w:cs="Times New Roman"/>
                <w:color w:val="auto"/>
                <w:kern w:val="0"/>
                <w:sz w:val="21"/>
                <w:szCs w:val="21"/>
                <w:highlight w:val="none"/>
              </w:rPr>
              <w:t>，定期清理</w:t>
            </w:r>
            <w:r>
              <w:rPr>
                <w:rFonts w:hint="default" w:ascii="Times New Roman" w:hAnsi="Times New Roman" w:eastAsia="宋体" w:cs="Times New Roman"/>
                <w:color w:val="auto"/>
                <w:kern w:val="0"/>
                <w:sz w:val="21"/>
                <w:szCs w:val="21"/>
                <w:highlight w:val="none"/>
                <w:lang w:val="en-US" w:eastAsia="zh-CN"/>
              </w:rPr>
              <w:t>至粪污处理池储存并堆肥，作为有机肥还田利用。</w:t>
            </w:r>
          </w:p>
        </w:tc>
      </w:tr>
      <w:tr w14:paraId="594AA7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8" w:type="dxa"/>
            <w:vMerge w:val="continue"/>
            <w:tcBorders>
              <w:left w:val="single" w:color="auto" w:sz="4" w:space="0"/>
            </w:tcBorders>
            <w:tcMar>
              <w:left w:w="28" w:type="dxa"/>
              <w:right w:w="28" w:type="dxa"/>
            </w:tcMar>
            <w:vAlign w:val="center"/>
          </w:tcPr>
          <w:p w14:paraId="48F477E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468" w:type="dxa"/>
            <w:tcMar>
              <w:left w:w="28" w:type="dxa"/>
              <w:right w:w="28" w:type="dxa"/>
            </w:tcMar>
            <w:vAlign w:val="center"/>
          </w:tcPr>
          <w:p w14:paraId="6DB9F90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S2</w:t>
            </w:r>
          </w:p>
        </w:tc>
        <w:tc>
          <w:tcPr>
            <w:tcW w:w="1177" w:type="dxa"/>
            <w:vMerge w:val="continue"/>
            <w:tcMar>
              <w:left w:w="28" w:type="dxa"/>
              <w:right w:w="28" w:type="dxa"/>
            </w:tcMar>
            <w:vAlign w:val="center"/>
          </w:tcPr>
          <w:p w14:paraId="4A0C22A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p>
        </w:tc>
        <w:tc>
          <w:tcPr>
            <w:tcW w:w="1177" w:type="dxa"/>
            <w:tcMar>
              <w:left w:w="28" w:type="dxa"/>
              <w:right w:w="28" w:type="dxa"/>
            </w:tcMar>
            <w:vAlign w:val="center"/>
          </w:tcPr>
          <w:p w14:paraId="4898C95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0000FF"/>
                <w:sz w:val="21"/>
                <w:szCs w:val="21"/>
                <w:highlight w:val="none"/>
                <w:lang w:eastAsia="zh-CN"/>
              </w:rPr>
            </w:pPr>
            <w:r>
              <w:rPr>
                <w:rFonts w:hint="default" w:ascii="Times New Roman" w:hAnsi="Times New Roman" w:eastAsia="宋体" w:cs="Times New Roman"/>
                <w:color w:val="0000FF"/>
                <w:sz w:val="21"/>
                <w:szCs w:val="21"/>
                <w:highlight w:val="none"/>
              </w:rPr>
              <w:t>垫</w:t>
            </w:r>
            <w:r>
              <w:rPr>
                <w:rFonts w:hint="default" w:ascii="Times New Roman" w:hAnsi="Times New Roman" w:eastAsia="宋体" w:cs="Times New Roman"/>
                <w:color w:val="0000FF"/>
                <w:sz w:val="21"/>
                <w:szCs w:val="21"/>
                <w:highlight w:val="none"/>
                <w:lang w:val="en-US" w:eastAsia="zh-CN"/>
              </w:rPr>
              <w:t>料</w:t>
            </w:r>
          </w:p>
        </w:tc>
        <w:tc>
          <w:tcPr>
            <w:tcW w:w="4987" w:type="dxa"/>
            <w:tcBorders>
              <w:right w:val="single" w:color="auto" w:sz="4" w:space="0"/>
            </w:tcBorders>
            <w:tcMar>
              <w:left w:w="28" w:type="dxa"/>
              <w:right w:w="28" w:type="dxa"/>
            </w:tcMar>
            <w:vAlign w:val="center"/>
          </w:tcPr>
          <w:p w14:paraId="217EFEE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采用清粪车将垫料转运至粪污处理池与牛粪便一同发酵，形成有机肥，用于周边农田还田利用</w:t>
            </w:r>
            <w:r>
              <w:rPr>
                <w:rFonts w:hint="default" w:ascii="Times New Roman" w:hAnsi="Times New Roman" w:eastAsia="宋体" w:cs="Times New Roman"/>
                <w:color w:val="0000FF"/>
                <w:sz w:val="21"/>
                <w:szCs w:val="21"/>
                <w:highlight w:val="none"/>
                <w:lang w:val="en-US" w:eastAsia="zh-CN"/>
              </w:rPr>
              <w:t>。</w:t>
            </w:r>
          </w:p>
        </w:tc>
      </w:tr>
      <w:tr w14:paraId="720DC2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8" w:type="dxa"/>
            <w:vMerge w:val="continue"/>
            <w:tcBorders>
              <w:left w:val="single" w:color="auto" w:sz="4" w:space="0"/>
            </w:tcBorders>
            <w:tcMar>
              <w:left w:w="28" w:type="dxa"/>
              <w:right w:w="28" w:type="dxa"/>
            </w:tcMar>
            <w:vAlign w:val="center"/>
          </w:tcPr>
          <w:p w14:paraId="60F8E31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468" w:type="dxa"/>
            <w:tcMar>
              <w:left w:w="28" w:type="dxa"/>
              <w:right w:w="28" w:type="dxa"/>
            </w:tcMar>
            <w:vAlign w:val="center"/>
          </w:tcPr>
          <w:p w14:paraId="49C7783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S3</w:t>
            </w:r>
          </w:p>
        </w:tc>
        <w:tc>
          <w:tcPr>
            <w:tcW w:w="1177" w:type="dxa"/>
            <w:vMerge w:val="continue"/>
            <w:tcMar>
              <w:left w:w="28" w:type="dxa"/>
              <w:right w:w="28" w:type="dxa"/>
            </w:tcMar>
            <w:vAlign w:val="center"/>
          </w:tcPr>
          <w:p w14:paraId="1659211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p>
        </w:tc>
        <w:tc>
          <w:tcPr>
            <w:tcW w:w="1177" w:type="dxa"/>
            <w:tcMar>
              <w:left w:w="28" w:type="dxa"/>
              <w:right w:w="28" w:type="dxa"/>
            </w:tcMar>
            <w:vAlign w:val="center"/>
          </w:tcPr>
          <w:p w14:paraId="4047D17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病死牛</w:t>
            </w:r>
          </w:p>
        </w:tc>
        <w:tc>
          <w:tcPr>
            <w:tcW w:w="4987" w:type="dxa"/>
            <w:tcBorders>
              <w:right w:val="single" w:color="auto" w:sz="4" w:space="0"/>
            </w:tcBorders>
            <w:tcMar>
              <w:left w:w="28" w:type="dxa"/>
              <w:right w:w="28" w:type="dxa"/>
            </w:tcMar>
            <w:vAlign w:val="center"/>
          </w:tcPr>
          <w:p w14:paraId="6E87B7B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病死牛暂存于</w:t>
            </w:r>
            <w:r>
              <w:rPr>
                <w:rFonts w:hint="default" w:ascii="Times New Roman" w:hAnsi="Times New Roman" w:eastAsia="宋体" w:cs="Times New Roman"/>
                <w:color w:val="auto"/>
                <w:kern w:val="2"/>
                <w:sz w:val="21"/>
                <w:szCs w:val="21"/>
                <w:highlight w:val="none"/>
                <w:lang w:val="en-US" w:eastAsia="zh-CN" w:bidi="ar-SA"/>
              </w:rPr>
              <w:t>冷藏间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交由巴彦淖尔市绿之源生物技术发展有限公司进行无害化处理</w:t>
            </w:r>
            <w:r>
              <w:rPr>
                <w:rFonts w:hint="default" w:ascii="Times New Roman" w:hAnsi="Times New Roman" w:eastAsia="宋体" w:cs="Times New Roman"/>
                <w:color w:val="auto"/>
                <w:sz w:val="21"/>
                <w:szCs w:val="21"/>
                <w:highlight w:val="none"/>
                <w:lang w:eastAsia="zh-CN"/>
              </w:rPr>
              <w:t>。</w:t>
            </w:r>
          </w:p>
        </w:tc>
      </w:tr>
      <w:tr w14:paraId="6A8A13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8" w:type="dxa"/>
            <w:vMerge w:val="continue"/>
            <w:tcBorders>
              <w:left w:val="single" w:color="auto" w:sz="4" w:space="0"/>
            </w:tcBorders>
            <w:tcMar>
              <w:left w:w="28" w:type="dxa"/>
              <w:right w:w="28" w:type="dxa"/>
            </w:tcMar>
            <w:vAlign w:val="center"/>
          </w:tcPr>
          <w:p w14:paraId="3251757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468" w:type="dxa"/>
            <w:tcMar>
              <w:left w:w="28" w:type="dxa"/>
              <w:right w:w="28" w:type="dxa"/>
            </w:tcMar>
            <w:vAlign w:val="center"/>
          </w:tcPr>
          <w:p w14:paraId="4F47158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S</w:t>
            </w:r>
            <w:r>
              <w:rPr>
                <w:rFonts w:hint="default" w:ascii="Times New Roman" w:hAnsi="Times New Roman" w:eastAsia="宋体" w:cs="Times New Roman"/>
                <w:color w:val="auto"/>
                <w:sz w:val="21"/>
                <w:szCs w:val="21"/>
                <w:highlight w:val="none"/>
                <w:lang w:val="en-US" w:eastAsia="zh-CN"/>
              </w:rPr>
              <w:t>4</w:t>
            </w:r>
          </w:p>
        </w:tc>
        <w:tc>
          <w:tcPr>
            <w:tcW w:w="1177" w:type="dxa"/>
            <w:tcMar>
              <w:left w:w="28" w:type="dxa"/>
              <w:right w:w="28" w:type="dxa"/>
            </w:tcMar>
            <w:vAlign w:val="center"/>
          </w:tcPr>
          <w:p w14:paraId="00D4F0F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兽医室</w:t>
            </w:r>
          </w:p>
        </w:tc>
        <w:tc>
          <w:tcPr>
            <w:tcW w:w="1177" w:type="dxa"/>
            <w:tcMar>
              <w:left w:w="28" w:type="dxa"/>
              <w:right w:w="28" w:type="dxa"/>
            </w:tcMar>
            <w:vAlign w:val="center"/>
          </w:tcPr>
          <w:p w14:paraId="5E2D840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医疗垃圾</w:t>
            </w:r>
          </w:p>
        </w:tc>
        <w:tc>
          <w:tcPr>
            <w:tcW w:w="4987" w:type="dxa"/>
            <w:tcBorders>
              <w:right w:val="single" w:color="auto" w:sz="4" w:space="0"/>
            </w:tcBorders>
            <w:tcMar>
              <w:left w:w="28" w:type="dxa"/>
              <w:right w:w="28" w:type="dxa"/>
            </w:tcMar>
            <w:vAlign w:val="center"/>
          </w:tcPr>
          <w:p w14:paraId="44D0EB5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医疗垃圾</w:t>
            </w:r>
            <w:r>
              <w:rPr>
                <w:rFonts w:hint="default" w:ascii="Times New Roman" w:hAnsi="Times New Roman" w:eastAsia="宋体" w:cs="Times New Roman"/>
                <w:color w:val="auto"/>
                <w:sz w:val="21"/>
                <w:szCs w:val="21"/>
                <w:highlight w:val="none"/>
              </w:rPr>
              <w:t>（废弃的消毒器具及针筒等）</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密封装袋暂存于</w:t>
            </w:r>
            <w:r>
              <w:rPr>
                <w:rFonts w:hint="default" w:ascii="Times New Roman" w:hAnsi="Times New Roman" w:eastAsia="宋体" w:cs="Times New Roman"/>
                <w:color w:val="auto"/>
                <w:sz w:val="21"/>
                <w:szCs w:val="21"/>
                <w:highlight w:val="none"/>
                <w:lang w:eastAsia="zh-CN"/>
              </w:rPr>
              <w:t>危废暂存间</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FF0000"/>
                <w:sz w:val="21"/>
                <w:szCs w:val="21"/>
                <w:highlight w:val="none"/>
                <w:lang w:eastAsia="zh-CN"/>
              </w:rPr>
              <w:t>危废暂存间</w:t>
            </w:r>
            <w:r>
              <w:rPr>
                <w:rFonts w:hint="default" w:ascii="Times New Roman" w:hAnsi="Times New Roman" w:eastAsia="宋体" w:cs="Times New Roman"/>
                <w:color w:val="FF0000"/>
                <w:sz w:val="21"/>
                <w:szCs w:val="21"/>
                <w:highlight w:val="none"/>
              </w:rPr>
              <w:t>按照《危险废物贮存污染控制标准》（</w:t>
            </w:r>
            <w:r>
              <w:rPr>
                <w:rFonts w:hint="default" w:ascii="Times New Roman" w:hAnsi="Times New Roman" w:eastAsia="宋体" w:cs="Times New Roman"/>
                <w:color w:val="FF0000"/>
                <w:sz w:val="21"/>
                <w:szCs w:val="21"/>
                <w:highlight w:val="none"/>
                <w:lang w:eastAsia="zh-CN"/>
              </w:rPr>
              <w:t>GB18597-2023</w:t>
            </w:r>
            <w:r>
              <w:rPr>
                <w:rFonts w:hint="default" w:ascii="Times New Roman" w:hAnsi="Times New Roman" w:eastAsia="宋体" w:cs="Times New Roman"/>
                <w:color w:val="FF0000"/>
                <w:sz w:val="21"/>
                <w:szCs w:val="21"/>
                <w:highlight w:val="none"/>
              </w:rPr>
              <w:t>）要求管理、建设，定期由有资质单位接收处理</w:t>
            </w:r>
            <w:r>
              <w:rPr>
                <w:rFonts w:hint="default" w:ascii="Times New Roman" w:hAnsi="Times New Roman" w:eastAsia="宋体" w:cs="Times New Roman"/>
                <w:color w:val="FF0000"/>
                <w:sz w:val="21"/>
                <w:szCs w:val="21"/>
                <w:highlight w:val="none"/>
                <w:lang w:eastAsia="zh-CN"/>
              </w:rPr>
              <w:t>。</w:t>
            </w:r>
          </w:p>
        </w:tc>
      </w:tr>
      <w:tr w14:paraId="519CB5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8" w:type="dxa"/>
            <w:vMerge w:val="continue"/>
            <w:tcBorders>
              <w:left w:val="single" w:color="auto" w:sz="4" w:space="0"/>
            </w:tcBorders>
            <w:tcMar>
              <w:left w:w="28" w:type="dxa"/>
              <w:right w:w="28" w:type="dxa"/>
            </w:tcMar>
            <w:vAlign w:val="center"/>
          </w:tcPr>
          <w:p w14:paraId="5F3386B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468" w:type="dxa"/>
            <w:tcMar>
              <w:left w:w="28" w:type="dxa"/>
              <w:right w:w="28" w:type="dxa"/>
            </w:tcMar>
            <w:vAlign w:val="center"/>
          </w:tcPr>
          <w:p w14:paraId="3B70B23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S</w:t>
            </w:r>
            <w:r>
              <w:rPr>
                <w:rFonts w:hint="default" w:ascii="Times New Roman" w:hAnsi="Times New Roman" w:eastAsia="宋体" w:cs="Times New Roman"/>
                <w:color w:val="auto"/>
                <w:sz w:val="21"/>
                <w:szCs w:val="21"/>
                <w:highlight w:val="none"/>
                <w:lang w:val="en-US" w:eastAsia="zh-CN"/>
              </w:rPr>
              <w:t>5</w:t>
            </w:r>
          </w:p>
        </w:tc>
        <w:tc>
          <w:tcPr>
            <w:tcW w:w="1177" w:type="dxa"/>
            <w:tcMar>
              <w:left w:w="28" w:type="dxa"/>
              <w:right w:w="28" w:type="dxa"/>
            </w:tcMar>
            <w:vAlign w:val="center"/>
          </w:tcPr>
          <w:p w14:paraId="42B39B6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工作人员</w:t>
            </w:r>
          </w:p>
        </w:tc>
        <w:tc>
          <w:tcPr>
            <w:tcW w:w="1177" w:type="dxa"/>
            <w:tcMar>
              <w:left w:w="28" w:type="dxa"/>
              <w:right w:w="28" w:type="dxa"/>
            </w:tcMar>
            <w:vAlign w:val="center"/>
          </w:tcPr>
          <w:p w14:paraId="5567100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生活垃圾</w:t>
            </w:r>
          </w:p>
        </w:tc>
        <w:tc>
          <w:tcPr>
            <w:tcW w:w="4987" w:type="dxa"/>
            <w:tcBorders>
              <w:right w:val="single" w:color="auto" w:sz="4" w:space="0"/>
            </w:tcBorders>
            <w:tcMar>
              <w:left w:w="28" w:type="dxa"/>
              <w:right w:w="28" w:type="dxa"/>
            </w:tcMar>
            <w:vAlign w:val="center"/>
          </w:tcPr>
          <w:p w14:paraId="6B2D1BD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bidi="zh-CN"/>
              </w:rPr>
              <w:t>场区</w:t>
            </w:r>
            <w:r>
              <w:rPr>
                <w:rFonts w:hint="default" w:ascii="Times New Roman" w:hAnsi="Times New Roman" w:eastAsia="宋体" w:cs="Times New Roman"/>
                <w:color w:val="auto"/>
                <w:sz w:val="21"/>
                <w:szCs w:val="21"/>
                <w:highlight w:val="none"/>
                <w:lang w:bidi="zh-CN"/>
              </w:rPr>
              <w:t>设置垃圾桶分类收集</w:t>
            </w:r>
            <w:r>
              <w:rPr>
                <w:rFonts w:hint="default" w:ascii="Times New Roman" w:hAnsi="Times New Roman" w:eastAsia="宋体" w:cs="Times New Roman"/>
                <w:color w:val="auto"/>
                <w:sz w:val="21"/>
                <w:szCs w:val="21"/>
                <w:highlight w:val="none"/>
                <w:lang w:val="en-US" w:bidi="zh-CN"/>
              </w:rPr>
              <w:t>工作人员产生的生活垃圾</w:t>
            </w:r>
            <w:r>
              <w:rPr>
                <w:rFonts w:hint="default" w:ascii="Times New Roman" w:hAnsi="Times New Roman" w:eastAsia="宋体" w:cs="Times New Roman"/>
                <w:color w:val="auto"/>
                <w:sz w:val="21"/>
                <w:szCs w:val="21"/>
                <w:highlight w:val="none"/>
                <w:lang w:bidi="zh-CN"/>
              </w:rPr>
              <w:t>，</w:t>
            </w:r>
            <w:r>
              <w:rPr>
                <w:rFonts w:hint="default" w:ascii="Times New Roman" w:hAnsi="Times New Roman" w:eastAsia="宋体" w:cs="Times New Roman"/>
                <w:color w:val="auto"/>
                <w:sz w:val="21"/>
                <w:szCs w:val="21"/>
                <w:highlight w:val="none"/>
                <w:lang w:val="en-US" w:bidi="zh-CN"/>
              </w:rPr>
              <w:t>定期</w:t>
            </w:r>
            <w:r>
              <w:rPr>
                <w:rFonts w:hint="default" w:ascii="Times New Roman" w:hAnsi="Times New Roman" w:eastAsia="宋体" w:cs="Times New Roman"/>
                <w:color w:val="auto"/>
                <w:sz w:val="21"/>
                <w:szCs w:val="21"/>
                <w:highlight w:val="none"/>
                <w:lang w:bidi="zh-CN"/>
              </w:rPr>
              <w:t>清运到环卫部门指定的地点集中处理。</w:t>
            </w:r>
          </w:p>
        </w:tc>
      </w:tr>
      <w:tr w14:paraId="5C5733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8" w:type="dxa"/>
            <w:tcBorders>
              <w:left w:val="single" w:color="auto" w:sz="4" w:space="0"/>
              <w:bottom w:val="single" w:color="auto" w:sz="4" w:space="0"/>
            </w:tcBorders>
            <w:tcMar>
              <w:left w:w="28" w:type="dxa"/>
              <w:right w:w="28" w:type="dxa"/>
            </w:tcMar>
            <w:vAlign w:val="center"/>
          </w:tcPr>
          <w:p w14:paraId="25CC1C3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468" w:type="dxa"/>
            <w:tcBorders>
              <w:bottom w:val="single" w:color="auto" w:sz="4" w:space="0"/>
            </w:tcBorders>
            <w:tcMar>
              <w:left w:w="28" w:type="dxa"/>
              <w:right w:w="28" w:type="dxa"/>
            </w:tcMar>
            <w:vAlign w:val="center"/>
          </w:tcPr>
          <w:p w14:paraId="1710D57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w:t>
            </w:r>
          </w:p>
        </w:tc>
        <w:tc>
          <w:tcPr>
            <w:tcW w:w="1177" w:type="dxa"/>
            <w:tcBorders>
              <w:bottom w:val="single" w:color="auto" w:sz="4" w:space="0"/>
            </w:tcBorders>
            <w:tcMar>
              <w:left w:w="28" w:type="dxa"/>
              <w:right w:w="28" w:type="dxa"/>
            </w:tcMar>
            <w:vAlign w:val="center"/>
          </w:tcPr>
          <w:p w14:paraId="234B121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各工段</w:t>
            </w:r>
          </w:p>
        </w:tc>
        <w:tc>
          <w:tcPr>
            <w:tcW w:w="1177" w:type="dxa"/>
            <w:tcBorders>
              <w:bottom w:val="single" w:color="auto" w:sz="4" w:space="0"/>
            </w:tcBorders>
            <w:tcMar>
              <w:left w:w="28" w:type="dxa"/>
              <w:right w:w="28" w:type="dxa"/>
            </w:tcMar>
            <w:vAlign w:val="center"/>
          </w:tcPr>
          <w:p w14:paraId="2967AE8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4987" w:type="dxa"/>
            <w:tcBorders>
              <w:bottom w:val="single" w:color="auto" w:sz="4" w:space="0"/>
              <w:right w:val="single" w:color="auto" w:sz="4" w:space="0"/>
            </w:tcBorders>
            <w:tcMar>
              <w:left w:w="28" w:type="dxa"/>
              <w:right w:w="28" w:type="dxa"/>
            </w:tcMar>
            <w:vAlign w:val="center"/>
          </w:tcPr>
          <w:p w14:paraId="6B60A93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left"/>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采取减振、隔声、合理布局等降噪措施</w:t>
            </w:r>
            <w:r>
              <w:rPr>
                <w:rFonts w:hint="default" w:ascii="Times New Roman" w:hAnsi="Times New Roman" w:eastAsia="宋体" w:cs="Times New Roman"/>
                <w:color w:val="auto"/>
                <w:sz w:val="21"/>
                <w:szCs w:val="21"/>
                <w:highlight w:val="none"/>
                <w:lang w:eastAsia="zh-CN"/>
              </w:rPr>
              <w:t>。</w:t>
            </w:r>
          </w:p>
        </w:tc>
      </w:tr>
    </w:tbl>
    <w:p w14:paraId="3F3B10F3">
      <w:pPr>
        <w:pStyle w:val="3"/>
        <w:pageBreakBefore w:val="0"/>
        <w:widowControl w:val="0"/>
        <w:kinsoku/>
        <w:wordWrap/>
        <w:topLinePunct/>
        <w:autoSpaceDN/>
        <w:bidi w:val="0"/>
        <w:adjustRightInd/>
        <w:snapToGrid w:val="0"/>
        <w:spacing w:before="0" w:after="0" w:line="360" w:lineRule="auto"/>
        <w:ind w:left="0" w:leftChars="0" w:right="0" w:rightChars="0"/>
        <w:textAlignment w:val="auto"/>
        <w:outlineLvl w:val="0"/>
        <w:rPr>
          <w:rFonts w:hint="default" w:ascii="Times New Roman" w:hAnsi="Times New Roman" w:eastAsia="宋体" w:cs="Times New Roman"/>
          <w:color w:val="auto"/>
          <w:highlight w:val="none"/>
        </w:rPr>
      </w:pPr>
      <w:bookmarkStart w:id="263" w:name="_Toc46421098"/>
      <w:bookmarkStart w:id="264" w:name="_Toc30453"/>
      <w:bookmarkStart w:id="265" w:name="_Toc523322300"/>
      <w:r>
        <w:rPr>
          <w:rFonts w:hint="default" w:ascii="Times New Roman" w:hAnsi="Times New Roman" w:eastAsia="宋体" w:cs="Times New Roman"/>
          <w:color w:val="auto"/>
          <w:highlight w:val="none"/>
        </w:rPr>
        <w:t>3.3项目污染源源强核算</w:t>
      </w:r>
      <w:bookmarkEnd w:id="263"/>
      <w:bookmarkEnd w:id="264"/>
      <w:bookmarkEnd w:id="265"/>
    </w:p>
    <w:p w14:paraId="343E0992">
      <w:pPr>
        <w:pageBreakBefore w:val="0"/>
        <w:widowControl w:val="0"/>
        <w:kinsoku/>
        <w:wordWrap/>
        <w:overflowPunct w:val="0"/>
        <w:topLinePunct/>
        <w:autoSpaceDE/>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根据工艺流程，通过产排污分析，本工程污染物产排情况按工序分别进行论述。</w:t>
      </w:r>
    </w:p>
    <w:p w14:paraId="2FD7EC3C">
      <w:pPr>
        <w:pStyle w:val="5"/>
        <w:pageBreakBefore w:val="0"/>
        <w:widowControl w:val="0"/>
        <w:kinsoku/>
        <w:wordWrap/>
        <w:topLinePunct/>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266" w:name="_Toc4645"/>
      <w:bookmarkStart w:id="267" w:name="_Toc46421099"/>
      <w:r>
        <w:rPr>
          <w:rFonts w:hint="default" w:ascii="Times New Roman" w:hAnsi="Times New Roman" w:eastAsia="宋体" w:cs="Times New Roman"/>
          <w:color w:val="auto"/>
          <w:highlight w:val="none"/>
        </w:rPr>
        <w:t>3.3.1大气污染物</w:t>
      </w:r>
      <w:bookmarkEnd w:id="266"/>
      <w:bookmarkEnd w:id="267"/>
    </w:p>
    <w:p w14:paraId="0155D676">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项目运营期废气污染物主要包括养殖区（牛舍及运动场）</w:t>
      </w:r>
      <w:r>
        <w:rPr>
          <w:rFonts w:hint="default" w:ascii="Times New Roman" w:hAnsi="Times New Roman" w:eastAsia="宋体" w:cs="Times New Roman"/>
          <w:color w:val="auto"/>
          <w:highlight w:val="none"/>
        </w:rPr>
        <w:t>恶臭气体</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恶臭气体</w:t>
      </w:r>
      <w:r>
        <w:rPr>
          <w:rFonts w:hint="default" w:ascii="Times New Roman" w:hAnsi="Times New Roman" w:eastAsia="宋体" w:cs="Times New Roman"/>
          <w:color w:val="auto"/>
          <w:highlight w:val="none"/>
          <w:lang w:eastAsia="zh-CN"/>
        </w:rPr>
        <w:t>、饲料配料产生的粉尘等。</w:t>
      </w:r>
    </w:p>
    <w:p w14:paraId="469BE6CB">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恶臭气体（G</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、G</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w:t>
      </w:r>
    </w:p>
    <w:p w14:paraId="2F5C0052">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养殖恶臭</w:t>
      </w:r>
      <w:r>
        <w:rPr>
          <w:rFonts w:hint="default" w:ascii="Times New Roman" w:hAnsi="Times New Roman" w:eastAsia="宋体" w:cs="Times New Roman"/>
          <w:color w:val="auto"/>
          <w:highlight w:val="none"/>
          <w:lang w:eastAsia="zh-CN"/>
        </w:rPr>
        <w:t>气体</w:t>
      </w:r>
      <w:r>
        <w:rPr>
          <w:rFonts w:hint="default" w:ascii="Times New Roman" w:hAnsi="Times New Roman" w:eastAsia="宋体" w:cs="Times New Roman"/>
          <w:color w:val="auto"/>
          <w:highlight w:val="none"/>
        </w:rPr>
        <w:t>来自牲畜的粪便、饲料等的腐败分解。新鲜粪便，消化道排出的气体、皮脂腺和汗腺的分泌物、畜体的外激素、</w:t>
      </w:r>
      <w:r>
        <w:rPr>
          <w:rFonts w:hint="default" w:ascii="Times New Roman" w:hAnsi="Times New Roman" w:eastAsia="宋体" w:cs="Times New Roman"/>
          <w:color w:val="auto"/>
          <w:highlight w:val="none"/>
          <w:lang w:eastAsia="zh-CN"/>
        </w:rPr>
        <w:t>黏附</w:t>
      </w:r>
      <w:r>
        <w:rPr>
          <w:rFonts w:hint="default" w:ascii="Times New Roman" w:hAnsi="Times New Roman" w:eastAsia="宋体" w:cs="Times New Roman"/>
          <w:color w:val="auto"/>
          <w:highlight w:val="none"/>
        </w:rPr>
        <w:t>在体表的污染物等，呼出气中的CO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（含量比大气中高约100倍）等也会散发特有的难闻气味，但恶臭主要来源为粪便排出体外之后的腐败分解。但是实验表明，只要加强牛舍管理，采取粪便及时清理干净等措施，</w:t>
      </w:r>
      <w:r>
        <w:rPr>
          <w:rFonts w:hint="default" w:ascii="Times New Roman" w:hAnsi="Times New Roman" w:eastAsia="宋体" w:cs="Times New Roman"/>
          <w:color w:val="auto"/>
          <w:highlight w:val="none"/>
          <w:lang w:eastAsia="zh-CN"/>
        </w:rPr>
        <w:t>可以很好地限制</w:t>
      </w:r>
      <w:r>
        <w:rPr>
          <w:rFonts w:hint="default" w:ascii="Times New Roman" w:hAnsi="Times New Roman" w:eastAsia="宋体" w:cs="Times New Roman"/>
          <w:color w:val="auto"/>
          <w:highlight w:val="none"/>
        </w:rPr>
        <w:t>臭气的产生。</w:t>
      </w:r>
    </w:p>
    <w:p w14:paraId="258BA9C3">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1）养殖区恶臭污染物</w:t>
      </w:r>
    </w:p>
    <w:p w14:paraId="5D1C2AE1">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牛舍本身是</w:t>
      </w:r>
      <w:r>
        <w:rPr>
          <w:rFonts w:hint="default" w:ascii="Times New Roman" w:hAnsi="Times New Roman" w:eastAsia="宋体" w:cs="Times New Roman"/>
          <w:color w:val="auto"/>
          <w:highlight w:val="none"/>
          <w:lang w:eastAsia="zh-CN"/>
        </w:rPr>
        <w:t>养殖场</w:t>
      </w:r>
      <w:r>
        <w:rPr>
          <w:rFonts w:hint="default" w:ascii="Times New Roman" w:hAnsi="Times New Roman" w:eastAsia="宋体" w:cs="Times New Roman"/>
          <w:color w:val="auto"/>
          <w:highlight w:val="none"/>
        </w:rPr>
        <w:t>恶臭气体的</w:t>
      </w:r>
      <w:r>
        <w:rPr>
          <w:rFonts w:hint="default" w:ascii="Times New Roman" w:hAnsi="Times New Roman" w:eastAsia="宋体" w:cs="Times New Roman"/>
          <w:color w:val="auto"/>
          <w:highlight w:val="none"/>
          <w:lang w:eastAsia="zh-CN"/>
        </w:rPr>
        <w:t>主要</w:t>
      </w:r>
      <w:r>
        <w:rPr>
          <w:rFonts w:hint="default" w:ascii="Times New Roman" w:hAnsi="Times New Roman" w:eastAsia="宋体" w:cs="Times New Roman"/>
          <w:color w:val="auto"/>
          <w:highlight w:val="none"/>
        </w:rPr>
        <w:t>产生源，由于粪尿处置过程中粪污的转移增多了养殖场恶臭气体的散发面，从而使恶臭气体的排放源广泛分布在场内和</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，恶臭中的污染物主要为NH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和H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p>
    <w:p w14:paraId="53FA03D6">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b/>
          <w:bCs/>
          <w:color w:val="FF0000"/>
          <w:highlight w:val="none"/>
          <w:lang w:val="en-US" w:eastAsia="zh-CN"/>
        </w:rPr>
      </w:pPr>
      <w:r>
        <w:rPr>
          <w:rFonts w:hint="default" w:ascii="Times New Roman" w:hAnsi="Times New Roman" w:eastAsia="宋体" w:cs="Times New Roman"/>
          <w:b/>
          <w:bCs/>
          <w:color w:val="FF0000"/>
          <w:highlight w:val="none"/>
        </w:rPr>
        <w:t>①</w:t>
      </w:r>
      <w:r>
        <w:rPr>
          <w:rFonts w:hint="default" w:ascii="Times New Roman" w:hAnsi="Times New Roman" w:eastAsia="宋体" w:cs="Times New Roman"/>
          <w:b/>
          <w:bCs/>
          <w:color w:val="FF0000"/>
          <w:highlight w:val="none"/>
          <w:lang w:val="en-US" w:eastAsia="zh-CN"/>
        </w:rPr>
        <w:t>氨气</w:t>
      </w:r>
    </w:p>
    <w:p w14:paraId="6D3F6E1F">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根据《畜禽养殖业产污系数与排污系数-氨氮》中规模化畜禽养殖场华北地区牛养殖污染物TN的排污系数为66.6g/头-天，本项目日常存栏</w:t>
      </w:r>
      <w:r>
        <w:rPr>
          <w:rFonts w:hint="default" w:ascii="Times New Roman" w:hAnsi="Times New Roman" w:eastAsia="宋体" w:cs="Times New Roman"/>
          <w:color w:val="auto"/>
          <w:highlight w:val="none"/>
          <w:lang w:val="en-US" w:eastAsia="zh-CN"/>
        </w:rPr>
        <w:t>2500头</w:t>
      </w:r>
      <w:r>
        <w:rPr>
          <w:rFonts w:hint="default" w:ascii="Times New Roman" w:hAnsi="Times New Roman" w:eastAsia="宋体" w:cs="Times New Roman"/>
          <w:color w:val="auto"/>
          <w:highlight w:val="none"/>
        </w:rPr>
        <w:t>牛，则项目牛舍TN产生量为</w:t>
      </w:r>
      <w:r>
        <w:rPr>
          <w:rFonts w:hint="default" w:ascii="Times New Roman" w:hAnsi="Times New Roman" w:eastAsia="宋体" w:cs="Times New Roman"/>
          <w:color w:val="auto"/>
          <w:highlight w:val="none"/>
          <w:lang w:val="en-US" w:eastAsia="zh-CN"/>
        </w:rPr>
        <w:t>166.5</w:t>
      </w:r>
      <w:r>
        <w:rPr>
          <w:rFonts w:hint="default" w:ascii="Times New Roman" w:hAnsi="Times New Roman" w:eastAsia="宋体" w:cs="Times New Roman"/>
          <w:color w:val="auto"/>
          <w:highlight w:val="none"/>
        </w:rPr>
        <w:t>kg/d，氮挥发量约占总量的10</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，其中氨态氮占氮挥发总量的25</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，则本项目NH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总产生量为</w:t>
      </w:r>
      <w:r>
        <w:rPr>
          <w:rFonts w:hint="default" w:ascii="Times New Roman" w:hAnsi="Times New Roman" w:eastAsia="宋体" w:cs="Times New Roman"/>
          <w:color w:val="FF0000"/>
          <w:highlight w:val="none"/>
          <w:lang w:val="en-US" w:eastAsia="zh-CN"/>
        </w:rPr>
        <w:t>4.1625</w:t>
      </w:r>
      <w:r>
        <w:rPr>
          <w:rFonts w:hint="default" w:ascii="Times New Roman" w:hAnsi="Times New Roman" w:eastAsia="宋体" w:cs="Times New Roman"/>
          <w:color w:val="FF0000"/>
          <w:highlight w:val="none"/>
        </w:rPr>
        <w:t>kg/d（即</w:t>
      </w:r>
      <w:r>
        <w:rPr>
          <w:rFonts w:hint="default" w:ascii="Times New Roman" w:hAnsi="Times New Roman" w:eastAsia="宋体" w:cs="Times New Roman"/>
          <w:color w:val="FF0000"/>
          <w:highlight w:val="none"/>
          <w:lang w:val="en-US" w:eastAsia="zh-CN"/>
        </w:rPr>
        <w:t>0.1734</w:t>
      </w:r>
      <w:r>
        <w:rPr>
          <w:rFonts w:hint="default" w:ascii="Times New Roman" w:hAnsi="Times New Roman" w:eastAsia="宋体" w:cs="Times New Roman"/>
          <w:color w:val="FF0000"/>
          <w:highlight w:val="none"/>
        </w:rPr>
        <w:t>kg/h）</w:t>
      </w:r>
      <w:r>
        <w:rPr>
          <w:rFonts w:hint="default" w:ascii="Times New Roman" w:hAnsi="Times New Roman" w:eastAsia="宋体" w:cs="Times New Roman"/>
          <w:color w:val="auto"/>
          <w:highlight w:val="none"/>
        </w:rPr>
        <w:t>。氨态氮转化为氨气释放主要集中在一次发酵阶段完成，即主要在新鲜粪便产生后的15d内转化。由于牛舍内的</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日产日清，氨气的释放量按转化1d计，根据相关资料显示，</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中氨气释放速率呈对数函数形式递减，第1天释放量为总量的</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0%，其余14天释放量为总量的</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0%。本项目牛舍内粪便采取干清粪工艺，日产日清，氨气释放速率按转化1天计，释放总氨气量的</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0%</w:t>
      </w:r>
      <w:r>
        <w:rPr>
          <w:rFonts w:hint="default" w:ascii="Times New Roman" w:hAnsi="Times New Roman" w:eastAsia="宋体" w:cs="Times New Roman"/>
          <w:color w:val="FF0000"/>
          <w:highlight w:val="none"/>
        </w:rPr>
        <w:t>，则牛舍NH</w:t>
      </w:r>
      <w:r>
        <w:rPr>
          <w:rFonts w:hint="default" w:ascii="Times New Roman" w:hAnsi="Times New Roman" w:eastAsia="宋体" w:cs="Times New Roman"/>
          <w:color w:val="FF0000"/>
          <w:highlight w:val="none"/>
          <w:vertAlign w:val="subscript"/>
        </w:rPr>
        <w:t>3</w:t>
      </w:r>
      <w:r>
        <w:rPr>
          <w:rFonts w:hint="default" w:ascii="Times New Roman" w:hAnsi="Times New Roman" w:eastAsia="宋体" w:cs="Times New Roman"/>
          <w:color w:val="FF0000"/>
          <w:highlight w:val="none"/>
        </w:rPr>
        <w:t>产生速率为</w:t>
      </w:r>
      <w:r>
        <w:rPr>
          <w:rFonts w:hint="default" w:ascii="Times New Roman" w:hAnsi="Times New Roman" w:eastAsia="宋体" w:cs="Times New Roman"/>
          <w:color w:val="FF0000"/>
          <w:highlight w:val="none"/>
          <w:lang w:val="en-US" w:eastAsia="zh-CN"/>
        </w:rPr>
        <w:t>0.1041</w:t>
      </w:r>
      <w:r>
        <w:rPr>
          <w:rFonts w:hint="default" w:ascii="Times New Roman" w:hAnsi="Times New Roman" w:eastAsia="宋体" w:cs="Times New Roman"/>
          <w:color w:val="FF0000"/>
          <w:highlight w:val="none"/>
        </w:rPr>
        <w:t>kg/h</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rPr>
        <w:t>产生量为</w:t>
      </w:r>
      <w:r>
        <w:rPr>
          <w:rFonts w:hint="default" w:ascii="Times New Roman" w:hAnsi="Times New Roman" w:eastAsia="宋体" w:cs="Times New Roman"/>
          <w:color w:val="FF0000"/>
          <w:highlight w:val="none"/>
          <w:lang w:val="en-US" w:eastAsia="zh-CN"/>
        </w:rPr>
        <w:t>0.9119t/a</w:t>
      </w:r>
      <w:r>
        <w:rPr>
          <w:rFonts w:hint="default" w:ascii="Times New Roman" w:hAnsi="Times New Roman" w:eastAsia="宋体" w:cs="Times New Roman"/>
          <w:color w:val="FF0000"/>
          <w:highlight w:val="none"/>
        </w:rPr>
        <w:t>。</w:t>
      </w:r>
    </w:p>
    <w:p w14:paraId="65004643">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rPr>
        <w:t>②硫化氢</w:t>
      </w:r>
    </w:p>
    <w:p w14:paraId="35E9176C">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0000"/>
          <w:highlight w:val="none"/>
          <w:lang w:eastAsia="zh-CN"/>
        </w:rPr>
      </w:pPr>
      <w:r>
        <w:rPr>
          <w:rFonts w:hint="default" w:ascii="Times New Roman" w:hAnsi="Times New Roman" w:eastAsia="宋体" w:cs="Times New Roman"/>
          <w:color w:val="FF0000"/>
          <w:highlight w:val="none"/>
        </w:rPr>
        <w:t>根据参考《农业环境影响评价技术手册》（化学工业出版社2007）及其他肉牛养殖文献资料，硫化氢产生量的比例一般为氨气量的0.5%-2%，本次评价取平均值1.25%，则牛舍H</w:t>
      </w:r>
      <w:r>
        <w:rPr>
          <w:rFonts w:hint="default" w:ascii="Times New Roman" w:hAnsi="Times New Roman" w:eastAsia="宋体" w:cs="Times New Roman"/>
          <w:color w:val="FF0000"/>
          <w:highlight w:val="none"/>
          <w:vertAlign w:val="subscript"/>
        </w:rPr>
        <w:t>2</w:t>
      </w:r>
      <w:r>
        <w:rPr>
          <w:rFonts w:hint="default" w:ascii="Times New Roman" w:hAnsi="Times New Roman" w:eastAsia="宋体" w:cs="Times New Roman"/>
          <w:color w:val="FF0000"/>
          <w:highlight w:val="none"/>
        </w:rPr>
        <w:t>S产生速率为</w:t>
      </w:r>
      <w:r>
        <w:rPr>
          <w:rFonts w:hint="default" w:ascii="Times New Roman" w:hAnsi="Times New Roman" w:eastAsia="宋体" w:cs="Times New Roman"/>
          <w:color w:val="FF0000"/>
          <w:highlight w:val="none"/>
          <w:lang w:val="en-US" w:eastAsia="zh-CN"/>
        </w:rPr>
        <w:t>0.00</w:t>
      </w:r>
      <w:r>
        <w:rPr>
          <w:rFonts w:hint="default" w:ascii="Times New Roman" w:hAnsi="Times New Roman" w:eastAsia="宋体" w:cs="Times New Roman"/>
          <w:color w:val="FF0000"/>
          <w:highlight w:val="none"/>
          <w:lang w:val="en-US" w:eastAsia="zh-CN"/>
        </w:rPr>
        <w:t>1</w:t>
      </w:r>
      <w:r>
        <w:rPr>
          <w:rFonts w:hint="default" w:ascii="Times New Roman" w:hAnsi="Times New Roman" w:eastAsia="宋体" w:cs="Times New Roman"/>
          <w:color w:val="FF0000"/>
          <w:highlight w:val="none"/>
          <w:lang w:val="en-US" w:eastAsia="zh-CN"/>
        </w:rPr>
        <w:t>3</w:t>
      </w:r>
      <w:r>
        <w:rPr>
          <w:rFonts w:hint="default" w:ascii="Times New Roman" w:hAnsi="Times New Roman" w:eastAsia="宋体" w:cs="Times New Roman"/>
          <w:color w:val="FF0000"/>
          <w:highlight w:val="none"/>
        </w:rPr>
        <w:t>kg/h</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lang w:val="en-US" w:eastAsia="zh-CN"/>
        </w:rPr>
        <w:t>产生量为0.0114</w:t>
      </w:r>
      <w:r>
        <w:rPr>
          <w:rFonts w:hint="default" w:ascii="Times New Roman" w:hAnsi="Times New Roman" w:eastAsia="宋体" w:cs="Times New Roman"/>
          <w:color w:val="FF0000"/>
          <w:highlight w:val="none"/>
          <w:lang w:val="en-US" w:eastAsia="zh-CN"/>
        </w:rPr>
        <w:t>t/a</w:t>
      </w:r>
      <w:r>
        <w:rPr>
          <w:rFonts w:hint="default" w:ascii="Times New Roman" w:hAnsi="Times New Roman" w:eastAsia="宋体" w:cs="Times New Roman"/>
          <w:color w:val="FF0000"/>
          <w:highlight w:val="none"/>
          <w:lang w:eastAsia="zh-CN"/>
        </w:rPr>
        <w:t>。</w:t>
      </w:r>
    </w:p>
    <w:p w14:paraId="2A6CCBA8">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根据《EM制剂在农业清洁生产上的应用》（福建省农业科学院）中的相关研究报告，使用EM制剂的养牛场等禽类养殖场，氨气及硫化氢等臭气浓度可以降低</w:t>
      </w:r>
      <w:r>
        <w:rPr>
          <w:rFonts w:hint="default" w:ascii="Times New Roman" w:hAnsi="Times New Roman" w:eastAsia="宋体" w:cs="Times New Roman"/>
          <w:bCs/>
          <w:color w:val="auto"/>
          <w:highlight w:val="none"/>
          <w:lang w:eastAsia="zh-CN"/>
        </w:rPr>
        <w:t>70%-80%</w:t>
      </w:r>
      <w:r>
        <w:rPr>
          <w:rFonts w:hint="default" w:ascii="Times New Roman" w:hAnsi="Times New Roman" w:eastAsia="宋体" w:cs="Times New Roman"/>
          <w:bCs/>
          <w:color w:val="auto"/>
          <w:highlight w:val="none"/>
        </w:rPr>
        <w:t>，使用EM制剂的养牛等兽类养殖场养殖舍内臭气基本可消除，本次评价EM制剂除臭以</w:t>
      </w:r>
      <w:r>
        <w:rPr>
          <w:rFonts w:hint="default" w:ascii="Times New Roman" w:hAnsi="Times New Roman" w:eastAsia="宋体" w:cs="Times New Roman"/>
          <w:bCs/>
          <w:color w:val="auto"/>
          <w:highlight w:val="none"/>
          <w:lang w:val="en-US" w:eastAsia="zh-CN"/>
        </w:rPr>
        <w:t>8</w:t>
      </w:r>
      <w:r>
        <w:rPr>
          <w:rFonts w:hint="default" w:ascii="Times New Roman" w:hAnsi="Times New Roman" w:eastAsia="宋体" w:cs="Times New Roman"/>
          <w:bCs/>
          <w:color w:val="auto"/>
          <w:highlight w:val="none"/>
        </w:rPr>
        <w:t>0%计算。</w:t>
      </w:r>
    </w:p>
    <w:p w14:paraId="6B86BFB8">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本项目养殖饲料在采用TMR饲喂的同时，还应采用理想蛋白质体系配方，使肠内的有益细菌增殖，使肠的活动能力增强，以提高蛋白质</w:t>
      </w:r>
      <w:r>
        <w:rPr>
          <w:rFonts w:hint="default" w:ascii="Times New Roman" w:hAnsi="Times New Roman" w:eastAsia="宋体" w:cs="Times New Roman"/>
          <w:color w:val="auto"/>
          <w:highlight w:val="none"/>
          <w:lang w:eastAsia="zh-CN"/>
        </w:rPr>
        <w:t>及其他</w:t>
      </w:r>
      <w:r>
        <w:rPr>
          <w:rFonts w:hint="default" w:ascii="Times New Roman" w:hAnsi="Times New Roman" w:eastAsia="宋体" w:cs="Times New Roman"/>
          <w:color w:val="auto"/>
          <w:highlight w:val="none"/>
        </w:rPr>
        <w:t>营养的吸收效率，从而达到抑制粪尿恶臭的目的。但值得注意的是，使用饲料添加剂时，应选择微生物、低聚糖等无公害添加剂，以保证畜产品的安全和无公害。</w:t>
      </w:r>
    </w:p>
    <w:p w14:paraId="387D5FBA">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rPr>
        <w:t>采取上述措施后，牛舍恶臭污染物NH</w:t>
      </w:r>
      <w:r>
        <w:rPr>
          <w:rFonts w:hint="default" w:ascii="Times New Roman" w:hAnsi="Times New Roman" w:eastAsia="宋体" w:cs="Times New Roman"/>
          <w:color w:val="FF0000"/>
          <w:highlight w:val="none"/>
          <w:vertAlign w:val="subscript"/>
        </w:rPr>
        <w:t>3</w:t>
      </w:r>
      <w:r>
        <w:rPr>
          <w:rFonts w:hint="default" w:ascii="Times New Roman" w:hAnsi="Times New Roman" w:eastAsia="宋体" w:cs="Times New Roman"/>
          <w:color w:val="FF0000"/>
          <w:highlight w:val="none"/>
        </w:rPr>
        <w:t>排放速率为</w:t>
      </w:r>
      <w:r>
        <w:rPr>
          <w:rFonts w:hint="default" w:ascii="Times New Roman" w:hAnsi="Times New Roman" w:eastAsia="宋体" w:cs="Times New Roman"/>
          <w:color w:val="FF0000"/>
          <w:szCs w:val="21"/>
          <w:highlight w:val="none"/>
          <w:lang w:val="en-US" w:eastAsia="zh-CN"/>
        </w:rPr>
        <w:t>0.0208</w:t>
      </w:r>
      <w:r>
        <w:rPr>
          <w:rFonts w:hint="default" w:ascii="Times New Roman" w:hAnsi="Times New Roman" w:eastAsia="宋体" w:cs="Times New Roman"/>
          <w:color w:val="FF0000"/>
          <w:szCs w:val="21"/>
          <w:highlight w:val="none"/>
        </w:rPr>
        <w:t>kg/h，排放量为</w:t>
      </w:r>
      <w:r>
        <w:rPr>
          <w:rFonts w:hint="default" w:ascii="Times New Roman" w:hAnsi="Times New Roman" w:eastAsia="宋体" w:cs="Times New Roman"/>
          <w:color w:val="FF0000"/>
          <w:szCs w:val="21"/>
          <w:highlight w:val="none"/>
          <w:lang w:val="en-US" w:eastAsia="zh-CN"/>
        </w:rPr>
        <w:t>0.1822</w:t>
      </w:r>
      <w:r>
        <w:rPr>
          <w:rFonts w:hint="default" w:ascii="Times New Roman" w:hAnsi="Times New Roman" w:eastAsia="宋体" w:cs="Times New Roman"/>
          <w:color w:val="FF0000"/>
          <w:szCs w:val="21"/>
          <w:highlight w:val="none"/>
        </w:rPr>
        <w:t>t/a；</w:t>
      </w:r>
      <w:r>
        <w:rPr>
          <w:rFonts w:hint="default" w:ascii="Times New Roman" w:hAnsi="Times New Roman" w:eastAsia="宋体" w:cs="Times New Roman"/>
          <w:color w:val="FF0000"/>
          <w:highlight w:val="none"/>
        </w:rPr>
        <w:t>H</w:t>
      </w:r>
      <w:r>
        <w:rPr>
          <w:rFonts w:hint="default" w:ascii="Times New Roman" w:hAnsi="Times New Roman" w:eastAsia="宋体" w:cs="Times New Roman"/>
          <w:color w:val="FF0000"/>
          <w:highlight w:val="none"/>
          <w:vertAlign w:val="subscript"/>
        </w:rPr>
        <w:t>2</w:t>
      </w:r>
      <w:r>
        <w:rPr>
          <w:rFonts w:hint="default" w:ascii="Times New Roman" w:hAnsi="Times New Roman" w:eastAsia="宋体" w:cs="Times New Roman"/>
          <w:color w:val="FF0000"/>
          <w:highlight w:val="none"/>
        </w:rPr>
        <w:t>S排放速率为0.00</w:t>
      </w:r>
      <w:r>
        <w:rPr>
          <w:rFonts w:hint="default" w:ascii="Times New Roman" w:hAnsi="Times New Roman" w:eastAsia="宋体" w:cs="Times New Roman"/>
          <w:color w:val="FF0000"/>
          <w:highlight w:val="none"/>
          <w:lang w:val="en-US" w:eastAsia="zh-CN"/>
        </w:rPr>
        <w:t>03</w:t>
      </w:r>
      <w:r>
        <w:rPr>
          <w:rFonts w:hint="default" w:ascii="Times New Roman" w:hAnsi="Times New Roman" w:eastAsia="宋体" w:cs="Times New Roman"/>
          <w:color w:val="FF0000"/>
          <w:highlight w:val="none"/>
        </w:rPr>
        <w:t>kg/h，排放量为</w:t>
      </w:r>
      <w:r>
        <w:rPr>
          <w:rFonts w:hint="default" w:ascii="Times New Roman" w:hAnsi="Times New Roman" w:eastAsia="宋体" w:cs="Times New Roman"/>
          <w:color w:val="FF0000"/>
          <w:highlight w:val="none"/>
          <w:lang w:val="en-US" w:eastAsia="zh-CN"/>
        </w:rPr>
        <w:t>0.0026</w:t>
      </w:r>
      <w:r>
        <w:rPr>
          <w:rFonts w:hint="default" w:ascii="Times New Roman" w:hAnsi="Times New Roman" w:eastAsia="宋体" w:cs="Times New Roman"/>
          <w:color w:val="FF0000"/>
          <w:highlight w:val="none"/>
        </w:rPr>
        <w:t>t/a。</w:t>
      </w:r>
    </w:p>
    <w:p w14:paraId="0C68F592">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eastAsia="zh-CN"/>
        </w:rPr>
        <w:t>粪污处理池</w:t>
      </w:r>
    </w:p>
    <w:p w14:paraId="7A51C657">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根据《畜禽养殖业产污系数与排污系数-氨氮》中规模化畜禽养殖场华北地区牛养殖污染物TN的排污系数为66.6g/头-天，本项目日常存栏</w:t>
      </w:r>
      <w:r>
        <w:rPr>
          <w:rFonts w:hint="default" w:ascii="Times New Roman" w:hAnsi="Times New Roman" w:eastAsia="宋体" w:cs="Times New Roman"/>
          <w:color w:val="auto"/>
          <w:highlight w:val="none"/>
          <w:lang w:val="en-US" w:eastAsia="zh-CN"/>
        </w:rPr>
        <w:t>2500头</w:t>
      </w:r>
      <w:r>
        <w:rPr>
          <w:rFonts w:hint="default" w:ascii="Times New Roman" w:hAnsi="Times New Roman" w:eastAsia="宋体" w:cs="Times New Roman"/>
          <w:color w:val="auto"/>
          <w:highlight w:val="none"/>
        </w:rPr>
        <w:t>牛，则项目TN产生量为</w:t>
      </w:r>
      <w:r>
        <w:rPr>
          <w:rFonts w:hint="default" w:ascii="Times New Roman" w:hAnsi="Times New Roman" w:eastAsia="宋体" w:cs="Times New Roman"/>
          <w:color w:val="auto"/>
          <w:highlight w:val="none"/>
          <w:lang w:val="en-US" w:eastAsia="zh-CN"/>
        </w:rPr>
        <w:t>166.5</w:t>
      </w:r>
      <w:r>
        <w:rPr>
          <w:rFonts w:hint="default" w:ascii="Times New Roman" w:hAnsi="Times New Roman" w:eastAsia="宋体" w:cs="Times New Roman"/>
          <w:color w:val="auto"/>
          <w:highlight w:val="none"/>
        </w:rPr>
        <w:t>kg/d，氮挥发量约占总量的10</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，其中氨态氮占氮挥发总量的25</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，则本项目NH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总产生量为</w:t>
      </w:r>
      <w:r>
        <w:rPr>
          <w:rFonts w:hint="default" w:ascii="Times New Roman" w:hAnsi="Times New Roman" w:eastAsia="宋体" w:cs="Times New Roman"/>
          <w:color w:val="auto"/>
          <w:highlight w:val="none"/>
          <w:lang w:val="en-US" w:eastAsia="zh-CN"/>
        </w:rPr>
        <w:t>4.1625</w:t>
      </w:r>
      <w:r>
        <w:rPr>
          <w:rFonts w:hint="default" w:ascii="Times New Roman" w:hAnsi="Times New Roman" w:eastAsia="宋体" w:cs="Times New Roman"/>
          <w:color w:val="auto"/>
          <w:highlight w:val="none"/>
        </w:rPr>
        <w:t>kg/d（即</w:t>
      </w:r>
      <w:r>
        <w:rPr>
          <w:rFonts w:hint="default" w:ascii="Times New Roman" w:hAnsi="Times New Roman" w:eastAsia="宋体" w:cs="Times New Roman"/>
          <w:color w:val="auto"/>
          <w:highlight w:val="none"/>
          <w:lang w:val="en-US" w:eastAsia="zh-CN"/>
        </w:rPr>
        <w:t>0.1734</w:t>
      </w:r>
      <w:r>
        <w:rPr>
          <w:rFonts w:hint="default" w:ascii="Times New Roman" w:hAnsi="Times New Roman" w:eastAsia="宋体" w:cs="Times New Roman"/>
          <w:color w:val="auto"/>
          <w:highlight w:val="none"/>
        </w:rPr>
        <w:t>kg/h）。氨态氮转化为氨气释放主要集中在一次发酵阶段完成，即主要在新鲜粪便产生后的15d内转化。根据相关资料显示，牛粪便中氨气释放速率呈对数函数形式递减，第1天释放量为总量的60%，其余14天释放量为总量的40%。项目牛舍牛粪便日产日清至</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堆肥，氨气释放总氨气量的</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0%</w:t>
      </w:r>
      <w:r>
        <w:rPr>
          <w:rFonts w:hint="default" w:ascii="Times New Roman" w:hAnsi="Times New Roman" w:eastAsia="宋体" w:cs="Times New Roman"/>
          <w:color w:val="auto"/>
          <w:highlight w:val="none"/>
          <w:lang w:eastAsia="zh-CN"/>
        </w:rPr>
        <w:t>计</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粪污处理池处</w:t>
      </w: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产生量为</w:t>
      </w:r>
      <w:r>
        <w:rPr>
          <w:rFonts w:hint="default" w:ascii="Times New Roman" w:hAnsi="Times New Roman" w:eastAsia="宋体" w:cs="Times New Roman"/>
          <w:color w:val="auto"/>
          <w:highlight w:val="none"/>
          <w:lang w:val="en-US" w:eastAsia="zh-CN"/>
        </w:rPr>
        <w:t>1.665</w:t>
      </w:r>
      <w:r>
        <w:rPr>
          <w:rFonts w:hint="default" w:ascii="Times New Roman" w:hAnsi="Times New Roman" w:eastAsia="宋体" w:cs="Times New Roman"/>
          <w:color w:val="auto"/>
          <w:highlight w:val="none"/>
        </w:rPr>
        <w:t>kg/d，产生速率为</w:t>
      </w:r>
      <w:r>
        <w:rPr>
          <w:rFonts w:hint="default" w:ascii="Times New Roman" w:hAnsi="Times New Roman" w:eastAsia="宋体" w:cs="Times New Roman"/>
          <w:color w:val="auto"/>
          <w:highlight w:val="none"/>
          <w:lang w:val="en-US" w:eastAsia="zh-CN"/>
        </w:rPr>
        <w:t>0.0694</w:t>
      </w:r>
      <w:r>
        <w:rPr>
          <w:rFonts w:hint="default" w:ascii="Times New Roman" w:hAnsi="Times New Roman" w:eastAsia="宋体" w:cs="Times New Roman"/>
          <w:color w:val="auto"/>
          <w:highlight w:val="none"/>
        </w:rPr>
        <w:t>kg/h</w:t>
      </w:r>
      <w:r>
        <w:rPr>
          <w:rFonts w:hint="default" w:ascii="Times New Roman" w:hAnsi="Times New Roman" w:eastAsia="宋体" w:cs="Times New Roman"/>
          <w:color w:val="auto"/>
          <w:highlight w:val="none"/>
          <w:lang w:eastAsia="zh-CN"/>
        </w:rPr>
        <w:t>。</w:t>
      </w:r>
    </w:p>
    <w:p w14:paraId="14806346">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0000"/>
          <w:highlight w:val="none"/>
          <w:lang w:eastAsia="zh-CN"/>
        </w:rPr>
      </w:pPr>
      <w:r>
        <w:rPr>
          <w:rFonts w:hint="default" w:ascii="Times New Roman" w:hAnsi="Times New Roman" w:eastAsia="宋体" w:cs="Times New Roman"/>
          <w:color w:val="FF0000"/>
          <w:highlight w:val="none"/>
        </w:rPr>
        <w:t>根据参考《农业环境影响评价技术手册》（化学工业出版社2007）及其他肉牛养殖文献资料，硫化氢产生量的比例一般为氨气量的0.5%-2%，本次评价取平均值1.25%，则粪污处理池处H</w:t>
      </w:r>
      <w:r>
        <w:rPr>
          <w:rFonts w:hint="default" w:ascii="Times New Roman" w:hAnsi="Times New Roman" w:eastAsia="宋体" w:cs="Times New Roman"/>
          <w:color w:val="FF0000"/>
          <w:highlight w:val="none"/>
          <w:vertAlign w:val="subscript"/>
        </w:rPr>
        <w:t>2</w:t>
      </w:r>
      <w:r>
        <w:rPr>
          <w:rFonts w:hint="default" w:ascii="Times New Roman" w:hAnsi="Times New Roman" w:eastAsia="宋体" w:cs="Times New Roman"/>
          <w:color w:val="FF0000"/>
          <w:highlight w:val="none"/>
        </w:rPr>
        <w:t>S产生速率为</w:t>
      </w:r>
      <w:r>
        <w:rPr>
          <w:rFonts w:hint="default" w:ascii="Times New Roman" w:hAnsi="Times New Roman" w:eastAsia="宋体" w:cs="Times New Roman"/>
          <w:color w:val="FF0000"/>
          <w:highlight w:val="none"/>
          <w:lang w:val="en-US" w:eastAsia="zh-CN"/>
        </w:rPr>
        <w:t>0.00</w:t>
      </w:r>
      <w:r>
        <w:rPr>
          <w:rFonts w:hint="default" w:ascii="Times New Roman" w:hAnsi="Times New Roman" w:eastAsia="宋体" w:cs="Times New Roman"/>
          <w:color w:val="FF0000"/>
          <w:highlight w:val="none"/>
          <w:lang w:val="en-US" w:eastAsia="zh-CN"/>
        </w:rPr>
        <w:t>09</w:t>
      </w:r>
      <w:r>
        <w:rPr>
          <w:rFonts w:hint="default" w:ascii="Times New Roman" w:hAnsi="Times New Roman" w:eastAsia="宋体" w:cs="Times New Roman"/>
          <w:color w:val="FF0000"/>
          <w:highlight w:val="none"/>
        </w:rPr>
        <w:t>kg/h</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lang w:val="en-US" w:eastAsia="zh-CN"/>
        </w:rPr>
        <w:t>产生量为0.0079</w:t>
      </w:r>
      <w:r>
        <w:rPr>
          <w:rFonts w:hint="default" w:ascii="Times New Roman" w:hAnsi="Times New Roman" w:eastAsia="宋体" w:cs="Times New Roman"/>
          <w:color w:val="FF0000"/>
          <w:highlight w:val="none"/>
          <w:lang w:val="en-US" w:eastAsia="zh-CN"/>
        </w:rPr>
        <w:t>t/a</w:t>
      </w:r>
      <w:r>
        <w:rPr>
          <w:rFonts w:hint="default" w:ascii="Times New Roman" w:hAnsi="Times New Roman" w:eastAsia="宋体" w:cs="Times New Roman"/>
          <w:color w:val="FF0000"/>
          <w:highlight w:val="none"/>
          <w:lang w:eastAsia="zh-CN"/>
        </w:rPr>
        <w:t>。</w:t>
      </w:r>
    </w:p>
    <w:p w14:paraId="307F79DC">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饲料中加入EM菌液，在添加0.2kgEM/吨（饲料）的情况下，可从源头上减少约</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rPr>
        <w:t>0%的粪污恶臭产生量</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并在</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喷洒植物型除臭剂，定期喷洒植物型除臭剂，并加强</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四周场地的绿化，可有效</w:t>
      </w:r>
      <w:r>
        <w:rPr>
          <w:rFonts w:hint="default" w:ascii="Times New Roman" w:hAnsi="Times New Roman" w:eastAsia="宋体" w:cs="Times New Roman"/>
          <w:color w:val="auto"/>
          <w:highlight w:val="none"/>
          <w:lang w:eastAsia="zh-CN"/>
        </w:rPr>
        <w:t>减少</w:t>
      </w:r>
      <w:r>
        <w:rPr>
          <w:rFonts w:hint="default" w:ascii="Times New Roman" w:hAnsi="Times New Roman" w:eastAsia="宋体" w:cs="Times New Roman"/>
          <w:color w:val="auto"/>
          <w:highlight w:val="none"/>
        </w:rPr>
        <w:t>恶臭气体的排放量，去除效率为</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0%</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bCs/>
          <w:color w:val="auto"/>
          <w:highlight w:val="none"/>
        </w:rPr>
        <w:t>本次评价EM制剂除臭以</w:t>
      </w:r>
      <w:r>
        <w:rPr>
          <w:rFonts w:hint="default" w:ascii="Times New Roman" w:hAnsi="Times New Roman" w:eastAsia="宋体" w:cs="Times New Roman"/>
          <w:bCs/>
          <w:color w:val="auto"/>
          <w:highlight w:val="none"/>
          <w:lang w:val="en-US" w:eastAsia="zh-CN"/>
        </w:rPr>
        <w:t>8</w:t>
      </w:r>
      <w:r>
        <w:rPr>
          <w:rFonts w:hint="default" w:ascii="Times New Roman" w:hAnsi="Times New Roman" w:eastAsia="宋体" w:cs="Times New Roman"/>
          <w:bCs/>
          <w:color w:val="auto"/>
          <w:highlight w:val="none"/>
        </w:rPr>
        <w:t>0%计算</w:t>
      </w:r>
      <w:r>
        <w:rPr>
          <w:rFonts w:hint="default" w:ascii="Times New Roman" w:hAnsi="Times New Roman" w:eastAsia="宋体" w:cs="Times New Roman"/>
          <w:color w:val="auto"/>
          <w:highlight w:val="none"/>
        </w:rPr>
        <w:t>。</w:t>
      </w:r>
    </w:p>
    <w:p w14:paraId="71839BD1">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rPr>
        <w:t>采取上述措施后，</w:t>
      </w:r>
      <w:r>
        <w:rPr>
          <w:rFonts w:hint="default" w:ascii="Times New Roman" w:hAnsi="Times New Roman" w:eastAsia="宋体" w:cs="Times New Roman"/>
          <w:color w:val="FF0000"/>
          <w:highlight w:val="none"/>
          <w:lang w:eastAsia="zh-CN"/>
        </w:rPr>
        <w:t>粪污处理池</w:t>
      </w:r>
      <w:r>
        <w:rPr>
          <w:rFonts w:hint="default" w:ascii="Times New Roman" w:hAnsi="Times New Roman" w:eastAsia="宋体" w:cs="Times New Roman"/>
          <w:color w:val="FF0000"/>
          <w:highlight w:val="none"/>
        </w:rPr>
        <w:t>恶臭污染物NH</w:t>
      </w:r>
      <w:r>
        <w:rPr>
          <w:rFonts w:hint="default" w:ascii="Times New Roman" w:hAnsi="Times New Roman" w:eastAsia="宋体" w:cs="Times New Roman"/>
          <w:color w:val="FF0000"/>
          <w:highlight w:val="none"/>
          <w:vertAlign w:val="subscript"/>
        </w:rPr>
        <w:t>3</w:t>
      </w:r>
      <w:r>
        <w:rPr>
          <w:rFonts w:hint="default" w:ascii="Times New Roman" w:hAnsi="Times New Roman" w:eastAsia="宋体" w:cs="Times New Roman"/>
          <w:color w:val="FF0000"/>
          <w:highlight w:val="none"/>
        </w:rPr>
        <w:t>排放速率为</w:t>
      </w:r>
      <w:r>
        <w:rPr>
          <w:rFonts w:hint="default" w:ascii="Times New Roman" w:hAnsi="Times New Roman" w:eastAsia="宋体" w:cs="Times New Roman"/>
          <w:color w:val="FF0000"/>
          <w:szCs w:val="21"/>
          <w:highlight w:val="none"/>
          <w:lang w:eastAsia="zh-CN"/>
        </w:rPr>
        <w:t>0.0139</w:t>
      </w:r>
      <w:r>
        <w:rPr>
          <w:rFonts w:hint="default" w:ascii="Times New Roman" w:hAnsi="Times New Roman" w:eastAsia="宋体" w:cs="Times New Roman"/>
          <w:color w:val="FF0000"/>
          <w:szCs w:val="21"/>
          <w:highlight w:val="none"/>
        </w:rPr>
        <w:t>kg/h，排放量为</w:t>
      </w:r>
      <w:r>
        <w:rPr>
          <w:rFonts w:hint="default" w:ascii="Times New Roman" w:hAnsi="Times New Roman" w:eastAsia="宋体" w:cs="Times New Roman"/>
          <w:color w:val="FF0000"/>
          <w:szCs w:val="21"/>
          <w:highlight w:val="none"/>
          <w:lang w:val="en-US" w:eastAsia="zh-CN"/>
        </w:rPr>
        <w:t>0.1218</w:t>
      </w:r>
      <w:r>
        <w:rPr>
          <w:rFonts w:hint="default" w:ascii="Times New Roman" w:hAnsi="Times New Roman" w:eastAsia="宋体" w:cs="Times New Roman"/>
          <w:color w:val="FF0000"/>
          <w:szCs w:val="21"/>
          <w:highlight w:val="none"/>
        </w:rPr>
        <w:t>t/a；</w:t>
      </w:r>
      <w:r>
        <w:rPr>
          <w:rFonts w:hint="default" w:ascii="Times New Roman" w:hAnsi="Times New Roman" w:eastAsia="宋体" w:cs="Times New Roman"/>
          <w:color w:val="FF0000"/>
          <w:highlight w:val="none"/>
        </w:rPr>
        <w:t>H</w:t>
      </w:r>
      <w:r>
        <w:rPr>
          <w:rFonts w:hint="default" w:ascii="Times New Roman" w:hAnsi="Times New Roman" w:eastAsia="宋体" w:cs="Times New Roman"/>
          <w:color w:val="FF0000"/>
          <w:highlight w:val="none"/>
          <w:vertAlign w:val="subscript"/>
        </w:rPr>
        <w:t>2</w:t>
      </w:r>
      <w:r>
        <w:rPr>
          <w:rFonts w:hint="default" w:ascii="Times New Roman" w:hAnsi="Times New Roman" w:eastAsia="宋体" w:cs="Times New Roman"/>
          <w:color w:val="FF0000"/>
          <w:highlight w:val="none"/>
        </w:rPr>
        <w:t>S排放速率为0.00</w:t>
      </w:r>
      <w:r>
        <w:rPr>
          <w:rFonts w:hint="default" w:ascii="Times New Roman" w:hAnsi="Times New Roman" w:eastAsia="宋体" w:cs="Times New Roman"/>
          <w:color w:val="FF0000"/>
          <w:highlight w:val="none"/>
          <w:lang w:val="en-US" w:eastAsia="zh-CN"/>
        </w:rPr>
        <w:t>02</w:t>
      </w:r>
      <w:r>
        <w:rPr>
          <w:rFonts w:hint="default" w:ascii="Times New Roman" w:hAnsi="Times New Roman" w:eastAsia="宋体" w:cs="Times New Roman"/>
          <w:color w:val="FF0000"/>
          <w:highlight w:val="none"/>
        </w:rPr>
        <w:t>kg/h</w:t>
      </w:r>
      <w:r>
        <w:rPr>
          <w:rFonts w:hint="default" w:ascii="Times New Roman" w:hAnsi="Times New Roman" w:eastAsia="宋体" w:cs="Times New Roman"/>
          <w:color w:val="FF0000"/>
          <w:szCs w:val="21"/>
          <w:highlight w:val="none"/>
        </w:rPr>
        <w:t>，排放量为</w:t>
      </w:r>
      <w:r>
        <w:rPr>
          <w:rFonts w:hint="default" w:ascii="Times New Roman" w:hAnsi="Times New Roman" w:eastAsia="宋体" w:cs="Times New Roman"/>
          <w:color w:val="FF0000"/>
          <w:szCs w:val="21"/>
          <w:highlight w:val="none"/>
          <w:lang w:val="en-US" w:eastAsia="zh-CN"/>
        </w:rPr>
        <w:t>0.0018</w:t>
      </w:r>
      <w:r>
        <w:rPr>
          <w:rFonts w:hint="default" w:ascii="Times New Roman" w:hAnsi="Times New Roman" w:eastAsia="宋体" w:cs="Times New Roman"/>
          <w:color w:val="FF0000"/>
          <w:szCs w:val="21"/>
          <w:highlight w:val="none"/>
        </w:rPr>
        <w:t>t/a</w:t>
      </w:r>
      <w:r>
        <w:rPr>
          <w:rFonts w:hint="default" w:ascii="Times New Roman" w:hAnsi="Times New Roman" w:eastAsia="宋体" w:cs="Times New Roman"/>
          <w:color w:val="FF0000"/>
          <w:highlight w:val="none"/>
        </w:rPr>
        <w:t>。</w:t>
      </w:r>
    </w:p>
    <w:p w14:paraId="3D8A8C5E">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本项目拟采取以下防治措施</w:t>
      </w:r>
      <w:r>
        <w:rPr>
          <w:rFonts w:hint="default" w:ascii="Times New Roman" w:hAnsi="Times New Roman" w:eastAsia="宋体" w:cs="Times New Roman"/>
          <w:color w:val="auto"/>
          <w:highlight w:val="none"/>
          <w:lang w:eastAsia="zh-CN"/>
        </w:rPr>
        <w:t>减少</w:t>
      </w:r>
      <w:r>
        <w:rPr>
          <w:rFonts w:hint="default" w:ascii="Times New Roman" w:hAnsi="Times New Roman" w:eastAsia="宋体" w:cs="Times New Roman"/>
          <w:color w:val="auto"/>
          <w:highlight w:val="none"/>
        </w:rPr>
        <w:t>恶臭污染，内容包括：</w:t>
      </w:r>
    </w:p>
    <w:p w14:paraId="4F3AC7BE">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①牛舍及</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恶臭污染防治措施</w:t>
      </w:r>
    </w:p>
    <w:p w14:paraId="6A3AD80F">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牛舍内粪污日产日清。夏季应酌情增加清理频次，缩短粪污停留时间。同时要保持牛舍内通风良好，保证舍内干燥、温度适宜，从源头上控制恶臭气体的散发；</w:t>
      </w:r>
    </w:p>
    <w:p w14:paraId="7DF0FBB3">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B</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定期喷洒植物型除臭剂，并加强牛舍四周场地的绿化，可有效</w:t>
      </w:r>
      <w:r>
        <w:rPr>
          <w:rFonts w:hint="default" w:ascii="Times New Roman" w:hAnsi="Times New Roman" w:eastAsia="宋体" w:cs="Times New Roman"/>
          <w:color w:val="auto"/>
          <w:highlight w:val="none"/>
          <w:lang w:eastAsia="zh-CN"/>
        </w:rPr>
        <w:t>减少</w:t>
      </w:r>
      <w:r>
        <w:rPr>
          <w:rFonts w:hint="default" w:ascii="Times New Roman" w:hAnsi="Times New Roman" w:eastAsia="宋体" w:cs="Times New Roman"/>
          <w:color w:val="auto"/>
          <w:highlight w:val="none"/>
        </w:rPr>
        <w:t>恶臭气体的排放量；</w:t>
      </w:r>
    </w:p>
    <w:p w14:paraId="2EB53597">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防治措施</w:t>
      </w:r>
    </w:p>
    <w:p w14:paraId="010206ED">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定期在</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喷洒植物型除臭剂。</w:t>
      </w:r>
    </w:p>
    <w:p w14:paraId="0AE8895C">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综上所述，本项目恶臭气体的排放源强详见下表。</w:t>
      </w:r>
    </w:p>
    <w:p w14:paraId="67D57CD7">
      <w:pPr>
        <w:pStyle w:val="7"/>
        <w:pageBreakBefore w:val="0"/>
        <w:widowControl w:val="0"/>
        <w:kinsoku/>
        <w:wordWrap/>
        <w:topLinePunct/>
        <w:autoSpaceDN/>
        <w:bidi w:val="0"/>
        <w:adjustRightInd/>
        <w:snapToGrid w:val="0"/>
        <w:spacing w:line="360" w:lineRule="auto"/>
        <w:ind w:left="0" w:leftChars="0" w:right="0" w:rightChars="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rPr>
        <w:t>表3.3-</w:t>
      </w:r>
      <w:r>
        <w:rPr>
          <w:rFonts w:hint="default" w:ascii="Times New Roman" w:hAnsi="Times New Roman" w:eastAsia="宋体" w:cs="Times New Roman"/>
          <w:color w:val="FF0000"/>
          <w:highlight w:val="none"/>
          <w:lang w:val="en-US" w:eastAsia="zh-CN"/>
        </w:rPr>
        <w:t>1</w:t>
      </w:r>
      <w:r>
        <w:rPr>
          <w:rFonts w:hint="default" w:ascii="Times New Roman" w:hAnsi="Times New Roman" w:eastAsia="宋体" w:cs="Times New Roman"/>
          <w:color w:val="FF0000"/>
          <w:highlight w:val="none"/>
        </w:rPr>
        <w:t>项目恶臭气体排放源强</w:t>
      </w:r>
    </w:p>
    <w:tbl>
      <w:tblPr>
        <w:tblStyle w:val="41"/>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14"/>
        <w:gridCol w:w="1046"/>
        <w:gridCol w:w="1486"/>
        <w:gridCol w:w="1182"/>
        <w:gridCol w:w="1182"/>
        <w:gridCol w:w="1182"/>
        <w:gridCol w:w="1185"/>
      </w:tblGrid>
      <w:tr w14:paraId="404EA1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99" w:type="dxa"/>
            <w:vMerge w:val="restart"/>
            <w:tcBorders>
              <w:top w:val="single" w:color="auto" w:sz="4" w:space="0"/>
              <w:left w:val="single" w:color="auto" w:sz="4" w:space="0"/>
              <w:bottom w:val="single" w:color="auto" w:sz="4" w:space="0"/>
              <w:right w:val="single" w:color="auto" w:sz="4" w:space="0"/>
            </w:tcBorders>
            <w:vAlign w:val="center"/>
          </w:tcPr>
          <w:p w14:paraId="1283A64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排放方式</w:t>
            </w:r>
          </w:p>
        </w:tc>
        <w:tc>
          <w:tcPr>
            <w:tcW w:w="1135" w:type="dxa"/>
            <w:vMerge w:val="restart"/>
            <w:tcBorders>
              <w:top w:val="single" w:color="auto" w:sz="4" w:space="0"/>
              <w:left w:val="single" w:color="auto" w:sz="4" w:space="0"/>
              <w:bottom w:val="single" w:color="auto" w:sz="4" w:space="0"/>
              <w:right w:val="single" w:color="auto" w:sz="4" w:space="0"/>
            </w:tcBorders>
            <w:vAlign w:val="center"/>
          </w:tcPr>
          <w:p w14:paraId="01EB5B1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污染源</w:t>
            </w:r>
          </w:p>
        </w:tc>
        <w:tc>
          <w:tcPr>
            <w:tcW w:w="1623" w:type="dxa"/>
            <w:vMerge w:val="restart"/>
            <w:tcBorders>
              <w:top w:val="single" w:color="auto" w:sz="4" w:space="0"/>
              <w:left w:val="single" w:color="auto" w:sz="4" w:space="0"/>
              <w:bottom w:val="single" w:color="auto" w:sz="4" w:space="0"/>
              <w:right w:val="single" w:color="auto" w:sz="4" w:space="0"/>
            </w:tcBorders>
            <w:vAlign w:val="center"/>
          </w:tcPr>
          <w:p w14:paraId="371D432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污染源</w:t>
            </w:r>
          </w:p>
          <w:p w14:paraId="5A51452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面积</w:t>
            </w:r>
          </w:p>
        </w:tc>
        <w:tc>
          <w:tcPr>
            <w:tcW w:w="2572" w:type="dxa"/>
            <w:gridSpan w:val="2"/>
            <w:tcBorders>
              <w:top w:val="single" w:color="auto" w:sz="4" w:space="0"/>
              <w:left w:val="single" w:color="auto" w:sz="4" w:space="0"/>
              <w:bottom w:val="single" w:color="auto" w:sz="4" w:space="0"/>
              <w:right w:val="single" w:color="auto" w:sz="4" w:space="0"/>
            </w:tcBorders>
            <w:vAlign w:val="center"/>
          </w:tcPr>
          <w:p w14:paraId="764A462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NH</w:t>
            </w:r>
            <w:r>
              <w:rPr>
                <w:rFonts w:hint="default" w:ascii="Times New Roman" w:hAnsi="Times New Roman" w:eastAsia="宋体" w:cs="Times New Roman"/>
                <w:color w:val="FF0000"/>
                <w:sz w:val="21"/>
                <w:szCs w:val="21"/>
                <w:highlight w:val="none"/>
                <w:vertAlign w:val="subscript"/>
              </w:rPr>
              <w:t>3</w:t>
            </w:r>
          </w:p>
        </w:tc>
        <w:tc>
          <w:tcPr>
            <w:tcW w:w="2574" w:type="dxa"/>
            <w:gridSpan w:val="2"/>
            <w:tcBorders>
              <w:top w:val="single" w:color="auto" w:sz="4" w:space="0"/>
              <w:left w:val="single" w:color="auto" w:sz="4" w:space="0"/>
              <w:bottom w:val="single" w:color="auto" w:sz="4" w:space="0"/>
              <w:right w:val="single" w:color="auto" w:sz="4" w:space="0"/>
            </w:tcBorders>
            <w:vAlign w:val="center"/>
          </w:tcPr>
          <w:p w14:paraId="50A9725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H</w:t>
            </w:r>
            <w:r>
              <w:rPr>
                <w:rFonts w:hint="default" w:ascii="Times New Roman" w:hAnsi="Times New Roman" w:eastAsia="宋体" w:cs="Times New Roman"/>
                <w:color w:val="FF0000"/>
                <w:sz w:val="21"/>
                <w:szCs w:val="21"/>
                <w:highlight w:val="none"/>
                <w:vertAlign w:val="subscript"/>
              </w:rPr>
              <w:t>2</w:t>
            </w:r>
            <w:r>
              <w:rPr>
                <w:rFonts w:hint="default" w:ascii="Times New Roman" w:hAnsi="Times New Roman" w:eastAsia="宋体" w:cs="Times New Roman"/>
                <w:color w:val="FF0000"/>
                <w:sz w:val="21"/>
                <w:szCs w:val="21"/>
                <w:highlight w:val="none"/>
              </w:rPr>
              <w:t>S</w:t>
            </w:r>
          </w:p>
        </w:tc>
      </w:tr>
      <w:tr w14:paraId="323F615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99" w:type="dxa"/>
            <w:vMerge w:val="continue"/>
            <w:tcBorders>
              <w:top w:val="single" w:color="auto" w:sz="4" w:space="0"/>
              <w:left w:val="single" w:color="auto" w:sz="4" w:space="0"/>
              <w:bottom w:val="single" w:color="auto" w:sz="4" w:space="0"/>
              <w:right w:val="single" w:color="auto" w:sz="4" w:space="0"/>
            </w:tcBorders>
            <w:vAlign w:val="center"/>
          </w:tcPr>
          <w:p w14:paraId="450891B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c>
          <w:tcPr>
            <w:tcW w:w="1135" w:type="dxa"/>
            <w:vMerge w:val="continue"/>
            <w:tcBorders>
              <w:top w:val="single" w:color="auto" w:sz="4" w:space="0"/>
              <w:left w:val="single" w:color="auto" w:sz="4" w:space="0"/>
              <w:bottom w:val="single" w:color="auto" w:sz="4" w:space="0"/>
              <w:right w:val="single" w:color="auto" w:sz="4" w:space="0"/>
            </w:tcBorders>
            <w:vAlign w:val="center"/>
          </w:tcPr>
          <w:p w14:paraId="72DD024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c>
          <w:tcPr>
            <w:tcW w:w="1623" w:type="dxa"/>
            <w:vMerge w:val="continue"/>
            <w:tcBorders>
              <w:top w:val="single" w:color="auto" w:sz="4" w:space="0"/>
              <w:left w:val="single" w:color="auto" w:sz="4" w:space="0"/>
              <w:bottom w:val="single" w:color="auto" w:sz="4" w:space="0"/>
              <w:right w:val="single" w:color="auto" w:sz="4" w:space="0"/>
            </w:tcBorders>
            <w:vAlign w:val="center"/>
          </w:tcPr>
          <w:p w14:paraId="127DD8C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c>
          <w:tcPr>
            <w:tcW w:w="1286" w:type="dxa"/>
            <w:tcBorders>
              <w:top w:val="single" w:color="auto" w:sz="4" w:space="0"/>
              <w:left w:val="single" w:color="auto" w:sz="4" w:space="0"/>
              <w:bottom w:val="single" w:color="auto" w:sz="4" w:space="0"/>
              <w:right w:val="single" w:color="auto" w:sz="4" w:space="0"/>
            </w:tcBorders>
            <w:vAlign w:val="center"/>
          </w:tcPr>
          <w:p w14:paraId="2EF4FE9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rPr>
              <w:t>速率</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rPr>
              <w:t>kg/h</w:t>
            </w:r>
            <w:r>
              <w:rPr>
                <w:rFonts w:hint="default" w:ascii="Times New Roman" w:hAnsi="Times New Roman" w:eastAsia="宋体" w:cs="Times New Roman"/>
                <w:color w:val="FF0000"/>
                <w:sz w:val="21"/>
                <w:szCs w:val="21"/>
                <w:highlight w:val="none"/>
                <w:lang w:eastAsia="zh-CN"/>
              </w:rPr>
              <w:t>）</w:t>
            </w:r>
          </w:p>
        </w:tc>
        <w:tc>
          <w:tcPr>
            <w:tcW w:w="1286" w:type="dxa"/>
            <w:tcBorders>
              <w:top w:val="single" w:color="auto" w:sz="4" w:space="0"/>
              <w:left w:val="single" w:color="auto" w:sz="4" w:space="0"/>
              <w:bottom w:val="single" w:color="auto" w:sz="4" w:space="0"/>
              <w:right w:val="single" w:color="auto" w:sz="4" w:space="0"/>
            </w:tcBorders>
            <w:vAlign w:val="center"/>
          </w:tcPr>
          <w:p w14:paraId="4640128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排放量（t/a）</w:t>
            </w:r>
          </w:p>
        </w:tc>
        <w:tc>
          <w:tcPr>
            <w:tcW w:w="1286" w:type="dxa"/>
            <w:tcBorders>
              <w:top w:val="single" w:color="auto" w:sz="4" w:space="0"/>
              <w:left w:val="single" w:color="auto" w:sz="4" w:space="0"/>
              <w:bottom w:val="single" w:color="auto" w:sz="4" w:space="0"/>
              <w:right w:val="single" w:color="auto" w:sz="4" w:space="0"/>
            </w:tcBorders>
            <w:vAlign w:val="center"/>
          </w:tcPr>
          <w:p w14:paraId="6BD90A6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rPr>
              <w:t>速率</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rPr>
              <w:t>kg/h</w:t>
            </w:r>
            <w:r>
              <w:rPr>
                <w:rFonts w:hint="default" w:ascii="Times New Roman" w:hAnsi="Times New Roman" w:eastAsia="宋体" w:cs="Times New Roman"/>
                <w:color w:val="FF0000"/>
                <w:sz w:val="21"/>
                <w:szCs w:val="21"/>
                <w:highlight w:val="none"/>
                <w:lang w:eastAsia="zh-CN"/>
              </w:rPr>
              <w:t>）</w:t>
            </w:r>
          </w:p>
        </w:tc>
        <w:tc>
          <w:tcPr>
            <w:tcW w:w="1288" w:type="dxa"/>
            <w:tcBorders>
              <w:top w:val="single" w:color="auto" w:sz="4" w:space="0"/>
              <w:left w:val="single" w:color="auto" w:sz="4" w:space="0"/>
              <w:bottom w:val="single" w:color="auto" w:sz="4" w:space="0"/>
              <w:right w:val="single" w:color="auto" w:sz="4" w:space="0"/>
            </w:tcBorders>
            <w:vAlign w:val="center"/>
          </w:tcPr>
          <w:p w14:paraId="4F0B062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排放量（t/a）</w:t>
            </w:r>
          </w:p>
        </w:tc>
      </w:tr>
      <w:tr w14:paraId="0049A73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99" w:type="dxa"/>
            <w:vMerge w:val="restart"/>
            <w:tcBorders>
              <w:top w:val="single" w:color="auto" w:sz="4" w:space="0"/>
              <w:left w:val="single" w:color="auto" w:sz="4" w:space="0"/>
              <w:bottom w:val="single" w:color="auto" w:sz="4" w:space="0"/>
              <w:right w:val="single" w:color="auto" w:sz="4" w:space="0"/>
            </w:tcBorders>
            <w:vAlign w:val="center"/>
          </w:tcPr>
          <w:p w14:paraId="7393908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无组织</w:t>
            </w:r>
          </w:p>
        </w:tc>
        <w:tc>
          <w:tcPr>
            <w:tcW w:w="1135" w:type="dxa"/>
            <w:tcBorders>
              <w:top w:val="single" w:color="auto" w:sz="4" w:space="0"/>
              <w:left w:val="single" w:color="auto" w:sz="4" w:space="0"/>
              <w:bottom w:val="single" w:color="auto" w:sz="4" w:space="0"/>
              <w:right w:val="single" w:color="auto" w:sz="4" w:space="0"/>
            </w:tcBorders>
            <w:vAlign w:val="center"/>
          </w:tcPr>
          <w:p w14:paraId="5AF5588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牛舍及运动场</w:t>
            </w:r>
          </w:p>
        </w:tc>
        <w:tc>
          <w:tcPr>
            <w:tcW w:w="1623" w:type="dxa"/>
            <w:tcBorders>
              <w:top w:val="single" w:color="auto" w:sz="4" w:space="0"/>
              <w:left w:val="single" w:color="auto" w:sz="4" w:space="0"/>
              <w:bottom w:val="single" w:color="auto" w:sz="4" w:space="0"/>
              <w:right w:val="single" w:color="auto" w:sz="4" w:space="0"/>
            </w:tcBorders>
            <w:vAlign w:val="center"/>
          </w:tcPr>
          <w:p w14:paraId="11E608B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val="en-US" w:eastAsia="zh-CN"/>
              </w:rPr>
              <w:t>460</w:t>
            </w:r>
            <w:r>
              <w:rPr>
                <w:rFonts w:hint="default" w:ascii="Times New Roman" w:hAnsi="Times New Roman" w:eastAsia="宋体" w:cs="Times New Roman"/>
                <w:color w:val="FF0000"/>
                <w:sz w:val="21"/>
                <w:szCs w:val="21"/>
                <w:highlight w:val="none"/>
              </w:rPr>
              <w:t>m×</w:t>
            </w:r>
            <w:r>
              <w:rPr>
                <w:rFonts w:hint="default" w:ascii="Times New Roman" w:hAnsi="Times New Roman" w:eastAsia="宋体" w:cs="Times New Roman"/>
                <w:color w:val="FF0000"/>
                <w:sz w:val="21"/>
                <w:szCs w:val="21"/>
                <w:highlight w:val="none"/>
                <w:lang w:val="en-US" w:eastAsia="zh-CN"/>
              </w:rPr>
              <w:t>320</w:t>
            </w:r>
            <w:r>
              <w:rPr>
                <w:rFonts w:hint="default" w:ascii="Times New Roman" w:hAnsi="Times New Roman" w:eastAsia="宋体" w:cs="Times New Roman"/>
                <w:color w:val="FF0000"/>
                <w:sz w:val="21"/>
                <w:szCs w:val="21"/>
                <w:highlight w:val="none"/>
              </w:rPr>
              <w:t>m</w:t>
            </w:r>
          </w:p>
        </w:tc>
        <w:tc>
          <w:tcPr>
            <w:tcW w:w="1286" w:type="dxa"/>
            <w:tcBorders>
              <w:top w:val="single" w:color="auto" w:sz="4" w:space="0"/>
              <w:left w:val="single" w:color="auto" w:sz="4" w:space="0"/>
              <w:bottom w:val="single" w:color="auto" w:sz="4" w:space="0"/>
              <w:right w:val="single" w:color="auto" w:sz="4" w:space="0"/>
            </w:tcBorders>
            <w:vAlign w:val="center"/>
          </w:tcPr>
          <w:p w14:paraId="592F4EF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0.0208</w:t>
            </w:r>
          </w:p>
        </w:tc>
        <w:tc>
          <w:tcPr>
            <w:tcW w:w="1286" w:type="dxa"/>
            <w:tcBorders>
              <w:top w:val="single" w:color="auto" w:sz="4" w:space="0"/>
              <w:left w:val="single" w:color="auto" w:sz="4" w:space="0"/>
              <w:bottom w:val="single" w:color="auto" w:sz="4" w:space="0"/>
              <w:right w:val="single" w:color="auto" w:sz="4" w:space="0"/>
            </w:tcBorders>
            <w:vAlign w:val="center"/>
          </w:tcPr>
          <w:p w14:paraId="162DA5C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0.1822</w:t>
            </w:r>
          </w:p>
        </w:tc>
        <w:tc>
          <w:tcPr>
            <w:tcW w:w="1286" w:type="dxa"/>
            <w:tcBorders>
              <w:top w:val="single" w:color="auto" w:sz="4" w:space="0"/>
              <w:left w:val="single" w:color="auto" w:sz="4" w:space="0"/>
              <w:bottom w:val="single" w:color="auto" w:sz="4" w:space="0"/>
              <w:right w:val="single" w:color="auto" w:sz="4" w:space="0"/>
            </w:tcBorders>
            <w:vAlign w:val="center"/>
          </w:tcPr>
          <w:p w14:paraId="06F0284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rPr>
              <w:t>0.00</w:t>
            </w:r>
            <w:r>
              <w:rPr>
                <w:rFonts w:hint="default" w:ascii="Times New Roman" w:hAnsi="Times New Roman" w:eastAsia="宋体" w:cs="Times New Roman"/>
                <w:color w:val="FF0000"/>
                <w:sz w:val="21"/>
                <w:szCs w:val="21"/>
                <w:highlight w:val="none"/>
                <w:lang w:val="en-US" w:eastAsia="zh-CN"/>
              </w:rPr>
              <w:t>03</w:t>
            </w:r>
          </w:p>
        </w:tc>
        <w:tc>
          <w:tcPr>
            <w:tcW w:w="1288" w:type="dxa"/>
            <w:tcBorders>
              <w:top w:val="single" w:color="auto" w:sz="4" w:space="0"/>
              <w:left w:val="single" w:color="auto" w:sz="4" w:space="0"/>
              <w:bottom w:val="single" w:color="auto" w:sz="4" w:space="0"/>
              <w:right w:val="single" w:color="auto" w:sz="4" w:space="0"/>
            </w:tcBorders>
            <w:vAlign w:val="center"/>
          </w:tcPr>
          <w:p w14:paraId="7D4DE9D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0.0026</w:t>
            </w:r>
          </w:p>
        </w:tc>
      </w:tr>
      <w:tr w14:paraId="6A9AAE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99" w:type="dxa"/>
            <w:vMerge w:val="continue"/>
            <w:tcBorders>
              <w:top w:val="single" w:color="auto" w:sz="4" w:space="0"/>
              <w:left w:val="single" w:color="auto" w:sz="4" w:space="0"/>
              <w:bottom w:val="single" w:color="auto" w:sz="4" w:space="0"/>
              <w:right w:val="single" w:color="auto" w:sz="4" w:space="0"/>
            </w:tcBorders>
            <w:vAlign w:val="center"/>
          </w:tcPr>
          <w:p w14:paraId="547FE8A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c>
          <w:tcPr>
            <w:tcW w:w="1135" w:type="dxa"/>
            <w:tcBorders>
              <w:top w:val="single" w:color="auto" w:sz="4" w:space="0"/>
              <w:left w:val="single" w:color="auto" w:sz="4" w:space="0"/>
              <w:bottom w:val="single" w:color="auto" w:sz="4" w:space="0"/>
              <w:right w:val="single" w:color="auto" w:sz="4" w:space="0"/>
            </w:tcBorders>
            <w:vAlign w:val="center"/>
          </w:tcPr>
          <w:p w14:paraId="63E48A0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粪污处理池</w:t>
            </w:r>
          </w:p>
        </w:tc>
        <w:tc>
          <w:tcPr>
            <w:tcW w:w="1623" w:type="dxa"/>
            <w:tcBorders>
              <w:top w:val="single" w:color="auto" w:sz="4" w:space="0"/>
              <w:left w:val="single" w:color="auto" w:sz="4" w:space="0"/>
              <w:bottom w:val="single" w:color="auto" w:sz="4" w:space="0"/>
              <w:right w:val="single" w:color="auto" w:sz="4" w:space="0"/>
            </w:tcBorders>
            <w:vAlign w:val="center"/>
          </w:tcPr>
          <w:p w14:paraId="0F41A79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val="en-US" w:eastAsia="zh-CN"/>
              </w:rPr>
              <w:t>108</w:t>
            </w:r>
            <w:r>
              <w:rPr>
                <w:rFonts w:hint="default" w:ascii="Times New Roman" w:hAnsi="Times New Roman" w:eastAsia="宋体" w:cs="Times New Roman"/>
                <w:color w:val="FF0000"/>
                <w:sz w:val="21"/>
                <w:szCs w:val="21"/>
                <w:highlight w:val="none"/>
              </w:rPr>
              <w:t>m×</w:t>
            </w:r>
            <w:r>
              <w:rPr>
                <w:rFonts w:hint="default" w:ascii="Times New Roman" w:hAnsi="Times New Roman" w:eastAsia="宋体" w:cs="Times New Roman"/>
                <w:color w:val="FF0000"/>
                <w:sz w:val="21"/>
                <w:szCs w:val="21"/>
                <w:highlight w:val="none"/>
                <w:lang w:val="en-US" w:eastAsia="zh-CN"/>
              </w:rPr>
              <w:t>50</w:t>
            </w:r>
            <w:r>
              <w:rPr>
                <w:rFonts w:hint="default" w:ascii="Times New Roman" w:hAnsi="Times New Roman" w:eastAsia="宋体" w:cs="Times New Roman"/>
                <w:color w:val="FF0000"/>
                <w:sz w:val="21"/>
                <w:szCs w:val="21"/>
                <w:highlight w:val="none"/>
              </w:rPr>
              <w:t>m</w:t>
            </w:r>
          </w:p>
        </w:tc>
        <w:tc>
          <w:tcPr>
            <w:tcW w:w="1286" w:type="dxa"/>
            <w:tcBorders>
              <w:top w:val="single" w:color="auto" w:sz="4" w:space="0"/>
              <w:left w:val="single" w:color="auto" w:sz="4" w:space="0"/>
              <w:bottom w:val="single" w:color="auto" w:sz="4" w:space="0"/>
              <w:right w:val="single" w:color="auto" w:sz="4" w:space="0"/>
            </w:tcBorders>
            <w:vAlign w:val="center"/>
          </w:tcPr>
          <w:p w14:paraId="4EC024D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eastAsia="zh-CN"/>
              </w:rPr>
              <w:t>0.0139</w:t>
            </w:r>
          </w:p>
        </w:tc>
        <w:tc>
          <w:tcPr>
            <w:tcW w:w="1286" w:type="dxa"/>
            <w:tcBorders>
              <w:top w:val="single" w:color="auto" w:sz="4" w:space="0"/>
              <w:left w:val="single" w:color="auto" w:sz="4" w:space="0"/>
              <w:bottom w:val="single" w:color="auto" w:sz="4" w:space="0"/>
              <w:right w:val="single" w:color="auto" w:sz="4" w:space="0"/>
            </w:tcBorders>
            <w:vAlign w:val="center"/>
          </w:tcPr>
          <w:p w14:paraId="324E032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0.1218</w:t>
            </w:r>
          </w:p>
        </w:tc>
        <w:tc>
          <w:tcPr>
            <w:tcW w:w="1286" w:type="dxa"/>
            <w:tcBorders>
              <w:top w:val="single" w:color="auto" w:sz="4" w:space="0"/>
              <w:left w:val="single" w:color="auto" w:sz="4" w:space="0"/>
              <w:bottom w:val="single" w:color="auto" w:sz="4" w:space="0"/>
              <w:right w:val="single" w:color="auto" w:sz="4" w:space="0"/>
            </w:tcBorders>
            <w:vAlign w:val="center"/>
          </w:tcPr>
          <w:p w14:paraId="63CB742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rPr>
              <w:t>0.00</w:t>
            </w:r>
            <w:r>
              <w:rPr>
                <w:rFonts w:hint="default" w:ascii="Times New Roman" w:hAnsi="Times New Roman" w:eastAsia="宋体" w:cs="Times New Roman"/>
                <w:color w:val="FF0000"/>
                <w:sz w:val="21"/>
                <w:szCs w:val="21"/>
                <w:highlight w:val="none"/>
                <w:lang w:val="en-US" w:eastAsia="zh-CN"/>
              </w:rPr>
              <w:t>02</w:t>
            </w:r>
          </w:p>
        </w:tc>
        <w:tc>
          <w:tcPr>
            <w:tcW w:w="1288" w:type="dxa"/>
            <w:tcBorders>
              <w:top w:val="single" w:color="auto" w:sz="4" w:space="0"/>
              <w:left w:val="single" w:color="auto" w:sz="4" w:space="0"/>
              <w:bottom w:val="single" w:color="auto" w:sz="4" w:space="0"/>
              <w:right w:val="single" w:color="auto" w:sz="4" w:space="0"/>
            </w:tcBorders>
            <w:vAlign w:val="center"/>
          </w:tcPr>
          <w:p w14:paraId="4D8B95A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0.0018</w:t>
            </w:r>
          </w:p>
        </w:tc>
      </w:tr>
    </w:tbl>
    <w:p w14:paraId="171705D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饲料配料产生的粉尘（G</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w:t>
      </w:r>
    </w:p>
    <w:p w14:paraId="47AFCD2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本项目饲料</w:t>
      </w:r>
      <w:r>
        <w:rPr>
          <w:rFonts w:hint="default" w:ascii="Times New Roman" w:hAnsi="Times New Roman" w:eastAsia="宋体" w:cs="Times New Roman"/>
          <w:color w:val="auto"/>
          <w:highlight w:val="none"/>
          <w:lang w:eastAsia="zh-CN"/>
        </w:rPr>
        <w:t>总</w:t>
      </w:r>
      <w:r>
        <w:rPr>
          <w:rFonts w:hint="default" w:ascii="Times New Roman" w:hAnsi="Times New Roman" w:eastAsia="宋体" w:cs="Times New Roman"/>
          <w:color w:val="auto"/>
          <w:highlight w:val="none"/>
        </w:rPr>
        <w:t>用量</w:t>
      </w:r>
      <w:r>
        <w:rPr>
          <w:rFonts w:hint="default" w:ascii="Times New Roman" w:hAnsi="Times New Roman" w:eastAsia="宋体" w:cs="Times New Roman"/>
          <w:color w:val="auto"/>
          <w:highlight w:val="none"/>
          <w:lang w:val="en-US" w:eastAsia="zh-CN"/>
        </w:rPr>
        <w:t>20000</w:t>
      </w:r>
      <w:r>
        <w:rPr>
          <w:rFonts w:hint="default" w:ascii="Times New Roman" w:hAnsi="Times New Roman" w:eastAsia="宋体" w:cs="Times New Roman"/>
          <w:color w:val="auto"/>
          <w:highlight w:val="none"/>
        </w:rPr>
        <w:t>t/a，项目饲料粉尘产生量参照《排放源统计调查产排污核算方法和系数手册》（公告2021年第24号）--132饲料加工行业系数手册进行核算，详见下表。</w:t>
      </w:r>
    </w:p>
    <w:p w14:paraId="65C9FC02">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表3.3-</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饲料加工行业系数手册系数</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9"/>
        <w:gridCol w:w="2112"/>
        <w:gridCol w:w="1893"/>
        <w:gridCol w:w="835"/>
        <w:gridCol w:w="500"/>
        <w:gridCol w:w="595"/>
        <w:gridCol w:w="844"/>
        <w:gridCol w:w="809"/>
      </w:tblGrid>
      <w:tr w14:paraId="5773ED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2" w:type="dxa"/>
            <w:tcBorders>
              <w:top w:val="single" w:color="auto" w:sz="4" w:space="0"/>
              <w:left w:val="single" w:color="auto" w:sz="4" w:space="0"/>
            </w:tcBorders>
            <w:shd w:val="clear" w:color="auto" w:fill="auto"/>
            <w:vAlign w:val="center"/>
          </w:tcPr>
          <w:p w14:paraId="2210538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产品名称</w:t>
            </w:r>
          </w:p>
        </w:tc>
        <w:tc>
          <w:tcPr>
            <w:tcW w:w="2323" w:type="dxa"/>
            <w:tcBorders>
              <w:top w:val="single" w:color="auto" w:sz="4" w:space="0"/>
            </w:tcBorders>
            <w:shd w:val="clear" w:color="auto" w:fill="auto"/>
            <w:vAlign w:val="center"/>
          </w:tcPr>
          <w:p w14:paraId="6C87711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原料名称</w:t>
            </w:r>
          </w:p>
        </w:tc>
        <w:tc>
          <w:tcPr>
            <w:tcW w:w="2080" w:type="dxa"/>
            <w:tcBorders>
              <w:top w:val="single" w:color="auto" w:sz="4" w:space="0"/>
            </w:tcBorders>
            <w:shd w:val="clear" w:color="auto" w:fill="auto"/>
            <w:vAlign w:val="center"/>
          </w:tcPr>
          <w:p w14:paraId="06D6ED4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工艺名称</w:t>
            </w:r>
          </w:p>
        </w:tc>
        <w:tc>
          <w:tcPr>
            <w:tcW w:w="903" w:type="dxa"/>
            <w:tcBorders>
              <w:top w:val="single" w:color="auto" w:sz="4" w:space="0"/>
            </w:tcBorders>
            <w:vAlign w:val="center"/>
          </w:tcPr>
          <w:p w14:paraId="1E74A1A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规模</w:t>
            </w:r>
          </w:p>
        </w:tc>
        <w:tc>
          <w:tcPr>
            <w:tcW w:w="1168" w:type="dxa"/>
            <w:gridSpan w:val="2"/>
            <w:tcBorders>
              <w:top w:val="single" w:color="auto" w:sz="4" w:space="0"/>
            </w:tcBorders>
            <w:shd w:val="clear" w:color="auto" w:fill="auto"/>
            <w:vAlign w:val="center"/>
          </w:tcPr>
          <w:p w14:paraId="434D52D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污染物指标</w:t>
            </w:r>
          </w:p>
        </w:tc>
        <w:tc>
          <w:tcPr>
            <w:tcW w:w="913" w:type="dxa"/>
            <w:tcBorders>
              <w:top w:val="single" w:color="auto" w:sz="4" w:space="0"/>
            </w:tcBorders>
            <w:shd w:val="clear" w:color="auto" w:fill="auto"/>
            <w:vAlign w:val="center"/>
          </w:tcPr>
          <w:p w14:paraId="2A1F073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系数单位</w:t>
            </w:r>
          </w:p>
        </w:tc>
        <w:tc>
          <w:tcPr>
            <w:tcW w:w="874" w:type="dxa"/>
            <w:tcBorders>
              <w:top w:val="single" w:color="auto" w:sz="4" w:space="0"/>
              <w:right w:val="single" w:color="auto" w:sz="4" w:space="0"/>
            </w:tcBorders>
            <w:shd w:val="clear" w:color="auto" w:fill="auto"/>
            <w:vAlign w:val="center"/>
          </w:tcPr>
          <w:p w14:paraId="5DC4409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产污系数</w:t>
            </w:r>
          </w:p>
        </w:tc>
      </w:tr>
      <w:tr w14:paraId="2ED8BD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2" w:type="dxa"/>
            <w:tcBorders>
              <w:left w:val="single" w:color="auto" w:sz="4" w:space="0"/>
              <w:bottom w:val="single" w:color="auto" w:sz="4" w:space="0"/>
            </w:tcBorders>
            <w:shd w:val="clear" w:color="auto" w:fill="auto"/>
            <w:vAlign w:val="center"/>
          </w:tcPr>
          <w:p w14:paraId="17D621B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配合饲料</w:t>
            </w:r>
          </w:p>
        </w:tc>
        <w:tc>
          <w:tcPr>
            <w:tcW w:w="2323" w:type="dxa"/>
            <w:tcBorders>
              <w:bottom w:val="single" w:color="auto" w:sz="4" w:space="0"/>
            </w:tcBorders>
            <w:shd w:val="clear" w:color="auto" w:fill="auto"/>
            <w:vAlign w:val="center"/>
          </w:tcPr>
          <w:p w14:paraId="705A8AC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玉米、蛋白质类原料（豆粕等）维生素等</w:t>
            </w:r>
          </w:p>
        </w:tc>
        <w:tc>
          <w:tcPr>
            <w:tcW w:w="2080" w:type="dxa"/>
            <w:tcBorders>
              <w:bottom w:val="single" w:color="auto" w:sz="4" w:space="0"/>
            </w:tcBorders>
            <w:shd w:val="clear" w:color="auto" w:fill="auto"/>
            <w:vAlign w:val="center"/>
          </w:tcPr>
          <w:p w14:paraId="06C4DB1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粉碎+混合+制粒（可不制粒）+除尘</w:t>
            </w:r>
          </w:p>
        </w:tc>
        <w:tc>
          <w:tcPr>
            <w:tcW w:w="903" w:type="dxa"/>
            <w:tcBorders>
              <w:bottom w:val="single" w:color="auto" w:sz="4" w:space="0"/>
            </w:tcBorders>
            <w:vAlign w:val="center"/>
          </w:tcPr>
          <w:p w14:paraId="0F124CA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＜10万吨/年</w:t>
            </w:r>
          </w:p>
        </w:tc>
        <w:tc>
          <w:tcPr>
            <w:tcW w:w="531" w:type="dxa"/>
            <w:tcBorders>
              <w:bottom w:val="single" w:color="auto" w:sz="4" w:space="0"/>
            </w:tcBorders>
            <w:shd w:val="clear" w:color="auto" w:fill="auto"/>
            <w:vAlign w:val="center"/>
          </w:tcPr>
          <w:p w14:paraId="00C436A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637" w:type="dxa"/>
            <w:tcBorders>
              <w:bottom w:val="single" w:color="auto" w:sz="4" w:space="0"/>
            </w:tcBorders>
            <w:shd w:val="clear" w:color="auto" w:fill="auto"/>
            <w:vAlign w:val="center"/>
          </w:tcPr>
          <w:p w14:paraId="490D1A5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913" w:type="dxa"/>
            <w:tcBorders>
              <w:bottom w:val="single" w:color="auto" w:sz="4" w:space="0"/>
            </w:tcBorders>
            <w:shd w:val="clear" w:color="auto" w:fill="auto"/>
            <w:vAlign w:val="center"/>
          </w:tcPr>
          <w:p w14:paraId="45EDFAF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千克/吨-产品</w:t>
            </w:r>
          </w:p>
        </w:tc>
        <w:tc>
          <w:tcPr>
            <w:tcW w:w="874" w:type="dxa"/>
            <w:tcBorders>
              <w:bottom w:val="single" w:color="auto" w:sz="4" w:space="0"/>
              <w:right w:val="single" w:color="auto" w:sz="4" w:space="0"/>
            </w:tcBorders>
            <w:shd w:val="clear" w:color="auto" w:fill="auto"/>
            <w:vAlign w:val="center"/>
          </w:tcPr>
          <w:p w14:paraId="668CDCF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0.043</w:t>
            </w:r>
          </w:p>
        </w:tc>
      </w:tr>
    </w:tbl>
    <w:p w14:paraId="0C9AEAD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项目每日将精饲料以及项目储存的</w:t>
      </w:r>
      <w:r>
        <w:rPr>
          <w:rFonts w:hint="default" w:ascii="Times New Roman" w:hAnsi="Times New Roman" w:eastAsia="宋体" w:cs="Times New Roman"/>
          <w:color w:val="auto"/>
          <w:highlight w:val="none"/>
          <w:lang w:eastAsia="zh-CN"/>
        </w:rPr>
        <w:t>青贮</w:t>
      </w:r>
      <w:r>
        <w:rPr>
          <w:rFonts w:hint="default" w:ascii="Times New Roman" w:hAnsi="Times New Roman" w:eastAsia="宋体" w:cs="Times New Roman"/>
          <w:color w:val="auto"/>
          <w:highlight w:val="none"/>
        </w:rPr>
        <w:t>料、干草投入</w:t>
      </w:r>
      <w:r>
        <w:rPr>
          <w:rFonts w:hint="default" w:ascii="Times New Roman" w:hAnsi="Times New Roman" w:eastAsia="宋体" w:cs="Times New Roman"/>
          <w:color w:val="auto"/>
          <w:highlight w:val="none"/>
          <w:lang w:eastAsia="zh-CN"/>
        </w:rPr>
        <w:t>TMR混合机</w:t>
      </w:r>
      <w:r>
        <w:rPr>
          <w:rFonts w:hint="default" w:ascii="Times New Roman" w:hAnsi="Times New Roman" w:eastAsia="宋体" w:cs="Times New Roman"/>
          <w:color w:val="auto"/>
          <w:highlight w:val="none"/>
        </w:rPr>
        <w:t>搅拌成</w:t>
      </w:r>
      <w:r>
        <w:rPr>
          <w:rFonts w:hint="default" w:ascii="Times New Roman" w:hAnsi="Times New Roman" w:eastAsia="宋体" w:cs="Times New Roman"/>
          <w:color w:val="auto"/>
          <w:highlight w:val="none"/>
          <w:lang w:eastAsia="zh-CN"/>
        </w:rPr>
        <w:t>肉牛</w:t>
      </w:r>
      <w:r>
        <w:rPr>
          <w:rFonts w:hint="default" w:ascii="Times New Roman" w:hAnsi="Times New Roman" w:eastAsia="宋体" w:cs="Times New Roman"/>
          <w:color w:val="auto"/>
          <w:highlight w:val="none"/>
        </w:rPr>
        <w:t>口粮，由于精饲料主要成分豆粕、棉籽、玉米粉等具有一定的粒度，而</w:t>
      </w:r>
      <w:r>
        <w:rPr>
          <w:rFonts w:hint="default" w:ascii="Times New Roman" w:hAnsi="Times New Roman" w:eastAsia="宋体" w:cs="Times New Roman"/>
          <w:color w:val="auto"/>
          <w:highlight w:val="none"/>
          <w:lang w:eastAsia="zh-CN"/>
        </w:rPr>
        <w:t>青贮</w:t>
      </w:r>
      <w:r>
        <w:rPr>
          <w:rFonts w:hint="default" w:ascii="Times New Roman" w:hAnsi="Times New Roman" w:eastAsia="宋体" w:cs="Times New Roman"/>
          <w:color w:val="auto"/>
          <w:highlight w:val="none"/>
        </w:rPr>
        <w:t>、苜蓿等均为短段，各物料一般都有一定的湿度，不会是绝干的，由于粉尘产生量非常少，项目配料时间为</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h/天，且TMR车间密闭</w:t>
      </w:r>
      <w:r>
        <w:rPr>
          <w:rFonts w:hint="default" w:ascii="Times New Roman" w:hAnsi="Times New Roman" w:eastAsia="宋体" w:cs="Times New Roman"/>
          <w:color w:val="auto"/>
          <w:highlight w:val="none"/>
          <w:lang w:eastAsia="zh-CN"/>
        </w:rPr>
        <w:t>设置，</w:t>
      </w:r>
      <w:r>
        <w:rPr>
          <w:rFonts w:hint="default" w:ascii="Times New Roman" w:hAnsi="Times New Roman" w:eastAsia="宋体" w:cs="Times New Roman"/>
          <w:color w:val="auto"/>
          <w:highlight w:val="none"/>
        </w:rPr>
        <w:t>饲料配制期间门窗紧闭并在配制过程中喷水抑尘，排放粉尘</w:t>
      </w:r>
      <w:r>
        <w:rPr>
          <w:rFonts w:hint="default" w:ascii="Times New Roman" w:hAnsi="Times New Roman" w:eastAsia="宋体" w:cs="Times New Roman"/>
          <w:color w:val="auto"/>
          <w:highlight w:val="none"/>
          <w:lang w:val="en-US" w:eastAsia="zh-CN"/>
        </w:rPr>
        <w:t>90</w:t>
      </w:r>
      <w:r>
        <w:rPr>
          <w:rFonts w:hint="default" w:ascii="Times New Roman" w:hAnsi="Times New Roman" w:eastAsia="宋体" w:cs="Times New Roman"/>
          <w:color w:val="auto"/>
          <w:highlight w:val="none"/>
        </w:rPr>
        <w:t>%沉降于车间内，项目粉尘产排污情况见下表。</w:t>
      </w:r>
    </w:p>
    <w:p w14:paraId="77105593">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表3.3-</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项目粉尘产排污情况列表</w:t>
      </w:r>
    </w:p>
    <w:tbl>
      <w:tblPr>
        <w:tblStyle w:val="40"/>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666"/>
        <w:gridCol w:w="1667"/>
        <w:gridCol w:w="1667"/>
        <w:gridCol w:w="1668"/>
        <w:gridCol w:w="1668"/>
      </w:tblGrid>
      <w:tr w14:paraId="3C9D5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63" w:type="dxa"/>
            <w:noWrap/>
            <w:tcMar>
              <w:top w:w="15" w:type="dxa"/>
              <w:left w:w="15" w:type="dxa"/>
              <w:right w:w="15" w:type="dxa"/>
            </w:tcMar>
            <w:vAlign w:val="center"/>
          </w:tcPr>
          <w:p w14:paraId="1D43155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产生速率kg/h</w:t>
            </w:r>
          </w:p>
        </w:tc>
        <w:tc>
          <w:tcPr>
            <w:tcW w:w="1763" w:type="dxa"/>
            <w:noWrap/>
            <w:tcMar>
              <w:top w:w="15" w:type="dxa"/>
              <w:left w:w="15" w:type="dxa"/>
              <w:right w:w="15" w:type="dxa"/>
            </w:tcMar>
            <w:vAlign w:val="center"/>
          </w:tcPr>
          <w:p w14:paraId="112D767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产生量t/a</w:t>
            </w:r>
          </w:p>
        </w:tc>
        <w:tc>
          <w:tcPr>
            <w:tcW w:w="1763" w:type="dxa"/>
            <w:noWrap/>
            <w:tcMar>
              <w:top w:w="15" w:type="dxa"/>
              <w:left w:w="15" w:type="dxa"/>
              <w:right w:w="15" w:type="dxa"/>
            </w:tcMar>
            <w:vAlign w:val="center"/>
          </w:tcPr>
          <w:p w14:paraId="767DE45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无组织排放比例</w:t>
            </w:r>
          </w:p>
        </w:tc>
        <w:tc>
          <w:tcPr>
            <w:tcW w:w="1764" w:type="dxa"/>
            <w:noWrap/>
            <w:tcMar>
              <w:top w:w="15" w:type="dxa"/>
              <w:left w:w="15" w:type="dxa"/>
              <w:right w:w="15" w:type="dxa"/>
            </w:tcMar>
            <w:vAlign w:val="center"/>
          </w:tcPr>
          <w:p w14:paraId="7243737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排放速率kg/h</w:t>
            </w:r>
          </w:p>
        </w:tc>
        <w:tc>
          <w:tcPr>
            <w:tcW w:w="1764" w:type="dxa"/>
            <w:noWrap/>
            <w:tcMar>
              <w:top w:w="15" w:type="dxa"/>
              <w:left w:w="15" w:type="dxa"/>
              <w:right w:w="15" w:type="dxa"/>
            </w:tcMar>
            <w:vAlign w:val="center"/>
          </w:tcPr>
          <w:p w14:paraId="76CA634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排放量t/a</w:t>
            </w:r>
          </w:p>
        </w:tc>
      </w:tr>
      <w:tr w14:paraId="4AD2D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63" w:type="dxa"/>
            <w:noWrap/>
            <w:tcMar>
              <w:top w:w="15" w:type="dxa"/>
              <w:left w:w="15" w:type="dxa"/>
              <w:right w:w="15" w:type="dxa"/>
            </w:tcMar>
            <w:vAlign w:val="center"/>
          </w:tcPr>
          <w:p w14:paraId="370D9A2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0.589</w:t>
            </w:r>
          </w:p>
        </w:tc>
        <w:tc>
          <w:tcPr>
            <w:tcW w:w="1763" w:type="dxa"/>
            <w:noWrap/>
            <w:tcMar>
              <w:top w:w="15" w:type="dxa"/>
              <w:left w:w="15" w:type="dxa"/>
              <w:right w:w="15" w:type="dxa"/>
            </w:tcMar>
            <w:vAlign w:val="center"/>
          </w:tcPr>
          <w:p w14:paraId="2590836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0.86</w:t>
            </w:r>
          </w:p>
        </w:tc>
        <w:tc>
          <w:tcPr>
            <w:tcW w:w="1763" w:type="dxa"/>
            <w:noWrap/>
            <w:tcMar>
              <w:top w:w="15" w:type="dxa"/>
              <w:left w:w="15" w:type="dxa"/>
              <w:right w:w="15" w:type="dxa"/>
            </w:tcMar>
            <w:vAlign w:val="center"/>
          </w:tcPr>
          <w:p w14:paraId="7500AB6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w:t>
            </w:r>
          </w:p>
        </w:tc>
        <w:tc>
          <w:tcPr>
            <w:tcW w:w="1764" w:type="dxa"/>
            <w:noWrap/>
            <w:tcMar>
              <w:top w:w="15" w:type="dxa"/>
              <w:left w:w="15" w:type="dxa"/>
              <w:right w:w="15" w:type="dxa"/>
            </w:tcMar>
            <w:vAlign w:val="center"/>
          </w:tcPr>
          <w:p w14:paraId="53380A0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0.0589</w:t>
            </w:r>
          </w:p>
        </w:tc>
        <w:tc>
          <w:tcPr>
            <w:tcW w:w="1764" w:type="dxa"/>
            <w:noWrap/>
            <w:tcMar>
              <w:top w:w="15" w:type="dxa"/>
              <w:left w:w="15" w:type="dxa"/>
              <w:right w:w="15" w:type="dxa"/>
            </w:tcMar>
            <w:vAlign w:val="center"/>
          </w:tcPr>
          <w:p w14:paraId="70508C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0.086</w:t>
            </w:r>
          </w:p>
        </w:tc>
      </w:tr>
    </w:tbl>
    <w:p w14:paraId="2DCFA48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bookmarkStart w:id="268" w:name="_Toc46421100"/>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食堂废气</w:t>
      </w:r>
    </w:p>
    <w:p w14:paraId="4B3A7EF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①食堂油烟</w:t>
      </w:r>
    </w:p>
    <w:p w14:paraId="49F3104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项目食堂设有2个基准灶头，项目最大劳动定员</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lang w:val="zh-CN"/>
        </w:rPr>
        <w:t>0人。本项目餐饮油烟参照《排放源统计调查产排污核算方法和系数手册》（公告2021年第24号）--生活污染源产排污系数手册</w:t>
      </w:r>
      <w:r>
        <w:rPr>
          <w:rFonts w:hint="default" w:ascii="Times New Roman" w:hAnsi="Times New Roman" w:eastAsia="宋体" w:cs="Times New Roman"/>
          <w:color w:val="auto"/>
          <w:highlight w:val="none"/>
          <w:lang w:val="en-US" w:eastAsia="zh-CN"/>
        </w:rPr>
        <w:t>--第三部分生活及其他大气污染物排放系数，</w:t>
      </w:r>
      <w:r>
        <w:rPr>
          <w:rFonts w:hint="default" w:ascii="Times New Roman" w:hAnsi="Times New Roman" w:eastAsia="宋体" w:cs="Times New Roman"/>
          <w:color w:val="auto"/>
          <w:highlight w:val="none"/>
          <w:lang w:val="zh-CN"/>
        </w:rPr>
        <w:t>餐饮油烟排放系数按</w:t>
      </w:r>
      <w:r>
        <w:rPr>
          <w:rFonts w:hint="default" w:ascii="Times New Roman" w:hAnsi="Times New Roman" w:eastAsia="宋体" w:cs="Times New Roman"/>
          <w:color w:val="auto"/>
          <w:highlight w:val="none"/>
          <w:lang w:val="en-US" w:eastAsia="zh-CN"/>
        </w:rPr>
        <w:t>301g/（人·年），</w:t>
      </w:r>
      <w:r>
        <w:rPr>
          <w:rFonts w:hint="default" w:ascii="Times New Roman" w:hAnsi="Times New Roman" w:eastAsia="宋体" w:cs="Times New Roman"/>
          <w:color w:val="auto"/>
          <w:highlight w:val="none"/>
          <w:lang w:val="zh-CN"/>
        </w:rPr>
        <w:t>则油烟的产生量为</w:t>
      </w:r>
      <w:r>
        <w:rPr>
          <w:rFonts w:hint="default" w:ascii="Times New Roman" w:hAnsi="Times New Roman" w:eastAsia="宋体" w:cs="Times New Roman"/>
          <w:color w:val="auto"/>
          <w:highlight w:val="none"/>
          <w:lang w:val="en-US" w:eastAsia="zh-CN"/>
        </w:rPr>
        <w:t>0.015</w:t>
      </w:r>
      <w:r>
        <w:rPr>
          <w:rFonts w:hint="default" w:ascii="Times New Roman" w:hAnsi="Times New Roman" w:eastAsia="宋体" w:cs="Times New Roman"/>
          <w:color w:val="auto"/>
          <w:highlight w:val="none"/>
          <w:lang w:val="zh-CN"/>
        </w:rPr>
        <w:t>t/a。日工作时间按4小时计算，则高峰期该项目所产油烟速率为0.0</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val="zh-CN"/>
        </w:rPr>
        <w:t>kg/h。</w:t>
      </w:r>
    </w:p>
    <w:p w14:paraId="4BBB8CB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根据《饮食业油烟排放标准》（GB18483-2001）规定，项目采用一套静电型油烟净化设备对油烟进行净化处理，净化效率达到60%以上，风量为</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val="zh-CN"/>
        </w:rPr>
        <w:t>000m</w:t>
      </w:r>
      <w:r>
        <w:rPr>
          <w:rFonts w:hint="default" w:ascii="Times New Roman" w:hAnsi="Times New Roman" w:eastAsia="宋体" w:cs="Times New Roman"/>
          <w:color w:val="auto"/>
          <w:highlight w:val="none"/>
          <w:vertAlign w:val="superscript"/>
          <w:lang w:val="zh-CN"/>
        </w:rPr>
        <w:t>3</w:t>
      </w:r>
      <w:r>
        <w:rPr>
          <w:rFonts w:hint="default" w:ascii="Times New Roman" w:hAnsi="Times New Roman" w:eastAsia="宋体" w:cs="Times New Roman"/>
          <w:color w:val="auto"/>
          <w:highlight w:val="none"/>
          <w:lang w:val="zh-CN"/>
        </w:rPr>
        <w:t>/h，产生速率为0.0</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val="zh-CN"/>
        </w:rPr>
        <w:t>kg/h，产生浓度为</w:t>
      </w:r>
      <w:r>
        <w:rPr>
          <w:rFonts w:hint="default" w:ascii="Times New Roman" w:hAnsi="Times New Roman" w:eastAsia="宋体" w:cs="Times New Roman"/>
          <w:color w:val="auto"/>
          <w:highlight w:val="none"/>
          <w:lang w:val="en-US" w:eastAsia="zh-CN"/>
        </w:rPr>
        <w:t>3.3</w:t>
      </w:r>
      <w:r>
        <w:rPr>
          <w:rFonts w:hint="default" w:ascii="Times New Roman" w:hAnsi="Times New Roman" w:eastAsia="宋体" w:cs="Times New Roman"/>
          <w:color w:val="auto"/>
          <w:highlight w:val="none"/>
          <w:lang w:val="zh-CN"/>
        </w:rPr>
        <w:t>mg/m</w:t>
      </w:r>
      <w:r>
        <w:rPr>
          <w:rFonts w:hint="default" w:ascii="Times New Roman" w:hAnsi="Times New Roman" w:eastAsia="宋体" w:cs="Times New Roman"/>
          <w:color w:val="auto"/>
          <w:highlight w:val="none"/>
          <w:vertAlign w:val="superscript"/>
          <w:lang w:val="zh-CN"/>
        </w:rPr>
        <w:t>3</w:t>
      </w:r>
      <w:r>
        <w:rPr>
          <w:rFonts w:hint="default" w:ascii="Times New Roman" w:hAnsi="Times New Roman" w:eastAsia="宋体" w:cs="Times New Roman"/>
          <w:color w:val="auto"/>
          <w:highlight w:val="none"/>
          <w:lang w:val="zh-CN"/>
        </w:rPr>
        <w:t>；排放量为</w:t>
      </w:r>
      <w:r>
        <w:rPr>
          <w:rFonts w:hint="default" w:ascii="Times New Roman" w:hAnsi="Times New Roman" w:eastAsia="宋体" w:cs="Times New Roman"/>
          <w:color w:val="auto"/>
          <w:highlight w:val="none"/>
          <w:lang w:val="en-US" w:eastAsia="zh-CN"/>
        </w:rPr>
        <w:t>0.006t/a</w:t>
      </w:r>
      <w:r>
        <w:rPr>
          <w:rFonts w:hint="default" w:ascii="Times New Roman" w:hAnsi="Times New Roman" w:eastAsia="宋体" w:cs="Times New Roman"/>
          <w:color w:val="auto"/>
          <w:highlight w:val="none"/>
          <w:lang w:val="zh-CN"/>
        </w:rPr>
        <w:t>，排放速率为0.0</w:t>
      </w:r>
      <w:r>
        <w:rPr>
          <w:rFonts w:hint="default" w:ascii="Times New Roman" w:hAnsi="Times New Roman" w:eastAsia="宋体" w:cs="Times New Roman"/>
          <w:color w:val="auto"/>
          <w:highlight w:val="none"/>
          <w:lang w:val="en-US" w:eastAsia="zh-CN"/>
        </w:rPr>
        <w:t>04</w:t>
      </w:r>
      <w:r>
        <w:rPr>
          <w:rFonts w:hint="default" w:ascii="Times New Roman" w:hAnsi="Times New Roman" w:eastAsia="宋体" w:cs="Times New Roman"/>
          <w:color w:val="auto"/>
          <w:highlight w:val="none"/>
          <w:lang w:val="zh-CN"/>
        </w:rPr>
        <w:t>kg/h，排放浓度为</w:t>
      </w:r>
      <w:r>
        <w:rPr>
          <w:rFonts w:hint="default" w:ascii="Times New Roman" w:hAnsi="Times New Roman" w:eastAsia="宋体" w:cs="Times New Roman"/>
          <w:color w:val="auto"/>
          <w:highlight w:val="none"/>
          <w:lang w:val="en-US" w:eastAsia="zh-CN"/>
        </w:rPr>
        <w:t>1.3</w:t>
      </w:r>
      <w:r>
        <w:rPr>
          <w:rFonts w:hint="default" w:ascii="Times New Roman" w:hAnsi="Times New Roman" w:eastAsia="宋体" w:cs="Times New Roman"/>
          <w:color w:val="auto"/>
          <w:highlight w:val="none"/>
          <w:lang w:val="zh-CN"/>
        </w:rPr>
        <w:t>mg/m</w:t>
      </w:r>
      <w:r>
        <w:rPr>
          <w:rFonts w:hint="default" w:ascii="Times New Roman" w:hAnsi="Times New Roman" w:eastAsia="宋体" w:cs="Times New Roman"/>
          <w:color w:val="auto"/>
          <w:highlight w:val="none"/>
          <w:vertAlign w:val="superscript"/>
          <w:lang w:val="zh-CN"/>
        </w:rPr>
        <w:t>3</w:t>
      </w:r>
      <w:r>
        <w:rPr>
          <w:rFonts w:hint="default" w:ascii="Times New Roman" w:hAnsi="Times New Roman" w:eastAsia="宋体" w:cs="Times New Roman"/>
          <w:color w:val="auto"/>
          <w:highlight w:val="none"/>
          <w:lang w:val="zh-CN"/>
        </w:rPr>
        <w:t>。同时，排气筒出口不朝向敏感建筑，经采取以上措施后项目油烟排放满足《饮食业油烟排放标准》（GB18483-2001）中最大的相关规定。项目食用油消耗和油烟废气产生情况见下表：</w:t>
      </w:r>
    </w:p>
    <w:p w14:paraId="70A53F3D">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表3.3-</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val="zh-CN"/>
        </w:rPr>
        <w:t>食堂食用油消耗和油烟产生、排放情况</w:t>
      </w:r>
    </w:p>
    <w:tbl>
      <w:tblPr>
        <w:tblStyle w:val="41"/>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79"/>
        <w:gridCol w:w="1379"/>
        <w:gridCol w:w="1379"/>
        <w:gridCol w:w="1380"/>
        <w:gridCol w:w="1380"/>
        <w:gridCol w:w="1380"/>
      </w:tblGrid>
      <w:tr w14:paraId="5CD1DB9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00" w:type="dxa"/>
            <w:tcBorders>
              <w:top w:val="single" w:color="auto" w:sz="4" w:space="0"/>
              <w:left w:val="single" w:color="auto" w:sz="4" w:space="0"/>
              <w:bottom w:val="single" w:color="auto" w:sz="4" w:space="0"/>
              <w:right w:val="single" w:color="auto" w:sz="4" w:space="0"/>
            </w:tcBorders>
            <w:vAlign w:val="center"/>
          </w:tcPr>
          <w:p w14:paraId="2793BB0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灶头</w:t>
            </w:r>
          </w:p>
        </w:tc>
        <w:tc>
          <w:tcPr>
            <w:tcW w:w="1500" w:type="dxa"/>
            <w:tcBorders>
              <w:top w:val="single" w:color="auto" w:sz="4" w:space="0"/>
              <w:left w:val="single" w:color="auto" w:sz="4" w:space="0"/>
              <w:bottom w:val="single" w:color="auto" w:sz="4" w:space="0"/>
              <w:right w:val="single" w:color="auto" w:sz="4" w:space="0"/>
            </w:tcBorders>
            <w:vAlign w:val="center"/>
          </w:tcPr>
          <w:p w14:paraId="65996B9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zh-CN"/>
              </w:rPr>
            </w:pPr>
            <w:r>
              <w:rPr>
                <w:rFonts w:hint="default" w:ascii="Times New Roman" w:hAnsi="Times New Roman" w:eastAsia="宋体" w:cs="Times New Roman"/>
                <w:color w:val="auto"/>
                <w:kern w:val="0"/>
                <w:sz w:val="21"/>
                <w:szCs w:val="21"/>
                <w:highlight w:val="none"/>
                <w:lang w:val="zh-CN"/>
              </w:rPr>
              <w:t>排风量</w:t>
            </w:r>
          </w:p>
          <w:p w14:paraId="1A9D91A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kern w:val="0"/>
                <w:sz w:val="21"/>
                <w:szCs w:val="21"/>
                <w:highlight w:val="none"/>
                <w:lang w:val="zh-CN"/>
              </w:rPr>
              <w:t>（m</w:t>
            </w:r>
            <w:r>
              <w:rPr>
                <w:rFonts w:hint="default" w:ascii="Times New Roman" w:hAnsi="Times New Roman" w:eastAsia="宋体" w:cs="Times New Roman"/>
                <w:color w:val="auto"/>
                <w:kern w:val="0"/>
                <w:sz w:val="21"/>
                <w:szCs w:val="21"/>
                <w:highlight w:val="none"/>
                <w:vertAlign w:val="superscript"/>
                <w:lang w:val="zh-CN"/>
              </w:rPr>
              <w:t>3</w:t>
            </w:r>
            <w:r>
              <w:rPr>
                <w:rFonts w:hint="default" w:ascii="Times New Roman" w:hAnsi="Times New Roman" w:eastAsia="宋体" w:cs="Times New Roman"/>
                <w:color w:val="auto"/>
                <w:kern w:val="0"/>
                <w:sz w:val="21"/>
                <w:szCs w:val="21"/>
                <w:highlight w:val="none"/>
                <w:lang w:val="zh-CN"/>
              </w:rPr>
              <w:t>/h）</w:t>
            </w:r>
          </w:p>
        </w:tc>
        <w:tc>
          <w:tcPr>
            <w:tcW w:w="1500" w:type="dxa"/>
            <w:tcBorders>
              <w:top w:val="single" w:color="auto" w:sz="4" w:space="0"/>
              <w:left w:val="single" w:color="auto" w:sz="4" w:space="0"/>
              <w:bottom w:val="single" w:color="auto" w:sz="4" w:space="0"/>
              <w:right w:val="single" w:color="auto" w:sz="4" w:space="0"/>
            </w:tcBorders>
            <w:vAlign w:val="center"/>
          </w:tcPr>
          <w:p w14:paraId="58EA418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zh-CN"/>
              </w:rPr>
            </w:pPr>
            <w:r>
              <w:rPr>
                <w:rFonts w:hint="default" w:ascii="Times New Roman" w:hAnsi="Times New Roman" w:eastAsia="宋体" w:cs="Times New Roman"/>
                <w:color w:val="auto"/>
                <w:kern w:val="0"/>
                <w:sz w:val="21"/>
                <w:szCs w:val="21"/>
                <w:highlight w:val="none"/>
                <w:lang w:val="zh-CN"/>
              </w:rPr>
              <w:t>油烟产生浓度</w:t>
            </w:r>
          </w:p>
          <w:p w14:paraId="1C608FB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kern w:val="0"/>
                <w:sz w:val="21"/>
                <w:szCs w:val="21"/>
                <w:highlight w:val="none"/>
                <w:lang w:val="zh-CN"/>
              </w:rPr>
              <w:t>（mg/m</w:t>
            </w:r>
            <w:r>
              <w:rPr>
                <w:rFonts w:hint="default" w:ascii="Times New Roman" w:hAnsi="Times New Roman" w:eastAsia="宋体" w:cs="Times New Roman"/>
                <w:color w:val="auto"/>
                <w:kern w:val="0"/>
                <w:sz w:val="21"/>
                <w:szCs w:val="21"/>
                <w:highlight w:val="none"/>
                <w:vertAlign w:val="superscript"/>
                <w:lang w:val="zh-CN"/>
              </w:rPr>
              <w:t>3</w:t>
            </w:r>
            <w:r>
              <w:rPr>
                <w:rFonts w:hint="default" w:ascii="Times New Roman" w:hAnsi="Times New Roman" w:eastAsia="宋体" w:cs="Times New Roman"/>
                <w:color w:val="auto"/>
                <w:kern w:val="0"/>
                <w:sz w:val="21"/>
                <w:szCs w:val="21"/>
                <w:highlight w:val="none"/>
                <w:lang w:val="zh-CN"/>
              </w:rPr>
              <w:t>）</w:t>
            </w:r>
          </w:p>
        </w:tc>
        <w:tc>
          <w:tcPr>
            <w:tcW w:w="1501" w:type="dxa"/>
            <w:tcBorders>
              <w:top w:val="single" w:color="auto" w:sz="4" w:space="0"/>
              <w:left w:val="single" w:color="auto" w:sz="4" w:space="0"/>
              <w:bottom w:val="single" w:color="auto" w:sz="4" w:space="0"/>
              <w:right w:val="single" w:color="auto" w:sz="4" w:space="0"/>
            </w:tcBorders>
            <w:vAlign w:val="center"/>
          </w:tcPr>
          <w:p w14:paraId="7016660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zh-CN"/>
              </w:rPr>
            </w:pPr>
            <w:r>
              <w:rPr>
                <w:rFonts w:hint="default" w:ascii="Times New Roman" w:hAnsi="Times New Roman" w:eastAsia="宋体" w:cs="Times New Roman"/>
                <w:color w:val="auto"/>
                <w:kern w:val="0"/>
                <w:sz w:val="21"/>
                <w:szCs w:val="21"/>
                <w:highlight w:val="none"/>
                <w:lang w:val="zh-CN"/>
              </w:rPr>
              <w:t>净化器</w:t>
            </w:r>
          </w:p>
          <w:p w14:paraId="2B5B72E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kern w:val="0"/>
                <w:sz w:val="21"/>
                <w:szCs w:val="21"/>
                <w:highlight w:val="none"/>
                <w:lang w:val="zh-CN"/>
              </w:rPr>
              <w:t>效率</w:t>
            </w:r>
          </w:p>
        </w:tc>
        <w:tc>
          <w:tcPr>
            <w:tcW w:w="1501" w:type="dxa"/>
            <w:tcBorders>
              <w:top w:val="single" w:color="auto" w:sz="4" w:space="0"/>
              <w:left w:val="single" w:color="auto" w:sz="4" w:space="0"/>
              <w:bottom w:val="single" w:color="auto" w:sz="4" w:space="0"/>
              <w:right w:val="single" w:color="auto" w:sz="4" w:space="0"/>
            </w:tcBorders>
            <w:vAlign w:val="center"/>
          </w:tcPr>
          <w:p w14:paraId="6824F4C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zh-CN"/>
              </w:rPr>
            </w:pPr>
            <w:r>
              <w:rPr>
                <w:rFonts w:hint="default" w:ascii="Times New Roman" w:hAnsi="Times New Roman" w:eastAsia="宋体" w:cs="Times New Roman"/>
                <w:color w:val="auto"/>
                <w:kern w:val="0"/>
                <w:sz w:val="21"/>
                <w:szCs w:val="21"/>
                <w:highlight w:val="none"/>
                <w:lang w:val="zh-CN"/>
              </w:rPr>
              <w:t>油烟排放浓度</w:t>
            </w:r>
          </w:p>
          <w:p w14:paraId="3E160CC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kern w:val="0"/>
                <w:sz w:val="21"/>
                <w:szCs w:val="21"/>
                <w:highlight w:val="none"/>
                <w:lang w:val="zh-CN"/>
              </w:rPr>
              <w:t>（mg/m</w:t>
            </w:r>
            <w:r>
              <w:rPr>
                <w:rFonts w:hint="default" w:ascii="Times New Roman" w:hAnsi="Times New Roman" w:eastAsia="宋体" w:cs="Times New Roman"/>
                <w:color w:val="auto"/>
                <w:kern w:val="0"/>
                <w:sz w:val="21"/>
                <w:szCs w:val="21"/>
                <w:highlight w:val="none"/>
                <w:vertAlign w:val="superscript"/>
                <w:lang w:val="zh-CN"/>
              </w:rPr>
              <w:t>3</w:t>
            </w:r>
            <w:r>
              <w:rPr>
                <w:rFonts w:hint="default" w:ascii="Times New Roman" w:hAnsi="Times New Roman" w:eastAsia="宋体" w:cs="Times New Roman"/>
                <w:color w:val="auto"/>
                <w:kern w:val="0"/>
                <w:sz w:val="21"/>
                <w:szCs w:val="21"/>
                <w:highlight w:val="none"/>
                <w:lang w:val="zh-CN"/>
              </w:rPr>
              <w:t>）</w:t>
            </w:r>
          </w:p>
        </w:tc>
        <w:tc>
          <w:tcPr>
            <w:tcW w:w="1501" w:type="dxa"/>
            <w:tcBorders>
              <w:top w:val="single" w:color="auto" w:sz="4" w:space="0"/>
              <w:left w:val="single" w:color="auto" w:sz="4" w:space="0"/>
              <w:bottom w:val="single" w:color="auto" w:sz="4" w:space="0"/>
              <w:right w:val="single" w:color="auto" w:sz="4" w:space="0"/>
            </w:tcBorders>
            <w:vAlign w:val="center"/>
          </w:tcPr>
          <w:p w14:paraId="0E7780A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zh-CN"/>
              </w:rPr>
            </w:pPr>
            <w:r>
              <w:rPr>
                <w:rFonts w:hint="default" w:ascii="Times New Roman" w:hAnsi="Times New Roman" w:eastAsia="宋体" w:cs="Times New Roman"/>
                <w:color w:val="auto"/>
                <w:kern w:val="0"/>
                <w:sz w:val="21"/>
                <w:szCs w:val="21"/>
                <w:highlight w:val="none"/>
                <w:lang w:val="zh-CN"/>
              </w:rPr>
              <w:t>油烟排放量</w:t>
            </w:r>
          </w:p>
          <w:p w14:paraId="1127E8B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kern w:val="0"/>
                <w:sz w:val="21"/>
                <w:szCs w:val="21"/>
                <w:highlight w:val="none"/>
                <w:lang w:val="zh-CN"/>
              </w:rPr>
              <w:t>（t/a）</w:t>
            </w:r>
          </w:p>
        </w:tc>
      </w:tr>
      <w:tr w14:paraId="647DA8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00" w:type="dxa"/>
            <w:tcBorders>
              <w:top w:val="single" w:color="auto" w:sz="4" w:space="0"/>
              <w:left w:val="single" w:color="auto" w:sz="4" w:space="0"/>
              <w:bottom w:val="single" w:color="auto" w:sz="4" w:space="0"/>
              <w:right w:val="single" w:color="auto" w:sz="4" w:space="0"/>
            </w:tcBorders>
            <w:vAlign w:val="center"/>
          </w:tcPr>
          <w:p w14:paraId="4B06DB6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w:t>
            </w:r>
          </w:p>
        </w:tc>
        <w:tc>
          <w:tcPr>
            <w:tcW w:w="1500" w:type="dxa"/>
            <w:tcBorders>
              <w:top w:val="single" w:color="auto" w:sz="4" w:space="0"/>
              <w:left w:val="single" w:color="auto" w:sz="4" w:space="0"/>
              <w:bottom w:val="single" w:color="auto" w:sz="4" w:space="0"/>
              <w:right w:val="single" w:color="auto" w:sz="4" w:space="0"/>
            </w:tcBorders>
            <w:vAlign w:val="center"/>
          </w:tcPr>
          <w:p w14:paraId="48FCDEE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lang w:val="en-US" w:eastAsia="zh-CN"/>
              </w:rPr>
              <w:t>3</w:t>
            </w:r>
            <w:r>
              <w:rPr>
                <w:rFonts w:hint="default" w:ascii="Times New Roman" w:hAnsi="Times New Roman" w:eastAsia="宋体" w:cs="Times New Roman"/>
                <w:color w:val="auto"/>
                <w:sz w:val="21"/>
                <w:szCs w:val="20"/>
                <w:highlight w:val="none"/>
              </w:rPr>
              <w:t>000</w:t>
            </w:r>
          </w:p>
        </w:tc>
        <w:tc>
          <w:tcPr>
            <w:tcW w:w="1500" w:type="dxa"/>
            <w:tcBorders>
              <w:top w:val="single" w:color="auto" w:sz="4" w:space="0"/>
              <w:left w:val="single" w:color="auto" w:sz="4" w:space="0"/>
              <w:bottom w:val="single" w:color="auto" w:sz="4" w:space="0"/>
              <w:right w:val="single" w:color="auto" w:sz="4" w:space="0"/>
            </w:tcBorders>
            <w:vAlign w:val="center"/>
          </w:tcPr>
          <w:p w14:paraId="6F357FF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val="en-US"/>
              </w:rPr>
            </w:pPr>
            <w:r>
              <w:rPr>
                <w:rFonts w:hint="default" w:ascii="Times New Roman" w:hAnsi="Times New Roman" w:eastAsia="宋体" w:cs="Times New Roman"/>
                <w:color w:val="auto"/>
                <w:sz w:val="21"/>
                <w:szCs w:val="20"/>
                <w:highlight w:val="none"/>
                <w:lang w:val="en-US" w:eastAsia="zh-CN"/>
              </w:rPr>
              <w:t>3.3</w:t>
            </w:r>
          </w:p>
        </w:tc>
        <w:tc>
          <w:tcPr>
            <w:tcW w:w="1501" w:type="dxa"/>
            <w:tcBorders>
              <w:top w:val="single" w:color="auto" w:sz="4" w:space="0"/>
              <w:left w:val="single" w:color="auto" w:sz="4" w:space="0"/>
              <w:bottom w:val="single" w:color="auto" w:sz="4" w:space="0"/>
              <w:right w:val="single" w:color="auto" w:sz="4" w:space="0"/>
            </w:tcBorders>
            <w:vAlign w:val="center"/>
          </w:tcPr>
          <w:p w14:paraId="7F9B3A4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kern w:val="0"/>
                <w:sz w:val="21"/>
                <w:szCs w:val="21"/>
                <w:highlight w:val="none"/>
                <w:lang w:val="zh-CN"/>
              </w:rPr>
              <w:t>60%</w:t>
            </w:r>
          </w:p>
        </w:tc>
        <w:tc>
          <w:tcPr>
            <w:tcW w:w="1501" w:type="dxa"/>
            <w:tcBorders>
              <w:top w:val="single" w:color="auto" w:sz="4" w:space="0"/>
              <w:left w:val="single" w:color="auto" w:sz="4" w:space="0"/>
              <w:bottom w:val="single" w:color="auto" w:sz="4" w:space="0"/>
              <w:right w:val="single" w:color="auto" w:sz="4" w:space="0"/>
            </w:tcBorders>
            <w:vAlign w:val="center"/>
          </w:tcPr>
          <w:p w14:paraId="2BF9EDC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val="en-US" w:eastAsia="zh-CN"/>
              </w:rPr>
            </w:pPr>
            <w:r>
              <w:rPr>
                <w:rFonts w:hint="default" w:ascii="Times New Roman" w:hAnsi="Times New Roman" w:eastAsia="宋体" w:cs="Times New Roman"/>
                <w:color w:val="auto"/>
                <w:sz w:val="21"/>
                <w:szCs w:val="20"/>
                <w:highlight w:val="none"/>
                <w:lang w:val="en-US" w:eastAsia="zh-CN"/>
              </w:rPr>
              <w:t>1.3</w:t>
            </w:r>
          </w:p>
        </w:tc>
        <w:tc>
          <w:tcPr>
            <w:tcW w:w="1501" w:type="dxa"/>
            <w:tcBorders>
              <w:top w:val="single" w:color="auto" w:sz="4" w:space="0"/>
              <w:left w:val="single" w:color="auto" w:sz="4" w:space="0"/>
              <w:bottom w:val="single" w:color="auto" w:sz="4" w:space="0"/>
              <w:right w:val="single" w:color="auto" w:sz="4" w:space="0"/>
            </w:tcBorders>
            <w:vAlign w:val="center"/>
          </w:tcPr>
          <w:p w14:paraId="1BEBFEE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val="en-US"/>
              </w:rPr>
            </w:pPr>
            <w:r>
              <w:rPr>
                <w:rFonts w:hint="default" w:ascii="Times New Roman" w:hAnsi="Times New Roman" w:eastAsia="宋体" w:cs="Times New Roman"/>
                <w:color w:val="auto"/>
                <w:sz w:val="21"/>
                <w:szCs w:val="20"/>
                <w:highlight w:val="none"/>
                <w:lang w:val="en-US" w:eastAsia="zh-CN"/>
              </w:rPr>
              <w:t>0.006</w:t>
            </w:r>
          </w:p>
        </w:tc>
      </w:tr>
    </w:tbl>
    <w:p w14:paraId="43C800B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②液化石油气的燃烧废气</w:t>
      </w:r>
    </w:p>
    <w:p w14:paraId="22DFF64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煮食燃料为罐装液化石油气，按照煮食人均耗0.2Nm</w:t>
      </w:r>
      <w:r>
        <w:rPr>
          <w:rFonts w:hint="default" w:ascii="Times New Roman" w:hAnsi="Times New Roman" w:eastAsia="宋体" w:cs="Times New Roman"/>
          <w:color w:val="auto"/>
          <w:highlight w:val="none"/>
          <w:vertAlign w:val="superscript"/>
          <w:lang w:val="zh-CN"/>
        </w:rPr>
        <w:t>2</w:t>
      </w:r>
      <w:r>
        <w:rPr>
          <w:rFonts w:hint="default" w:ascii="Times New Roman" w:hAnsi="Times New Roman" w:eastAsia="宋体" w:cs="Times New Roman"/>
          <w:color w:val="auto"/>
          <w:highlight w:val="none"/>
          <w:lang w:val="zh-CN"/>
        </w:rPr>
        <w:t>/d，劳动定员为</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lang w:val="zh-CN"/>
        </w:rPr>
        <w:t>0人，耗气量为</w:t>
      </w:r>
      <w:r>
        <w:rPr>
          <w:rFonts w:hint="default" w:ascii="Times New Roman" w:hAnsi="Times New Roman" w:eastAsia="宋体" w:cs="Times New Roman"/>
          <w:color w:val="auto"/>
          <w:highlight w:val="none"/>
          <w:lang w:val="en-US" w:eastAsia="zh-CN"/>
        </w:rPr>
        <w:t>3650</w:t>
      </w:r>
      <w:r>
        <w:rPr>
          <w:rFonts w:hint="default" w:ascii="Times New Roman" w:hAnsi="Times New Roman" w:eastAsia="宋体" w:cs="Times New Roman"/>
          <w:color w:val="auto"/>
          <w:highlight w:val="none"/>
          <w:lang w:val="zh-CN"/>
        </w:rPr>
        <w:t>m</w:t>
      </w:r>
      <w:r>
        <w:rPr>
          <w:rFonts w:hint="default" w:ascii="Times New Roman" w:hAnsi="Times New Roman" w:eastAsia="宋体" w:cs="Times New Roman"/>
          <w:color w:val="auto"/>
          <w:highlight w:val="none"/>
          <w:vertAlign w:val="superscript"/>
          <w:lang w:val="zh-CN"/>
        </w:rPr>
        <w:t>3</w:t>
      </w:r>
      <w:r>
        <w:rPr>
          <w:rFonts w:hint="default" w:ascii="Times New Roman" w:hAnsi="Times New Roman" w:eastAsia="宋体" w:cs="Times New Roman"/>
          <w:color w:val="auto"/>
          <w:highlight w:val="none"/>
          <w:lang w:val="zh-CN"/>
        </w:rPr>
        <w:t>/a。本项目燃烧废气参照《排放源统计调查产排污核算方法和系数手册》（公告2021年第24号）--生活污染源产排污系数手册</w:t>
      </w:r>
      <w:r>
        <w:rPr>
          <w:rFonts w:hint="default" w:ascii="Times New Roman" w:hAnsi="Times New Roman" w:eastAsia="宋体" w:cs="Times New Roman"/>
          <w:color w:val="auto"/>
          <w:highlight w:val="none"/>
          <w:lang w:val="en-US" w:eastAsia="zh-CN"/>
        </w:rPr>
        <w:t>--第三部分生活及其他大气污染物排放系数</w:t>
      </w:r>
      <w:r>
        <w:rPr>
          <w:rFonts w:hint="default" w:ascii="Times New Roman" w:hAnsi="Times New Roman" w:eastAsia="宋体" w:cs="Times New Roman"/>
          <w:color w:val="auto"/>
          <w:highlight w:val="none"/>
          <w:lang w:val="zh-CN"/>
        </w:rPr>
        <w:t>，燃料的污染物排放因子及本项目废气污染物排放量见下表：</w:t>
      </w:r>
    </w:p>
    <w:p w14:paraId="7C6D60C4">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表3.3-</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lang w:val="zh-CN"/>
        </w:rPr>
        <w:t>食堂燃料燃烧废气污染物排放情况表</w:t>
      </w:r>
    </w:p>
    <w:tbl>
      <w:tblPr>
        <w:tblStyle w:val="41"/>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067"/>
        <w:gridCol w:w="2070"/>
        <w:gridCol w:w="2070"/>
        <w:gridCol w:w="2070"/>
      </w:tblGrid>
      <w:tr w14:paraId="451F4B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00" w:type="dxa"/>
            <w:tcBorders>
              <w:top w:val="single" w:color="auto" w:sz="4" w:space="0"/>
              <w:left w:val="single" w:color="auto" w:sz="4" w:space="0"/>
              <w:bottom w:val="single" w:color="auto" w:sz="4" w:space="0"/>
              <w:right w:val="single" w:color="auto" w:sz="4" w:space="0"/>
            </w:tcBorders>
            <w:vAlign w:val="center"/>
          </w:tcPr>
          <w:p w14:paraId="58566B3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CN"/>
              </w:rPr>
              <w:t>污染物</w:t>
            </w:r>
          </w:p>
        </w:tc>
        <w:tc>
          <w:tcPr>
            <w:tcW w:w="1801" w:type="dxa"/>
            <w:tcBorders>
              <w:top w:val="single" w:color="auto" w:sz="4" w:space="0"/>
              <w:left w:val="single" w:color="auto" w:sz="4" w:space="0"/>
              <w:bottom w:val="single" w:color="auto" w:sz="4" w:space="0"/>
              <w:right w:val="single" w:color="auto" w:sz="4" w:space="0"/>
            </w:tcBorders>
            <w:vAlign w:val="center"/>
          </w:tcPr>
          <w:p w14:paraId="0DF9FBB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CN"/>
              </w:rPr>
              <w:t>颗粒物</w:t>
            </w:r>
          </w:p>
        </w:tc>
        <w:tc>
          <w:tcPr>
            <w:tcW w:w="1801" w:type="dxa"/>
            <w:tcBorders>
              <w:top w:val="single" w:color="auto" w:sz="4" w:space="0"/>
              <w:left w:val="single" w:color="auto" w:sz="4" w:space="0"/>
              <w:bottom w:val="single" w:color="auto" w:sz="4" w:space="0"/>
              <w:right w:val="single" w:color="auto" w:sz="4" w:space="0"/>
            </w:tcBorders>
            <w:vAlign w:val="center"/>
          </w:tcPr>
          <w:p w14:paraId="2FCA009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CN"/>
              </w:rPr>
              <w:t>SO</w:t>
            </w:r>
            <w:r>
              <w:rPr>
                <w:rFonts w:hint="default" w:ascii="Times New Roman" w:hAnsi="Times New Roman" w:eastAsia="宋体" w:cs="Times New Roman"/>
                <w:color w:val="auto"/>
                <w:sz w:val="21"/>
                <w:szCs w:val="21"/>
                <w:highlight w:val="none"/>
                <w:vertAlign w:val="subscript"/>
                <w:lang w:val="zh-CN"/>
              </w:rPr>
              <w:t>2</w:t>
            </w:r>
          </w:p>
        </w:tc>
        <w:tc>
          <w:tcPr>
            <w:tcW w:w="1801" w:type="dxa"/>
            <w:tcBorders>
              <w:top w:val="single" w:color="auto" w:sz="4" w:space="0"/>
              <w:left w:val="single" w:color="auto" w:sz="4" w:space="0"/>
              <w:bottom w:val="single" w:color="auto" w:sz="4" w:space="0"/>
              <w:right w:val="single" w:color="auto" w:sz="4" w:space="0"/>
            </w:tcBorders>
            <w:vAlign w:val="center"/>
          </w:tcPr>
          <w:p w14:paraId="6A65352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CN"/>
              </w:rPr>
              <w:t>NO</w:t>
            </w:r>
            <w:r>
              <w:rPr>
                <w:rFonts w:hint="default" w:ascii="Times New Roman" w:hAnsi="Times New Roman" w:eastAsia="宋体" w:cs="Times New Roman"/>
                <w:color w:val="auto"/>
                <w:sz w:val="21"/>
                <w:szCs w:val="21"/>
                <w:highlight w:val="none"/>
                <w:vertAlign w:val="subscript"/>
                <w:lang w:val="zh-CN"/>
              </w:rPr>
              <w:t>x</w:t>
            </w:r>
          </w:p>
        </w:tc>
      </w:tr>
      <w:tr w14:paraId="404EBE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00" w:type="dxa"/>
            <w:tcBorders>
              <w:top w:val="single" w:color="auto" w:sz="4" w:space="0"/>
              <w:left w:val="single" w:color="auto" w:sz="4" w:space="0"/>
              <w:bottom w:val="single" w:color="auto" w:sz="4" w:space="0"/>
              <w:right w:val="single" w:color="auto" w:sz="4" w:space="0"/>
            </w:tcBorders>
            <w:vAlign w:val="center"/>
          </w:tcPr>
          <w:p w14:paraId="40956C7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CN"/>
              </w:rPr>
              <w:t>产污系数</w:t>
            </w:r>
          </w:p>
        </w:tc>
        <w:tc>
          <w:tcPr>
            <w:tcW w:w="1801" w:type="dxa"/>
            <w:tcBorders>
              <w:top w:val="single" w:color="auto" w:sz="4" w:space="0"/>
              <w:left w:val="single" w:color="auto" w:sz="4" w:space="0"/>
              <w:bottom w:val="single" w:color="auto" w:sz="4" w:space="0"/>
              <w:right w:val="single" w:color="auto" w:sz="4" w:space="0"/>
            </w:tcBorders>
            <w:vAlign w:val="center"/>
          </w:tcPr>
          <w:p w14:paraId="5CDE621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1.1kg/万m</w:t>
            </w:r>
            <w:r>
              <w:rPr>
                <w:rFonts w:hint="default" w:ascii="Times New Roman" w:hAnsi="Times New Roman" w:eastAsia="宋体" w:cs="Times New Roman"/>
                <w:color w:val="auto"/>
                <w:sz w:val="21"/>
                <w:szCs w:val="21"/>
                <w:highlight w:val="none"/>
                <w:vertAlign w:val="superscript"/>
                <w:lang w:val="en-US" w:eastAsia="zh-CN"/>
              </w:rPr>
              <w:t>3</w:t>
            </w:r>
          </w:p>
        </w:tc>
        <w:tc>
          <w:tcPr>
            <w:tcW w:w="1801" w:type="dxa"/>
            <w:tcBorders>
              <w:top w:val="single" w:color="auto" w:sz="4" w:space="0"/>
              <w:left w:val="single" w:color="auto" w:sz="4" w:space="0"/>
              <w:bottom w:val="single" w:color="auto" w:sz="4" w:space="0"/>
              <w:right w:val="single" w:color="auto" w:sz="4" w:space="0"/>
            </w:tcBorders>
            <w:vAlign w:val="center"/>
          </w:tcPr>
          <w:p w14:paraId="7A4885E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5.4</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kg/万m</w:t>
            </w:r>
            <w:r>
              <w:rPr>
                <w:rFonts w:hint="default" w:ascii="Times New Roman" w:hAnsi="Times New Roman" w:eastAsia="宋体" w:cs="Times New Roman"/>
                <w:color w:val="auto"/>
                <w:sz w:val="21"/>
                <w:szCs w:val="21"/>
                <w:highlight w:val="none"/>
                <w:vertAlign w:val="superscript"/>
                <w:lang w:val="en-US" w:eastAsia="zh-CN"/>
              </w:rPr>
              <w:t>3</w:t>
            </w:r>
          </w:p>
        </w:tc>
        <w:tc>
          <w:tcPr>
            <w:tcW w:w="1801" w:type="dxa"/>
            <w:tcBorders>
              <w:top w:val="single" w:color="auto" w:sz="4" w:space="0"/>
              <w:left w:val="single" w:color="auto" w:sz="4" w:space="0"/>
              <w:bottom w:val="single" w:color="auto" w:sz="4" w:space="0"/>
              <w:right w:val="single" w:color="auto" w:sz="4" w:space="0"/>
            </w:tcBorders>
            <w:vAlign w:val="center"/>
          </w:tcPr>
          <w:p w14:paraId="59D101B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12kg/万m</w:t>
            </w:r>
            <w:r>
              <w:rPr>
                <w:rFonts w:hint="default" w:ascii="Times New Roman" w:hAnsi="Times New Roman" w:eastAsia="宋体" w:cs="Times New Roman"/>
                <w:color w:val="auto"/>
                <w:sz w:val="21"/>
                <w:szCs w:val="21"/>
                <w:highlight w:val="none"/>
                <w:vertAlign w:val="superscript"/>
                <w:lang w:val="en-US" w:eastAsia="zh-CN"/>
              </w:rPr>
              <w:t>3</w:t>
            </w:r>
          </w:p>
        </w:tc>
      </w:tr>
      <w:tr w14:paraId="7662FD2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00" w:type="dxa"/>
            <w:tcBorders>
              <w:top w:val="single" w:color="auto" w:sz="4" w:space="0"/>
              <w:left w:val="single" w:color="auto" w:sz="4" w:space="0"/>
              <w:bottom w:val="single" w:color="auto" w:sz="4" w:space="0"/>
              <w:right w:val="single" w:color="auto" w:sz="4" w:space="0"/>
            </w:tcBorders>
            <w:vAlign w:val="center"/>
          </w:tcPr>
          <w:p w14:paraId="6C4E5BE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CN"/>
              </w:rPr>
              <w:t>年排放量</w:t>
            </w:r>
          </w:p>
        </w:tc>
        <w:tc>
          <w:tcPr>
            <w:tcW w:w="1801" w:type="dxa"/>
            <w:tcBorders>
              <w:top w:val="single" w:color="auto" w:sz="4" w:space="0"/>
              <w:left w:val="single" w:color="auto" w:sz="4" w:space="0"/>
              <w:bottom w:val="single" w:color="auto" w:sz="4" w:space="0"/>
              <w:right w:val="single" w:color="auto" w:sz="4" w:space="0"/>
            </w:tcBorders>
            <w:vAlign w:val="center"/>
          </w:tcPr>
          <w:p w14:paraId="2ADD0B3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0.4015</w:t>
            </w:r>
            <w:r>
              <w:rPr>
                <w:rFonts w:hint="default" w:ascii="Times New Roman" w:hAnsi="Times New Roman" w:eastAsia="宋体" w:cs="Times New Roman"/>
                <w:color w:val="auto"/>
                <w:sz w:val="21"/>
                <w:szCs w:val="21"/>
                <w:highlight w:val="none"/>
              </w:rPr>
              <w:t>kg/a</w:t>
            </w:r>
          </w:p>
        </w:tc>
        <w:tc>
          <w:tcPr>
            <w:tcW w:w="1801" w:type="dxa"/>
            <w:tcBorders>
              <w:top w:val="single" w:color="auto" w:sz="4" w:space="0"/>
              <w:left w:val="single" w:color="auto" w:sz="4" w:space="0"/>
              <w:bottom w:val="single" w:color="auto" w:sz="4" w:space="0"/>
              <w:right w:val="single" w:color="auto" w:sz="4" w:space="0"/>
            </w:tcBorders>
            <w:vAlign w:val="center"/>
          </w:tcPr>
          <w:p w14:paraId="4F572D3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0.002</w:t>
            </w:r>
            <w:r>
              <w:rPr>
                <w:rFonts w:hint="default" w:ascii="Times New Roman" w:hAnsi="Times New Roman" w:eastAsia="宋体" w:cs="Times New Roman"/>
                <w:color w:val="auto"/>
                <w:sz w:val="21"/>
                <w:szCs w:val="21"/>
                <w:highlight w:val="none"/>
              </w:rPr>
              <w:t>kg/a</w:t>
            </w:r>
          </w:p>
        </w:tc>
        <w:tc>
          <w:tcPr>
            <w:tcW w:w="1801" w:type="dxa"/>
            <w:tcBorders>
              <w:top w:val="single" w:color="auto" w:sz="4" w:space="0"/>
              <w:left w:val="single" w:color="auto" w:sz="4" w:space="0"/>
              <w:bottom w:val="single" w:color="auto" w:sz="4" w:space="0"/>
              <w:right w:val="single" w:color="auto" w:sz="4" w:space="0"/>
            </w:tcBorders>
            <w:vAlign w:val="center"/>
          </w:tcPr>
          <w:p w14:paraId="472B978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4.38</w:t>
            </w:r>
            <w:r>
              <w:rPr>
                <w:rFonts w:hint="default" w:ascii="Times New Roman" w:hAnsi="Times New Roman" w:eastAsia="宋体" w:cs="Times New Roman"/>
                <w:color w:val="auto"/>
                <w:sz w:val="21"/>
                <w:szCs w:val="21"/>
                <w:highlight w:val="none"/>
              </w:rPr>
              <w:t>kg/a</w:t>
            </w:r>
          </w:p>
        </w:tc>
      </w:tr>
    </w:tbl>
    <w:p w14:paraId="557F28AC">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269" w:name="_Toc30642"/>
      <w:r>
        <w:rPr>
          <w:rFonts w:hint="default" w:ascii="Times New Roman" w:hAnsi="Times New Roman" w:eastAsia="宋体" w:cs="Times New Roman"/>
          <w:color w:val="auto"/>
          <w:highlight w:val="none"/>
        </w:rPr>
        <w:t>3.3.2水污染物</w:t>
      </w:r>
      <w:bookmarkEnd w:id="268"/>
      <w:bookmarkEnd w:id="269"/>
    </w:p>
    <w:p w14:paraId="59D0B178">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outlineLvl w:val="2"/>
        <w:rPr>
          <w:rFonts w:hint="default" w:ascii="Times New Roman" w:hAnsi="Times New Roman" w:eastAsia="宋体" w:cs="Times New Roman"/>
          <w:color w:val="auto"/>
          <w:highlight w:val="none"/>
          <w:lang w:eastAsia="zh-CN"/>
        </w:rPr>
      </w:pPr>
      <w:bookmarkStart w:id="270" w:name="_Toc7338"/>
      <w:bookmarkStart w:id="271" w:name="_Toc20185"/>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）牛尿</w:t>
      </w:r>
      <w:bookmarkEnd w:id="270"/>
      <w:bookmarkEnd w:id="271"/>
    </w:p>
    <w:p w14:paraId="3912D977">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牛群饮用水部分用于自身生长及运动消耗，其余部分以尿液的形式排出。根据《畜禽养殖业污染治理工程技术规范》（HJ497</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2009）附录A</w:t>
      </w:r>
      <w:r>
        <w:rPr>
          <w:rFonts w:hint="default" w:ascii="Times New Roman" w:hAnsi="Times New Roman" w:eastAsia="宋体" w:cs="Times New Roman"/>
          <w:color w:val="auto"/>
          <w:highlight w:val="none"/>
          <w:lang w:eastAsia="zh-CN"/>
        </w:rPr>
        <w:t>牛群尿液</w:t>
      </w:r>
      <w:r>
        <w:rPr>
          <w:rFonts w:hint="default" w:ascii="Times New Roman" w:hAnsi="Times New Roman" w:eastAsia="宋体" w:cs="Times New Roman"/>
          <w:color w:val="auto"/>
          <w:highlight w:val="none"/>
        </w:rPr>
        <w:t>产生量以</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0kg/头•d计，</w:t>
      </w:r>
      <w:r>
        <w:rPr>
          <w:rFonts w:hint="default" w:ascii="Times New Roman" w:hAnsi="Times New Roman" w:eastAsia="宋体" w:cs="Times New Roman"/>
          <w:color w:val="auto"/>
          <w:highlight w:val="none"/>
          <w:lang w:eastAsia="zh-CN"/>
        </w:rPr>
        <w:t>牛尿产生量为</w:t>
      </w:r>
      <w:r>
        <w:rPr>
          <w:rFonts w:hint="default" w:ascii="Times New Roman" w:hAnsi="Times New Roman" w:eastAsia="宋体" w:cs="Times New Roman"/>
          <w:color w:val="auto"/>
          <w:highlight w:val="none"/>
          <w:lang w:val="en-US" w:eastAsia="zh-CN"/>
        </w:rPr>
        <w:t>25</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9125m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/a</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w:t>
      </w:r>
    </w:p>
    <w:p w14:paraId="512B67F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8"/>
          <w:highlight w:val="none"/>
        </w:rPr>
        <w:t>本项目</w:t>
      </w:r>
      <w:r>
        <w:rPr>
          <w:rFonts w:hint="default" w:ascii="Times New Roman" w:hAnsi="Times New Roman" w:eastAsia="宋体" w:cs="Times New Roman"/>
          <w:color w:val="auto"/>
          <w:kern w:val="0"/>
          <w:sz w:val="24"/>
          <w:szCs w:val="24"/>
          <w:highlight w:val="none"/>
          <w:lang w:eastAsia="zh-CN"/>
        </w:rPr>
        <w:t>肉牛饲养过程中饮用水量较少，排放的尿液较少，并且牛粪较为干燥，在</w:t>
      </w:r>
      <w:r>
        <w:rPr>
          <w:rFonts w:hint="default" w:ascii="Times New Roman" w:hAnsi="Times New Roman" w:eastAsia="宋体" w:cs="Times New Roman"/>
          <w:color w:val="auto"/>
          <w:kern w:val="0"/>
          <w:sz w:val="24"/>
          <w:szCs w:val="24"/>
          <w:highlight w:val="none"/>
        </w:rPr>
        <w:t>养殖区</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牛舍</w:t>
      </w:r>
      <w:r>
        <w:rPr>
          <w:rFonts w:hint="default" w:ascii="Times New Roman" w:hAnsi="Times New Roman" w:eastAsia="宋体" w:cs="Times New Roman"/>
          <w:color w:val="auto"/>
          <w:kern w:val="0"/>
          <w:sz w:val="24"/>
          <w:szCs w:val="24"/>
          <w:highlight w:val="none"/>
          <w:lang w:eastAsia="zh-CN"/>
        </w:rPr>
        <w:t>、运动场）排放的尿液大部分由于当地气候干燥蒸发，剩余尿液与粪便完全黏结混合在一起，一起运往粪污处理池</w:t>
      </w:r>
      <w:r>
        <w:rPr>
          <w:rFonts w:hint="default" w:ascii="Times New Roman" w:hAnsi="Times New Roman" w:eastAsia="宋体" w:cs="Times New Roman"/>
          <w:color w:val="auto"/>
          <w:kern w:val="0"/>
          <w:sz w:val="24"/>
          <w:szCs w:val="24"/>
          <w:highlight w:val="none"/>
        </w:rPr>
        <w:t>储存并堆肥</w:t>
      </w:r>
      <w:r>
        <w:rPr>
          <w:rFonts w:hint="default" w:ascii="Times New Roman" w:hAnsi="Times New Roman" w:eastAsia="宋体" w:cs="Times New Roman"/>
          <w:color w:val="auto"/>
          <w:kern w:val="0"/>
          <w:sz w:val="24"/>
          <w:szCs w:val="24"/>
          <w:highlight w:val="none"/>
          <w:lang w:eastAsia="zh-CN"/>
        </w:rPr>
        <w:t>，因此，没有尿液排放；</w:t>
      </w:r>
      <w:r>
        <w:rPr>
          <w:rFonts w:hint="default" w:ascii="Times New Roman" w:hAnsi="Times New Roman" w:eastAsia="宋体" w:cs="Times New Roman"/>
          <w:color w:val="auto"/>
          <w:kern w:val="0"/>
          <w:sz w:val="24"/>
          <w:szCs w:val="24"/>
          <w:highlight w:val="none"/>
        </w:rPr>
        <w:t>养殖区</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牛舍</w:t>
      </w:r>
      <w:r>
        <w:rPr>
          <w:rFonts w:hint="default" w:ascii="Times New Roman" w:hAnsi="Times New Roman" w:eastAsia="宋体" w:cs="Times New Roman"/>
          <w:color w:val="auto"/>
          <w:kern w:val="0"/>
          <w:sz w:val="24"/>
          <w:szCs w:val="24"/>
          <w:highlight w:val="none"/>
          <w:lang w:eastAsia="zh-CN"/>
        </w:rPr>
        <w:t>、运动场）场地不采取水冲洗方式清理，采用生石灰或者消毒水每周喷洒消毒</w:t>
      </w:r>
      <w:r>
        <w:rPr>
          <w:rFonts w:hint="default" w:ascii="Times New Roman" w:hAnsi="Times New Roman" w:eastAsia="宋体" w:cs="Times New Roman"/>
          <w:color w:val="auto"/>
          <w:kern w:val="0"/>
          <w:sz w:val="24"/>
          <w:szCs w:val="24"/>
          <w:highlight w:val="none"/>
          <w:lang w:val="en-US" w:eastAsia="zh-CN"/>
        </w:rPr>
        <w:t>2～3次</w:t>
      </w:r>
      <w:r>
        <w:rPr>
          <w:rFonts w:hint="default" w:ascii="Times New Roman" w:hAnsi="Times New Roman" w:eastAsia="宋体" w:cs="Times New Roman"/>
          <w:color w:val="auto"/>
          <w:kern w:val="0"/>
          <w:sz w:val="24"/>
          <w:szCs w:val="24"/>
          <w:highlight w:val="none"/>
          <w:lang w:eastAsia="zh-CN"/>
        </w:rPr>
        <w:t>，因此，</w:t>
      </w:r>
      <w:r>
        <w:rPr>
          <w:rFonts w:hint="default" w:ascii="Times New Roman" w:hAnsi="Times New Roman" w:eastAsia="宋体" w:cs="Times New Roman"/>
          <w:color w:val="auto"/>
          <w:kern w:val="0"/>
          <w:sz w:val="24"/>
          <w:szCs w:val="24"/>
          <w:highlight w:val="none"/>
        </w:rPr>
        <w:t>养殖区</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牛舍</w:t>
      </w:r>
      <w:r>
        <w:rPr>
          <w:rFonts w:hint="default" w:ascii="Times New Roman" w:hAnsi="Times New Roman" w:eastAsia="宋体" w:cs="Times New Roman"/>
          <w:color w:val="auto"/>
          <w:kern w:val="0"/>
          <w:sz w:val="24"/>
          <w:szCs w:val="24"/>
          <w:highlight w:val="none"/>
          <w:lang w:eastAsia="zh-CN"/>
        </w:rPr>
        <w:t>、运动场）</w:t>
      </w:r>
      <w:r>
        <w:rPr>
          <w:rFonts w:hint="default" w:ascii="Times New Roman" w:hAnsi="Times New Roman" w:eastAsia="宋体" w:cs="Times New Roman"/>
          <w:color w:val="auto"/>
          <w:kern w:val="0"/>
          <w:sz w:val="24"/>
          <w:szCs w:val="24"/>
          <w:highlight w:val="none"/>
        </w:rPr>
        <w:t>不产生冲洗废水</w:t>
      </w:r>
      <w:r>
        <w:rPr>
          <w:rFonts w:hint="default" w:ascii="Times New Roman" w:hAnsi="Times New Roman" w:eastAsia="宋体" w:cs="Times New Roman"/>
          <w:color w:val="auto"/>
          <w:sz w:val="24"/>
          <w:szCs w:val="24"/>
          <w:highlight w:val="none"/>
        </w:rPr>
        <w:t>。</w:t>
      </w:r>
    </w:p>
    <w:p w14:paraId="53FB027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FF"/>
          <w:sz w:val="24"/>
          <w:szCs w:val="24"/>
          <w:highlight w:val="none"/>
          <w:lang w:val="en-US" w:eastAsia="zh-CN"/>
        </w:rPr>
      </w:pPr>
      <w:r>
        <w:rPr>
          <w:rFonts w:hint="default" w:ascii="Times New Roman" w:hAnsi="Times New Roman" w:eastAsia="宋体" w:cs="Times New Roman"/>
          <w:color w:val="0000FF"/>
          <w:sz w:val="24"/>
          <w:szCs w:val="24"/>
          <w:highlight w:val="none"/>
          <w:lang w:val="en-US" w:eastAsia="zh-CN"/>
        </w:rPr>
        <w:t>（</w:t>
      </w:r>
      <w:r>
        <w:rPr>
          <w:rFonts w:hint="default" w:ascii="Times New Roman" w:hAnsi="Times New Roman" w:eastAsia="宋体" w:cs="Times New Roman"/>
          <w:color w:val="0000FF"/>
          <w:sz w:val="24"/>
          <w:szCs w:val="24"/>
          <w:highlight w:val="none"/>
          <w:lang w:val="en-US" w:eastAsia="zh-CN"/>
        </w:rPr>
        <w:t>2</w:t>
      </w:r>
      <w:r>
        <w:rPr>
          <w:rFonts w:hint="default" w:ascii="Times New Roman" w:hAnsi="Times New Roman" w:eastAsia="宋体" w:cs="Times New Roman"/>
          <w:color w:val="0000FF"/>
          <w:sz w:val="24"/>
          <w:szCs w:val="24"/>
          <w:highlight w:val="none"/>
          <w:lang w:val="en-US" w:eastAsia="zh-CN"/>
        </w:rPr>
        <w:t>）锅炉排污水</w:t>
      </w:r>
    </w:p>
    <w:p w14:paraId="57E5D14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FF"/>
          <w:sz w:val="24"/>
          <w:szCs w:val="24"/>
          <w:highlight w:val="none"/>
          <w:lang w:val="en-US" w:eastAsia="zh-CN"/>
        </w:rPr>
      </w:pPr>
      <w:r>
        <w:rPr>
          <w:rFonts w:hint="default" w:ascii="Times New Roman" w:hAnsi="Times New Roman" w:eastAsia="宋体" w:cs="Times New Roman"/>
          <w:color w:val="0000FF"/>
          <w:sz w:val="24"/>
          <w:szCs w:val="24"/>
          <w:highlight w:val="none"/>
          <w:lang w:val="en-US" w:eastAsia="zh-CN"/>
        </w:rPr>
        <w:t>项目</w:t>
      </w:r>
      <w:r>
        <w:rPr>
          <w:rFonts w:hint="default" w:ascii="Times New Roman" w:hAnsi="Times New Roman" w:eastAsia="宋体" w:cs="Times New Roman"/>
          <w:color w:val="0000FF"/>
          <w:sz w:val="24"/>
          <w:szCs w:val="24"/>
          <w:highlight w:val="none"/>
          <w:lang w:val="en-US" w:eastAsia="zh-CN"/>
        </w:rPr>
        <w:t>电</w:t>
      </w:r>
      <w:r>
        <w:rPr>
          <w:rFonts w:hint="default" w:ascii="Times New Roman" w:hAnsi="Times New Roman" w:eastAsia="宋体" w:cs="Times New Roman"/>
          <w:color w:val="0000FF"/>
          <w:sz w:val="24"/>
          <w:szCs w:val="24"/>
          <w:highlight w:val="none"/>
          <w:lang w:val="en-US" w:eastAsia="zh-CN"/>
        </w:rPr>
        <w:t>锅炉排污水</w:t>
      </w:r>
      <w:r>
        <w:rPr>
          <w:rFonts w:hint="default" w:ascii="Times New Roman" w:hAnsi="Times New Roman" w:eastAsia="宋体" w:cs="Times New Roman"/>
          <w:color w:val="0000FF"/>
          <w:sz w:val="24"/>
          <w:szCs w:val="24"/>
          <w:highlight w:val="none"/>
        </w:rPr>
        <w:t>排放量为</w:t>
      </w:r>
      <w:r>
        <w:rPr>
          <w:rFonts w:hint="default" w:ascii="Times New Roman" w:hAnsi="Times New Roman" w:eastAsia="宋体" w:cs="Times New Roman"/>
          <w:color w:val="0000FF"/>
          <w:sz w:val="24"/>
          <w:szCs w:val="24"/>
          <w:highlight w:val="none"/>
          <w:lang w:val="en-US" w:eastAsia="zh-CN"/>
        </w:rPr>
        <w:t>2.</w:t>
      </w:r>
      <w:r>
        <w:rPr>
          <w:rFonts w:hint="default" w:ascii="Times New Roman" w:hAnsi="Times New Roman" w:eastAsia="宋体" w:cs="Times New Roman"/>
          <w:color w:val="0000FF"/>
          <w:sz w:val="24"/>
          <w:szCs w:val="24"/>
          <w:highlight w:val="none"/>
          <w:lang w:val="en-US" w:eastAsia="zh-CN"/>
        </w:rPr>
        <w:t>4</w:t>
      </w:r>
      <w:r>
        <w:rPr>
          <w:rFonts w:hint="default" w:ascii="Times New Roman" w:hAnsi="Times New Roman" w:eastAsia="宋体" w:cs="Times New Roman"/>
          <w:color w:val="0000FF"/>
          <w:sz w:val="24"/>
          <w:szCs w:val="24"/>
          <w:highlight w:val="none"/>
        </w:rPr>
        <w:t>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rPr>
        <w:t>/d（</w:t>
      </w:r>
      <w:r>
        <w:rPr>
          <w:rFonts w:hint="default" w:ascii="Times New Roman" w:hAnsi="Times New Roman" w:eastAsia="宋体" w:cs="Times New Roman"/>
          <w:color w:val="0000FF"/>
          <w:sz w:val="24"/>
          <w:szCs w:val="24"/>
          <w:highlight w:val="none"/>
          <w:lang w:val="en-US" w:eastAsia="zh-CN"/>
        </w:rPr>
        <w:t>432</w:t>
      </w:r>
      <w:r>
        <w:rPr>
          <w:rFonts w:hint="default" w:ascii="Times New Roman" w:hAnsi="Times New Roman" w:eastAsia="宋体" w:cs="Times New Roman"/>
          <w:color w:val="0000FF"/>
          <w:sz w:val="24"/>
          <w:szCs w:val="24"/>
          <w:highlight w:val="none"/>
        </w:rPr>
        <w:t>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rPr>
        <w:t>/a）</w:t>
      </w:r>
      <w:r>
        <w:rPr>
          <w:rFonts w:hint="default" w:ascii="Times New Roman" w:hAnsi="Times New Roman" w:eastAsia="宋体" w:cs="Times New Roman"/>
          <w:color w:val="0000FF"/>
          <w:sz w:val="24"/>
          <w:szCs w:val="24"/>
          <w:highlight w:val="none"/>
          <w:lang w:val="en-US" w:eastAsia="zh-CN"/>
        </w:rPr>
        <w:t>，用于厂区空地洒水降尘。</w:t>
      </w:r>
    </w:p>
    <w:p w14:paraId="0EB738A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FF"/>
          <w:sz w:val="24"/>
          <w:szCs w:val="24"/>
          <w:highlight w:val="none"/>
          <w:lang w:val="en-US" w:eastAsia="zh-CN"/>
        </w:rPr>
      </w:pPr>
      <w:r>
        <w:rPr>
          <w:rFonts w:hint="default" w:ascii="Times New Roman" w:hAnsi="Times New Roman" w:eastAsia="宋体" w:cs="Times New Roman"/>
          <w:color w:val="0000FF"/>
          <w:sz w:val="24"/>
          <w:szCs w:val="24"/>
          <w:highlight w:val="none"/>
          <w:lang w:val="en-US" w:eastAsia="zh-CN"/>
        </w:rPr>
        <w:t>（</w:t>
      </w:r>
      <w:r>
        <w:rPr>
          <w:rFonts w:hint="default" w:ascii="Times New Roman" w:hAnsi="Times New Roman" w:eastAsia="宋体" w:cs="Times New Roman"/>
          <w:color w:val="0000FF"/>
          <w:sz w:val="24"/>
          <w:szCs w:val="24"/>
          <w:highlight w:val="none"/>
          <w:lang w:val="en-US" w:eastAsia="zh-CN"/>
        </w:rPr>
        <w:t>3</w:t>
      </w:r>
      <w:r>
        <w:rPr>
          <w:rFonts w:hint="default" w:ascii="Times New Roman" w:hAnsi="Times New Roman" w:eastAsia="宋体" w:cs="Times New Roman"/>
          <w:color w:val="0000FF"/>
          <w:sz w:val="24"/>
          <w:szCs w:val="24"/>
          <w:highlight w:val="none"/>
          <w:lang w:val="en-US" w:eastAsia="zh-CN"/>
        </w:rPr>
        <w:t>）软水制备废水</w:t>
      </w:r>
    </w:p>
    <w:p w14:paraId="5C7F8ED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outlineLvl w:val="2"/>
        <w:rPr>
          <w:rFonts w:hint="default" w:ascii="Times New Roman" w:hAnsi="Times New Roman" w:eastAsia="宋体" w:cs="Times New Roman"/>
          <w:color w:val="auto"/>
          <w:highlight w:val="none"/>
          <w:lang w:eastAsia="zh-CN"/>
        </w:rPr>
      </w:pPr>
      <w:bookmarkStart w:id="272" w:name="_Toc23067"/>
      <w:bookmarkStart w:id="273" w:name="_Toc20613"/>
      <w:r>
        <w:rPr>
          <w:rFonts w:hint="default" w:ascii="Times New Roman" w:hAnsi="Times New Roman" w:eastAsia="宋体" w:cs="Times New Roman"/>
          <w:color w:val="0000FF"/>
          <w:sz w:val="24"/>
          <w:szCs w:val="24"/>
          <w:highlight w:val="none"/>
          <w:lang w:val="en-US" w:eastAsia="zh-CN"/>
        </w:rPr>
        <w:t>本项目采用软水制备装置制备软水，出软水效率约80%，则软水制备废水产生量为</w:t>
      </w:r>
      <w:r>
        <w:rPr>
          <w:rFonts w:hint="default" w:ascii="Times New Roman" w:hAnsi="Times New Roman" w:eastAsia="宋体" w:cs="Times New Roman"/>
          <w:color w:val="0000FF"/>
          <w:sz w:val="24"/>
          <w:szCs w:val="24"/>
          <w:highlight w:val="none"/>
          <w:lang w:val="en-US" w:eastAsia="zh-CN"/>
        </w:rPr>
        <w:t>1</w:t>
      </w:r>
      <w:r>
        <w:rPr>
          <w:rFonts w:hint="default" w:ascii="Times New Roman" w:hAnsi="Times New Roman" w:eastAsia="宋体" w:cs="Times New Roman"/>
          <w:color w:val="0000FF"/>
          <w:sz w:val="24"/>
          <w:szCs w:val="24"/>
          <w:highlight w:val="none"/>
          <w:lang w:val="en-US" w:eastAsia="zh-CN"/>
        </w:rPr>
        <w:t>.5</w:t>
      </w:r>
      <w:r>
        <w:rPr>
          <w:rFonts w:hint="default" w:ascii="Times New Roman" w:hAnsi="Times New Roman" w:eastAsia="宋体" w:cs="Times New Roman"/>
          <w:color w:val="0000FF"/>
          <w:sz w:val="24"/>
          <w:szCs w:val="24"/>
          <w:highlight w:val="none"/>
        </w:rPr>
        <w:t>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rPr>
        <w:t>/d（</w:t>
      </w:r>
      <w:r>
        <w:rPr>
          <w:rFonts w:hint="default" w:ascii="Times New Roman" w:hAnsi="Times New Roman" w:eastAsia="宋体" w:cs="Times New Roman"/>
          <w:color w:val="0000FF"/>
          <w:sz w:val="24"/>
          <w:szCs w:val="24"/>
          <w:highlight w:val="none"/>
          <w:lang w:val="en-US" w:eastAsia="zh-CN"/>
        </w:rPr>
        <w:t>270</w:t>
      </w:r>
      <w:r>
        <w:rPr>
          <w:rFonts w:hint="default" w:ascii="Times New Roman" w:hAnsi="Times New Roman" w:eastAsia="宋体" w:cs="Times New Roman"/>
          <w:color w:val="0000FF"/>
          <w:sz w:val="24"/>
          <w:szCs w:val="24"/>
          <w:highlight w:val="none"/>
          <w:lang w:eastAsia="zh-CN"/>
        </w:rPr>
        <w:t>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rPr>
        <w:t>/a）</w:t>
      </w:r>
      <w:r>
        <w:rPr>
          <w:rFonts w:hint="default" w:ascii="Times New Roman" w:hAnsi="Times New Roman" w:eastAsia="宋体" w:cs="Times New Roman"/>
          <w:color w:val="0000FF"/>
          <w:sz w:val="24"/>
          <w:szCs w:val="24"/>
          <w:highlight w:val="none"/>
          <w:lang w:val="en-US" w:eastAsia="zh-CN"/>
        </w:rPr>
        <w:t>，用于厂区空地洒水降尘</w:t>
      </w:r>
      <w:r>
        <w:rPr>
          <w:rFonts w:hint="default" w:ascii="Times New Roman" w:hAnsi="Times New Roman" w:eastAsia="宋体" w:cs="Times New Roman"/>
          <w:color w:val="0000FF"/>
          <w:sz w:val="24"/>
          <w:szCs w:val="24"/>
          <w:highlight w:val="none"/>
          <w:lang w:val="en-US" w:eastAsia="zh-CN"/>
        </w:rPr>
        <w:t>。</w:t>
      </w:r>
      <w:bookmarkEnd w:id="272"/>
      <w:bookmarkEnd w:id="273"/>
    </w:p>
    <w:p w14:paraId="0D2A7930">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outlineLvl w:val="2"/>
        <w:rPr>
          <w:rFonts w:hint="default" w:ascii="Times New Roman" w:hAnsi="Times New Roman" w:eastAsia="宋体" w:cs="Times New Roman"/>
          <w:color w:val="auto"/>
          <w:highlight w:val="none"/>
          <w:lang w:eastAsia="zh-CN"/>
        </w:rPr>
      </w:pPr>
      <w:bookmarkStart w:id="274" w:name="_Toc21930"/>
      <w:bookmarkStart w:id="275" w:name="_Toc29203"/>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eastAsia="zh-CN"/>
        </w:rPr>
        <w:t>）生活污水</w:t>
      </w:r>
      <w:bookmarkEnd w:id="274"/>
      <w:bookmarkEnd w:id="275"/>
    </w:p>
    <w:p w14:paraId="408FD311">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项目生活污水主要为职工生活污水，排水量</w:t>
      </w:r>
      <w:r>
        <w:rPr>
          <w:rFonts w:hint="default" w:ascii="Times New Roman" w:hAnsi="Times New Roman" w:eastAsia="宋体" w:cs="Times New Roman"/>
          <w:color w:val="auto"/>
          <w:sz w:val="24"/>
          <w:szCs w:val="24"/>
          <w:highlight w:val="none"/>
          <w:lang w:val="en-US" w:eastAsia="zh-CN"/>
        </w:rPr>
        <w:t>2.4</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876</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highlight w:val="none"/>
          <w:lang w:eastAsia="zh-CN"/>
        </w:rPr>
        <w:t>，经化粪池处理后，定期由当地环卫部门清运处置</w:t>
      </w:r>
      <w:r>
        <w:rPr>
          <w:rFonts w:hint="default" w:ascii="Times New Roman" w:hAnsi="Times New Roman" w:eastAsia="宋体" w:cs="Times New Roman"/>
          <w:color w:val="auto"/>
          <w:highlight w:val="none"/>
        </w:rPr>
        <w:t>。</w:t>
      </w:r>
    </w:p>
    <w:p w14:paraId="1804AEDE">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276" w:name="_Toc21668"/>
      <w:bookmarkStart w:id="277" w:name="_Toc46421101"/>
      <w:bookmarkStart w:id="278" w:name="_Toc23684"/>
      <w:r>
        <w:rPr>
          <w:rFonts w:hint="default" w:ascii="Times New Roman" w:hAnsi="Times New Roman" w:eastAsia="宋体" w:cs="Times New Roman"/>
          <w:color w:val="auto"/>
          <w:highlight w:val="none"/>
        </w:rPr>
        <w:t>3.3.3噪声</w:t>
      </w:r>
      <w:bookmarkEnd w:id="276"/>
      <w:bookmarkEnd w:id="277"/>
      <w:bookmarkEnd w:id="278"/>
    </w:p>
    <w:p w14:paraId="524EE9EF">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本项目噪声源主要为</w:t>
      </w:r>
      <w:r>
        <w:rPr>
          <w:rFonts w:hint="default" w:ascii="Times New Roman" w:hAnsi="Times New Roman" w:eastAsia="宋体" w:cs="Times New Roman"/>
          <w:color w:val="auto"/>
          <w:highlight w:val="none"/>
          <w:lang w:eastAsia="zh-CN"/>
        </w:rPr>
        <w:t>TMR混合机</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铲车</w:t>
      </w:r>
      <w:r>
        <w:rPr>
          <w:rFonts w:hint="default" w:ascii="Times New Roman" w:hAnsi="Times New Roman" w:eastAsia="宋体" w:cs="Times New Roman"/>
          <w:color w:val="auto"/>
          <w:highlight w:val="none"/>
        </w:rPr>
        <w:t>、风机、水泵等。噪声声级在</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0~</w:t>
      </w:r>
      <w:r>
        <w:rPr>
          <w:rFonts w:hint="default" w:ascii="Times New Roman" w:hAnsi="Times New Roman" w:eastAsia="宋体" w:cs="Times New Roman"/>
          <w:color w:val="auto"/>
          <w:highlight w:val="none"/>
          <w:lang w:val="en-US" w:eastAsia="zh-CN"/>
        </w:rPr>
        <w:t>85</w:t>
      </w:r>
      <w:r>
        <w:rPr>
          <w:rFonts w:hint="default" w:ascii="Times New Roman" w:hAnsi="Times New Roman" w:eastAsia="宋体" w:cs="Times New Roman"/>
          <w:color w:val="auto"/>
          <w:highlight w:val="none"/>
        </w:rPr>
        <w:t>dB</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A</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。本项目的噪声产生源强情况见下表。</w:t>
      </w:r>
    </w:p>
    <w:p w14:paraId="6DD35054">
      <w:pPr>
        <w:pStyle w:val="7"/>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表3.3-</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噪声产生源强一览表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0" w:type="dxa"/>
          <w:bottom w:w="0" w:type="dxa"/>
          <w:right w:w="0" w:type="dxa"/>
        </w:tblCellMar>
      </w:tblPr>
      <w:tblGrid>
        <w:gridCol w:w="407"/>
        <w:gridCol w:w="1060"/>
        <w:gridCol w:w="1484"/>
        <w:gridCol w:w="743"/>
        <w:gridCol w:w="2226"/>
        <w:gridCol w:w="984"/>
        <w:gridCol w:w="1373"/>
      </w:tblGrid>
      <w:tr w14:paraId="4DCB5E6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42" w:type="dxa"/>
            <w:tcBorders>
              <w:top w:val="single" w:color="auto" w:sz="4" w:space="0"/>
              <w:left w:val="single" w:color="auto" w:sz="4" w:space="0"/>
              <w:bottom w:val="single" w:color="auto" w:sz="4" w:space="0"/>
              <w:right w:val="single" w:color="auto" w:sz="4" w:space="0"/>
            </w:tcBorders>
            <w:vAlign w:val="center"/>
          </w:tcPr>
          <w:p w14:paraId="72F6F9D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2770" w:type="dxa"/>
            <w:gridSpan w:val="2"/>
            <w:tcBorders>
              <w:top w:val="single" w:color="auto" w:sz="4" w:space="0"/>
              <w:left w:val="single" w:color="auto" w:sz="4" w:space="0"/>
              <w:bottom w:val="single" w:color="auto" w:sz="4" w:space="0"/>
              <w:right w:val="single" w:color="auto" w:sz="4" w:space="0"/>
            </w:tcBorders>
            <w:vAlign w:val="center"/>
          </w:tcPr>
          <w:p w14:paraId="270D76A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噪声源</w:t>
            </w:r>
          </w:p>
        </w:tc>
        <w:tc>
          <w:tcPr>
            <w:tcW w:w="809" w:type="dxa"/>
            <w:tcBorders>
              <w:top w:val="single" w:color="auto" w:sz="4" w:space="0"/>
              <w:left w:val="single" w:color="auto" w:sz="4" w:space="0"/>
              <w:bottom w:val="single" w:color="auto" w:sz="4" w:space="0"/>
              <w:right w:val="single" w:color="auto" w:sz="4" w:space="0"/>
            </w:tcBorders>
            <w:vAlign w:val="center"/>
          </w:tcPr>
          <w:p w14:paraId="035603A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数量</w:t>
            </w:r>
          </w:p>
        </w:tc>
        <w:tc>
          <w:tcPr>
            <w:tcW w:w="2426" w:type="dxa"/>
            <w:tcBorders>
              <w:top w:val="single" w:color="auto" w:sz="4" w:space="0"/>
              <w:left w:val="single" w:color="auto" w:sz="4" w:space="0"/>
              <w:bottom w:val="single" w:color="auto" w:sz="4" w:space="0"/>
              <w:right w:val="single" w:color="auto" w:sz="4" w:space="0"/>
            </w:tcBorders>
            <w:vAlign w:val="center"/>
          </w:tcPr>
          <w:p w14:paraId="403AE52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治理措施</w:t>
            </w:r>
          </w:p>
        </w:tc>
        <w:tc>
          <w:tcPr>
            <w:tcW w:w="1071" w:type="dxa"/>
            <w:tcBorders>
              <w:top w:val="single" w:color="auto" w:sz="4" w:space="0"/>
              <w:left w:val="single" w:color="auto" w:sz="4" w:space="0"/>
              <w:bottom w:val="single" w:color="auto" w:sz="4" w:space="0"/>
              <w:right w:val="single" w:color="auto" w:sz="4" w:space="0"/>
            </w:tcBorders>
            <w:vAlign w:val="center"/>
          </w:tcPr>
          <w:p w14:paraId="79E52BB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源强dB</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A</w:t>
            </w:r>
            <w:r>
              <w:rPr>
                <w:rFonts w:hint="default" w:ascii="Times New Roman" w:hAnsi="Times New Roman" w:eastAsia="宋体" w:cs="Times New Roman"/>
                <w:color w:val="auto"/>
                <w:sz w:val="21"/>
                <w:szCs w:val="21"/>
                <w:highlight w:val="none"/>
                <w:lang w:eastAsia="zh-CN"/>
              </w:rPr>
              <w:t>）</w:t>
            </w:r>
          </w:p>
        </w:tc>
        <w:tc>
          <w:tcPr>
            <w:tcW w:w="1496" w:type="dxa"/>
            <w:tcBorders>
              <w:top w:val="single" w:color="auto" w:sz="4" w:space="0"/>
              <w:left w:val="single" w:color="auto" w:sz="4" w:space="0"/>
              <w:bottom w:val="single" w:color="auto" w:sz="4" w:space="0"/>
              <w:right w:val="single" w:color="auto" w:sz="4" w:space="0"/>
            </w:tcBorders>
            <w:vAlign w:val="center"/>
          </w:tcPr>
          <w:p w14:paraId="1015D53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排放强度dB</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A</w:t>
            </w:r>
            <w:r>
              <w:rPr>
                <w:rFonts w:hint="default" w:ascii="Times New Roman" w:hAnsi="Times New Roman" w:eastAsia="宋体" w:cs="Times New Roman"/>
                <w:color w:val="auto"/>
                <w:sz w:val="21"/>
                <w:szCs w:val="21"/>
                <w:highlight w:val="none"/>
                <w:lang w:eastAsia="zh-CN"/>
              </w:rPr>
              <w:t>）</w:t>
            </w:r>
          </w:p>
        </w:tc>
      </w:tr>
      <w:tr w14:paraId="28989A9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42" w:type="dxa"/>
            <w:tcBorders>
              <w:top w:val="single" w:color="auto" w:sz="4" w:space="0"/>
              <w:left w:val="single" w:color="auto" w:sz="4" w:space="0"/>
              <w:bottom w:val="single" w:color="auto" w:sz="4" w:space="0"/>
              <w:right w:val="single" w:color="auto" w:sz="4" w:space="0"/>
            </w:tcBorders>
            <w:vAlign w:val="center"/>
          </w:tcPr>
          <w:p w14:paraId="7EB7EEA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p>
        </w:tc>
        <w:tc>
          <w:tcPr>
            <w:tcW w:w="1154" w:type="dxa"/>
            <w:tcBorders>
              <w:top w:val="single" w:color="auto" w:sz="4" w:space="0"/>
              <w:left w:val="single" w:color="auto" w:sz="4" w:space="0"/>
              <w:bottom w:val="single" w:color="auto" w:sz="4" w:space="0"/>
              <w:right w:val="single" w:color="auto" w:sz="4" w:space="0"/>
            </w:tcBorders>
            <w:vAlign w:val="center"/>
          </w:tcPr>
          <w:p w14:paraId="33F6B41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牛舍</w:t>
            </w:r>
          </w:p>
        </w:tc>
        <w:tc>
          <w:tcPr>
            <w:tcW w:w="1616" w:type="dxa"/>
            <w:tcBorders>
              <w:top w:val="single" w:color="auto" w:sz="4" w:space="0"/>
              <w:left w:val="single" w:color="auto" w:sz="4" w:space="0"/>
              <w:bottom w:val="single" w:color="auto" w:sz="4" w:space="0"/>
              <w:right w:val="single" w:color="auto" w:sz="4" w:space="0"/>
            </w:tcBorders>
            <w:vAlign w:val="center"/>
          </w:tcPr>
          <w:p w14:paraId="52C6113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降温风扇</w:t>
            </w:r>
          </w:p>
        </w:tc>
        <w:tc>
          <w:tcPr>
            <w:tcW w:w="809" w:type="dxa"/>
            <w:tcBorders>
              <w:top w:val="single" w:color="auto" w:sz="4" w:space="0"/>
              <w:left w:val="single" w:color="auto" w:sz="4" w:space="0"/>
              <w:bottom w:val="single" w:color="auto" w:sz="4" w:space="0"/>
              <w:right w:val="single" w:color="auto" w:sz="4" w:space="0"/>
            </w:tcBorders>
            <w:vAlign w:val="center"/>
          </w:tcPr>
          <w:p w14:paraId="4E73814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w:t>
            </w:r>
          </w:p>
        </w:tc>
        <w:tc>
          <w:tcPr>
            <w:tcW w:w="2426" w:type="dxa"/>
            <w:tcBorders>
              <w:top w:val="single" w:color="auto" w:sz="4" w:space="0"/>
              <w:left w:val="single" w:color="auto" w:sz="4" w:space="0"/>
              <w:bottom w:val="single" w:color="auto" w:sz="4" w:space="0"/>
              <w:right w:val="single" w:color="auto" w:sz="4" w:space="0"/>
            </w:tcBorders>
            <w:vAlign w:val="center"/>
          </w:tcPr>
          <w:p w14:paraId="7702687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置于室内</w:t>
            </w:r>
          </w:p>
        </w:tc>
        <w:tc>
          <w:tcPr>
            <w:tcW w:w="1071" w:type="dxa"/>
            <w:tcBorders>
              <w:top w:val="single" w:color="auto" w:sz="4" w:space="0"/>
              <w:left w:val="single" w:color="auto" w:sz="4" w:space="0"/>
              <w:bottom w:val="single" w:color="auto" w:sz="4" w:space="0"/>
              <w:right w:val="single" w:color="auto" w:sz="4" w:space="0"/>
            </w:tcBorders>
            <w:vAlign w:val="center"/>
          </w:tcPr>
          <w:p w14:paraId="63B2221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c>
          <w:tcPr>
            <w:tcW w:w="1496" w:type="dxa"/>
            <w:tcBorders>
              <w:top w:val="single" w:color="auto" w:sz="4" w:space="0"/>
              <w:left w:val="single" w:color="auto" w:sz="4" w:space="0"/>
              <w:bottom w:val="single" w:color="auto" w:sz="4" w:space="0"/>
              <w:right w:val="single" w:color="auto" w:sz="4" w:space="0"/>
            </w:tcBorders>
            <w:vAlign w:val="center"/>
          </w:tcPr>
          <w:p w14:paraId="529EBC6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r>
      <w:tr w14:paraId="7A7D08D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42" w:type="dxa"/>
            <w:tcBorders>
              <w:top w:val="single" w:color="auto" w:sz="4" w:space="0"/>
              <w:left w:val="single" w:color="auto" w:sz="4" w:space="0"/>
              <w:bottom w:val="single" w:color="auto" w:sz="4" w:space="0"/>
              <w:right w:val="single" w:color="auto" w:sz="4" w:space="0"/>
            </w:tcBorders>
            <w:vAlign w:val="center"/>
          </w:tcPr>
          <w:p w14:paraId="251D782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1154" w:type="dxa"/>
            <w:vMerge w:val="restart"/>
            <w:tcBorders>
              <w:top w:val="single" w:color="auto" w:sz="4" w:space="0"/>
              <w:left w:val="single" w:color="auto" w:sz="4" w:space="0"/>
              <w:bottom w:val="single" w:color="auto" w:sz="4" w:space="0"/>
              <w:right w:val="single" w:color="auto" w:sz="4" w:space="0"/>
            </w:tcBorders>
            <w:vAlign w:val="center"/>
          </w:tcPr>
          <w:p w14:paraId="66C5951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饲料配料</w:t>
            </w:r>
          </w:p>
        </w:tc>
        <w:tc>
          <w:tcPr>
            <w:tcW w:w="1616" w:type="dxa"/>
            <w:tcBorders>
              <w:top w:val="single" w:color="auto" w:sz="4" w:space="0"/>
              <w:left w:val="single" w:color="auto" w:sz="4" w:space="0"/>
              <w:bottom w:val="single" w:color="auto" w:sz="4" w:space="0"/>
              <w:right w:val="single" w:color="auto" w:sz="4" w:space="0"/>
            </w:tcBorders>
            <w:vAlign w:val="center"/>
          </w:tcPr>
          <w:p w14:paraId="77F8EAF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TMR混合机</w:t>
            </w:r>
          </w:p>
        </w:tc>
        <w:tc>
          <w:tcPr>
            <w:tcW w:w="809" w:type="dxa"/>
            <w:tcBorders>
              <w:top w:val="single" w:color="auto" w:sz="4" w:space="0"/>
              <w:left w:val="single" w:color="auto" w:sz="4" w:space="0"/>
              <w:bottom w:val="single" w:color="auto" w:sz="4" w:space="0"/>
              <w:right w:val="single" w:color="auto" w:sz="4" w:space="0"/>
            </w:tcBorders>
            <w:vAlign w:val="center"/>
          </w:tcPr>
          <w:p w14:paraId="738A633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c>
          <w:tcPr>
            <w:tcW w:w="2426" w:type="dxa"/>
            <w:tcBorders>
              <w:top w:val="single" w:color="auto" w:sz="4" w:space="0"/>
              <w:left w:val="single" w:color="auto" w:sz="4" w:space="0"/>
              <w:bottom w:val="single" w:color="auto" w:sz="4" w:space="0"/>
              <w:right w:val="single" w:color="auto" w:sz="4" w:space="0"/>
            </w:tcBorders>
            <w:vAlign w:val="center"/>
          </w:tcPr>
          <w:p w14:paraId="727B18C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基础减振、建筑隔声</w:t>
            </w:r>
          </w:p>
        </w:tc>
        <w:tc>
          <w:tcPr>
            <w:tcW w:w="1071" w:type="dxa"/>
            <w:tcBorders>
              <w:top w:val="single" w:color="auto" w:sz="4" w:space="0"/>
              <w:left w:val="single" w:color="auto" w:sz="4" w:space="0"/>
              <w:bottom w:val="single" w:color="auto" w:sz="4" w:space="0"/>
              <w:right w:val="single" w:color="auto" w:sz="4" w:space="0"/>
            </w:tcBorders>
            <w:vAlign w:val="center"/>
          </w:tcPr>
          <w:p w14:paraId="358F097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85</w:t>
            </w:r>
          </w:p>
        </w:tc>
        <w:tc>
          <w:tcPr>
            <w:tcW w:w="1496" w:type="dxa"/>
            <w:tcBorders>
              <w:top w:val="single" w:color="auto" w:sz="4" w:space="0"/>
              <w:left w:val="single" w:color="auto" w:sz="4" w:space="0"/>
              <w:bottom w:val="single" w:color="auto" w:sz="4" w:space="0"/>
              <w:right w:val="single" w:color="auto" w:sz="4" w:space="0"/>
            </w:tcBorders>
            <w:vAlign w:val="center"/>
          </w:tcPr>
          <w:p w14:paraId="0174148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60</w:t>
            </w:r>
          </w:p>
        </w:tc>
      </w:tr>
      <w:tr w14:paraId="0E72D05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42" w:type="dxa"/>
            <w:tcBorders>
              <w:top w:val="single" w:color="auto" w:sz="4" w:space="0"/>
              <w:left w:val="single" w:color="auto" w:sz="4" w:space="0"/>
              <w:bottom w:val="single" w:color="auto" w:sz="4" w:space="0"/>
              <w:right w:val="single" w:color="auto" w:sz="4" w:space="0"/>
            </w:tcBorders>
            <w:vAlign w:val="center"/>
          </w:tcPr>
          <w:p w14:paraId="63A0C23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c>
          <w:tcPr>
            <w:tcW w:w="1154" w:type="dxa"/>
            <w:vMerge w:val="continue"/>
            <w:tcBorders>
              <w:top w:val="single" w:color="auto" w:sz="4" w:space="0"/>
              <w:left w:val="single" w:color="auto" w:sz="4" w:space="0"/>
              <w:bottom w:val="single" w:color="auto" w:sz="4" w:space="0"/>
              <w:right w:val="single" w:color="auto" w:sz="4" w:space="0"/>
            </w:tcBorders>
            <w:vAlign w:val="center"/>
          </w:tcPr>
          <w:p w14:paraId="46B3F9F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616" w:type="dxa"/>
            <w:tcBorders>
              <w:top w:val="single" w:color="auto" w:sz="4" w:space="0"/>
              <w:left w:val="single" w:color="auto" w:sz="4" w:space="0"/>
              <w:bottom w:val="single" w:color="auto" w:sz="4" w:space="0"/>
              <w:right w:val="single" w:color="auto" w:sz="4" w:space="0"/>
            </w:tcBorders>
            <w:vAlign w:val="center"/>
          </w:tcPr>
          <w:p w14:paraId="795C715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饲料粉碎机</w:t>
            </w:r>
          </w:p>
        </w:tc>
        <w:tc>
          <w:tcPr>
            <w:tcW w:w="809" w:type="dxa"/>
            <w:tcBorders>
              <w:top w:val="single" w:color="auto" w:sz="4" w:space="0"/>
              <w:left w:val="single" w:color="auto" w:sz="4" w:space="0"/>
              <w:bottom w:val="single" w:color="auto" w:sz="4" w:space="0"/>
              <w:right w:val="single" w:color="auto" w:sz="4" w:space="0"/>
            </w:tcBorders>
            <w:vAlign w:val="center"/>
          </w:tcPr>
          <w:p w14:paraId="66B56BA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p>
        </w:tc>
        <w:tc>
          <w:tcPr>
            <w:tcW w:w="2426" w:type="dxa"/>
            <w:tcBorders>
              <w:top w:val="single" w:color="auto" w:sz="4" w:space="0"/>
              <w:left w:val="single" w:color="auto" w:sz="4" w:space="0"/>
              <w:bottom w:val="single" w:color="auto" w:sz="4" w:space="0"/>
              <w:right w:val="single" w:color="auto" w:sz="4" w:space="0"/>
            </w:tcBorders>
            <w:vAlign w:val="center"/>
          </w:tcPr>
          <w:p w14:paraId="30C7F4F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基础减振、建筑隔声</w:t>
            </w:r>
          </w:p>
        </w:tc>
        <w:tc>
          <w:tcPr>
            <w:tcW w:w="1071" w:type="dxa"/>
            <w:tcBorders>
              <w:top w:val="single" w:color="auto" w:sz="4" w:space="0"/>
              <w:left w:val="single" w:color="auto" w:sz="4" w:space="0"/>
              <w:bottom w:val="single" w:color="auto" w:sz="4" w:space="0"/>
              <w:right w:val="single" w:color="auto" w:sz="4" w:space="0"/>
            </w:tcBorders>
            <w:vAlign w:val="center"/>
          </w:tcPr>
          <w:p w14:paraId="650E4C5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85</w:t>
            </w:r>
          </w:p>
        </w:tc>
        <w:tc>
          <w:tcPr>
            <w:tcW w:w="1496" w:type="dxa"/>
            <w:tcBorders>
              <w:top w:val="single" w:color="auto" w:sz="4" w:space="0"/>
              <w:left w:val="single" w:color="auto" w:sz="4" w:space="0"/>
              <w:bottom w:val="single" w:color="auto" w:sz="4" w:space="0"/>
              <w:right w:val="single" w:color="auto" w:sz="4" w:space="0"/>
            </w:tcBorders>
            <w:vAlign w:val="center"/>
          </w:tcPr>
          <w:p w14:paraId="54C97F9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r>
      <w:tr w14:paraId="32A1BD5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42" w:type="dxa"/>
            <w:tcBorders>
              <w:top w:val="single" w:color="auto" w:sz="4" w:space="0"/>
              <w:left w:val="single" w:color="auto" w:sz="4" w:space="0"/>
              <w:bottom w:val="single" w:color="auto" w:sz="4" w:space="0"/>
              <w:right w:val="single" w:color="auto" w:sz="4" w:space="0"/>
            </w:tcBorders>
            <w:vAlign w:val="center"/>
          </w:tcPr>
          <w:p w14:paraId="2BBB69E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w:t>
            </w:r>
          </w:p>
        </w:tc>
        <w:tc>
          <w:tcPr>
            <w:tcW w:w="1154" w:type="dxa"/>
            <w:vMerge w:val="continue"/>
            <w:tcBorders>
              <w:top w:val="single" w:color="auto" w:sz="4" w:space="0"/>
              <w:left w:val="single" w:color="auto" w:sz="4" w:space="0"/>
              <w:bottom w:val="single" w:color="auto" w:sz="4" w:space="0"/>
              <w:right w:val="single" w:color="auto" w:sz="4" w:space="0"/>
            </w:tcBorders>
            <w:vAlign w:val="center"/>
          </w:tcPr>
          <w:p w14:paraId="318047D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616" w:type="dxa"/>
            <w:tcBorders>
              <w:top w:val="single" w:color="auto" w:sz="4" w:space="0"/>
              <w:left w:val="single" w:color="auto" w:sz="4" w:space="0"/>
              <w:bottom w:val="single" w:color="auto" w:sz="4" w:space="0"/>
              <w:right w:val="single" w:color="auto" w:sz="4" w:space="0"/>
            </w:tcBorders>
            <w:vAlign w:val="center"/>
          </w:tcPr>
          <w:p w14:paraId="6B54B0E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精饲料配料机</w:t>
            </w:r>
          </w:p>
        </w:tc>
        <w:tc>
          <w:tcPr>
            <w:tcW w:w="809" w:type="dxa"/>
            <w:tcBorders>
              <w:top w:val="single" w:color="auto" w:sz="4" w:space="0"/>
              <w:left w:val="single" w:color="auto" w:sz="4" w:space="0"/>
              <w:bottom w:val="single" w:color="auto" w:sz="4" w:space="0"/>
              <w:right w:val="single" w:color="auto" w:sz="4" w:space="0"/>
            </w:tcBorders>
            <w:vAlign w:val="center"/>
          </w:tcPr>
          <w:p w14:paraId="3A4AA4B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2426" w:type="dxa"/>
            <w:tcBorders>
              <w:top w:val="single" w:color="auto" w:sz="4" w:space="0"/>
              <w:left w:val="single" w:color="auto" w:sz="4" w:space="0"/>
              <w:bottom w:val="single" w:color="auto" w:sz="4" w:space="0"/>
              <w:right w:val="single" w:color="auto" w:sz="4" w:space="0"/>
            </w:tcBorders>
            <w:vAlign w:val="center"/>
          </w:tcPr>
          <w:p w14:paraId="41512CD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基础减振、建筑隔声</w:t>
            </w:r>
          </w:p>
        </w:tc>
        <w:tc>
          <w:tcPr>
            <w:tcW w:w="1071" w:type="dxa"/>
            <w:tcBorders>
              <w:top w:val="single" w:color="auto" w:sz="4" w:space="0"/>
              <w:left w:val="single" w:color="auto" w:sz="4" w:space="0"/>
              <w:bottom w:val="single" w:color="auto" w:sz="4" w:space="0"/>
              <w:right w:val="single" w:color="auto" w:sz="4" w:space="0"/>
            </w:tcBorders>
            <w:vAlign w:val="center"/>
          </w:tcPr>
          <w:p w14:paraId="7091E1E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85</w:t>
            </w:r>
          </w:p>
        </w:tc>
        <w:tc>
          <w:tcPr>
            <w:tcW w:w="1496" w:type="dxa"/>
            <w:tcBorders>
              <w:top w:val="single" w:color="auto" w:sz="4" w:space="0"/>
              <w:left w:val="single" w:color="auto" w:sz="4" w:space="0"/>
              <w:bottom w:val="single" w:color="auto" w:sz="4" w:space="0"/>
              <w:right w:val="single" w:color="auto" w:sz="4" w:space="0"/>
            </w:tcBorders>
            <w:vAlign w:val="center"/>
          </w:tcPr>
          <w:p w14:paraId="791AB22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r>
      <w:tr w14:paraId="65A6BBD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42" w:type="dxa"/>
            <w:tcBorders>
              <w:top w:val="single" w:color="auto" w:sz="4" w:space="0"/>
              <w:left w:val="single" w:color="auto" w:sz="4" w:space="0"/>
              <w:bottom w:val="single" w:color="auto" w:sz="4" w:space="0"/>
              <w:right w:val="single" w:color="auto" w:sz="4" w:space="0"/>
            </w:tcBorders>
            <w:vAlign w:val="center"/>
          </w:tcPr>
          <w:p w14:paraId="49C67E4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1154" w:type="dxa"/>
            <w:vMerge w:val="continue"/>
            <w:tcBorders>
              <w:top w:val="single" w:color="auto" w:sz="4" w:space="0"/>
              <w:left w:val="single" w:color="auto" w:sz="4" w:space="0"/>
              <w:bottom w:val="single" w:color="auto" w:sz="4" w:space="0"/>
              <w:right w:val="single" w:color="auto" w:sz="4" w:space="0"/>
            </w:tcBorders>
            <w:vAlign w:val="center"/>
          </w:tcPr>
          <w:p w14:paraId="4E3C72A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616" w:type="dxa"/>
            <w:tcBorders>
              <w:top w:val="single" w:color="auto" w:sz="4" w:space="0"/>
              <w:left w:val="single" w:color="auto" w:sz="4" w:space="0"/>
              <w:bottom w:val="single" w:color="auto" w:sz="4" w:space="0"/>
              <w:right w:val="single" w:color="auto" w:sz="4" w:space="0"/>
            </w:tcBorders>
            <w:vAlign w:val="center"/>
          </w:tcPr>
          <w:p w14:paraId="1EC1E31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饲料分选设备</w:t>
            </w:r>
          </w:p>
        </w:tc>
        <w:tc>
          <w:tcPr>
            <w:tcW w:w="809" w:type="dxa"/>
            <w:tcBorders>
              <w:top w:val="single" w:color="auto" w:sz="4" w:space="0"/>
              <w:left w:val="single" w:color="auto" w:sz="4" w:space="0"/>
              <w:bottom w:val="single" w:color="auto" w:sz="4" w:space="0"/>
              <w:right w:val="single" w:color="auto" w:sz="4" w:space="0"/>
            </w:tcBorders>
            <w:vAlign w:val="center"/>
          </w:tcPr>
          <w:p w14:paraId="2234BCD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2426" w:type="dxa"/>
            <w:tcBorders>
              <w:top w:val="single" w:color="auto" w:sz="4" w:space="0"/>
              <w:left w:val="single" w:color="auto" w:sz="4" w:space="0"/>
              <w:bottom w:val="single" w:color="auto" w:sz="4" w:space="0"/>
              <w:right w:val="single" w:color="auto" w:sz="4" w:space="0"/>
            </w:tcBorders>
            <w:vAlign w:val="center"/>
          </w:tcPr>
          <w:p w14:paraId="6DE1F3F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基础减振、建筑隔声</w:t>
            </w:r>
          </w:p>
        </w:tc>
        <w:tc>
          <w:tcPr>
            <w:tcW w:w="1071" w:type="dxa"/>
            <w:tcBorders>
              <w:top w:val="single" w:color="auto" w:sz="4" w:space="0"/>
              <w:left w:val="single" w:color="auto" w:sz="4" w:space="0"/>
              <w:bottom w:val="single" w:color="auto" w:sz="4" w:space="0"/>
              <w:right w:val="single" w:color="auto" w:sz="4" w:space="0"/>
            </w:tcBorders>
            <w:vAlign w:val="center"/>
          </w:tcPr>
          <w:p w14:paraId="5C50A58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85</w:t>
            </w:r>
          </w:p>
        </w:tc>
        <w:tc>
          <w:tcPr>
            <w:tcW w:w="1496" w:type="dxa"/>
            <w:tcBorders>
              <w:top w:val="single" w:color="auto" w:sz="4" w:space="0"/>
              <w:left w:val="single" w:color="auto" w:sz="4" w:space="0"/>
              <w:bottom w:val="single" w:color="auto" w:sz="4" w:space="0"/>
              <w:right w:val="single" w:color="auto" w:sz="4" w:space="0"/>
            </w:tcBorders>
            <w:vAlign w:val="center"/>
          </w:tcPr>
          <w:p w14:paraId="5111E4A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r>
      <w:tr w14:paraId="3E1C907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42" w:type="dxa"/>
            <w:tcBorders>
              <w:top w:val="single" w:color="auto" w:sz="4" w:space="0"/>
              <w:left w:val="single" w:color="auto" w:sz="4" w:space="0"/>
              <w:bottom w:val="single" w:color="auto" w:sz="4" w:space="0"/>
              <w:right w:val="single" w:color="auto" w:sz="4" w:space="0"/>
            </w:tcBorders>
            <w:vAlign w:val="center"/>
          </w:tcPr>
          <w:p w14:paraId="0CA28D5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6</w:t>
            </w:r>
          </w:p>
        </w:tc>
        <w:tc>
          <w:tcPr>
            <w:tcW w:w="1154" w:type="dxa"/>
            <w:tcBorders>
              <w:top w:val="single" w:color="auto" w:sz="4" w:space="0"/>
              <w:left w:val="single" w:color="auto" w:sz="4" w:space="0"/>
              <w:bottom w:val="single" w:color="auto" w:sz="4" w:space="0"/>
              <w:right w:val="single" w:color="auto" w:sz="4" w:space="0"/>
            </w:tcBorders>
            <w:vAlign w:val="center"/>
          </w:tcPr>
          <w:p w14:paraId="686257A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供暖</w:t>
            </w:r>
          </w:p>
        </w:tc>
        <w:tc>
          <w:tcPr>
            <w:tcW w:w="1616" w:type="dxa"/>
            <w:tcBorders>
              <w:top w:val="single" w:color="auto" w:sz="4" w:space="0"/>
              <w:left w:val="single" w:color="auto" w:sz="4" w:space="0"/>
              <w:bottom w:val="single" w:color="auto" w:sz="4" w:space="0"/>
              <w:right w:val="single" w:color="auto" w:sz="4" w:space="0"/>
            </w:tcBorders>
            <w:vAlign w:val="center"/>
          </w:tcPr>
          <w:p w14:paraId="41A3195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eastAsia="宋体" w:cs="Times New Roman"/>
                <w:bCs/>
                <w:color w:val="0000FF"/>
                <w:sz w:val="21"/>
                <w:szCs w:val="21"/>
                <w:highlight w:val="none"/>
                <w:lang w:eastAsia="zh-CN"/>
              </w:rPr>
              <w:t>电锅炉</w:t>
            </w:r>
          </w:p>
        </w:tc>
        <w:tc>
          <w:tcPr>
            <w:tcW w:w="809" w:type="dxa"/>
            <w:tcBorders>
              <w:top w:val="single" w:color="auto" w:sz="4" w:space="0"/>
              <w:left w:val="single" w:color="auto" w:sz="4" w:space="0"/>
              <w:bottom w:val="single" w:color="auto" w:sz="4" w:space="0"/>
              <w:right w:val="single" w:color="auto" w:sz="4" w:space="0"/>
            </w:tcBorders>
            <w:vAlign w:val="center"/>
          </w:tcPr>
          <w:p w14:paraId="5901F18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i w:val="0"/>
                <w:color w:val="0000FF"/>
                <w:kern w:val="0"/>
                <w:sz w:val="21"/>
                <w:szCs w:val="21"/>
                <w:highlight w:val="none"/>
                <w:u w:val="none"/>
                <w:lang w:val="en-US" w:eastAsia="zh-CN" w:bidi="ar"/>
              </w:rPr>
            </w:pPr>
            <w:r>
              <w:rPr>
                <w:rFonts w:hint="default" w:ascii="Times New Roman" w:hAnsi="Times New Roman" w:eastAsia="宋体" w:cs="Times New Roman"/>
                <w:color w:val="0000FF"/>
                <w:sz w:val="21"/>
                <w:szCs w:val="21"/>
                <w:highlight w:val="none"/>
                <w:lang w:val="en-US" w:eastAsia="zh-CN"/>
              </w:rPr>
              <w:t>2</w:t>
            </w:r>
          </w:p>
        </w:tc>
        <w:tc>
          <w:tcPr>
            <w:tcW w:w="2426" w:type="dxa"/>
            <w:tcBorders>
              <w:top w:val="single" w:color="auto" w:sz="4" w:space="0"/>
              <w:left w:val="single" w:color="auto" w:sz="4" w:space="0"/>
              <w:bottom w:val="single" w:color="auto" w:sz="4" w:space="0"/>
              <w:right w:val="single" w:color="auto" w:sz="4" w:space="0"/>
            </w:tcBorders>
            <w:vAlign w:val="center"/>
          </w:tcPr>
          <w:p w14:paraId="1090F98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基础减振、建筑隔声</w:t>
            </w:r>
          </w:p>
        </w:tc>
        <w:tc>
          <w:tcPr>
            <w:tcW w:w="1071" w:type="dxa"/>
            <w:tcBorders>
              <w:top w:val="single" w:color="auto" w:sz="4" w:space="0"/>
              <w:left w:val="single" w:color="auto" w:sz="4" w:space="0"/>
              <w:bottom w:val="single" w:color="auto" w:sz="4" w:space="0"/>
              <w:right w:val="single" w:color="auto" w:sz="4" w:space="0"/>
            </w:tcBorders>
            <w:vAlign w:val="center"/>
          </w:tcPr>
          <w:p w14:paraId="132060C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8</w:t>
            </w:r>
            <w:r>
              <w:rPr>
                <w:rFonts w:hint="default" w:ascii="Times New Roman" w:hAnsi="Times New Roman" w:eastAsia="宋体" w:cs="Times New Roman"/>
                <w:color w:val="auto"/>
                <w:sz w:val="21"/>
                <w:szCs w:val="21"/>
                <w:highlight w:val="none"/>
                <w:lang w:val="en-US" w:eastAsia="zh-CN"/>
              </w:rPr>
              <w:t>0</w:t>
            </w:r>
          </w:p>
        </w:tc>
        <w:tc>
          <w:tcPr>
            <w:tcW w:w="1496" w:type="dxa"/>
            <w:tcBorders>
              <w:top w:val="single" w:color="auto" w:sz="4" w:space="0"/>
              <w:left w:val="single" w:color="auto" w:sz="4" w:space="0"/>
              <w:bottom w:val="single" w:color="auto" w:sz="4" w:space="0"/>
              <w:right w:val="single" w:color="auto" w:sz="4" w:space="0"/>
            </w:tcBorders>
            <w:vAlign w:val="center"/>
          </w:tcPr>
          <w:p w14:paraId="74C8708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55</w:t>
            </w:r>
          </w:p>
        </w:tc>
      </w:tr>
      <w:tr w14:paraId="2B2A3E4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42" w:type="dxa"/>
            <w:tcBorders>
              <w:top w:val="single" w:color="auto" w:sz="4" w:space="0"/>
              <w:left w:val="single" w:color="auto" w:sz="4" w:space="0"/>
              <w:bottom w:val="single" w:color="auto" w:sz="4" w:space="0"/>
              <w:right w:val="single" w:color="auto" w:sz="4" w:space="0"/>
            </w:tcBorders>
            <w:vAlign w:val="center"/>
          </w:tcPr>
          <w:p w14:paraId="24F84C0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7</w:t>
            </w:r>
          </w:p>
        </w:tc>
        <w:tc>
          <w:tcPr>
            <w:tcW w:w="1154" w:type="dxa"/>
            <w:tcBorders>
              <w:top w:val="single" w:color="auto" w:sz="4" w:space="0"/>
              <w:left w:val="single" w:color="auto" w:sz="4" w:space="0"/>
              <w:bottom w:val="single" w:color="auto" w:sz="4" w:space="0"/>
              <w:right w:val="single" w:color="auto" w:sz="4" w:space="0"/>
            </w:tcBorders>
            <w:vAlign w:val="center"/>
          </w:tcPr>
          <w:p w14:paraId="2E984BB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移动声源</w:t>
            </w:r>
          </w:p>
        </w:tc>
        <w:tc>
          <w:tcPr>
            <w:tcW w:w="1616" w:type="dxa"/>
            <w:tcBorders>
              <w:top w:val="single" w:color="auto" w:sz="4" w:space="0"/>
              <w:left w:val="single" w:color="auto" w:sz="4" w:space="0"/>
              <w:bottom w:val="single" w:color="auto" w:sz="4" w:space="0"/>
              <w:right w:val="single" w:color="auto" w:sz="4" w:space="0"/>
            </w:tcBorders>
            <w:vAlign w:val="center"/>
          </w:tcPr>
          <w:p w14:paraId="1470176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装载机</w:t>
            </w:r>
          </w:p>
        </w:tc>
        <w:tc>
          <w:tcPr>
            <w:tcW w:w="809" w:type="dxa"/>
            <w:tcBorders>
              <w:top w:val="single" w:color="auto" w:sz="4" w:space="0"/>
              <w:left w:val="single" w:color="auto" w:sz="4" w:space="0"/>
              <w:bottom w:val="single" w:color="auto" w:sz="4" w:space="0"/>
              <w:right w:val="single" w:color="auto" w:sz="4" w:space="0"/>
            </w:tcBorders>
            <w:vAlign w:val="center"/>
          </w:tcPr>
          <w:p w14:paraId="04B5725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w:t>
            </w:r>
          </w:p>
        </w:tc>
        <w:tc>
          <w:tcPr>
            <w:tcW w:w="2426" w:type="dxa"/>
            <w:tcBorders>
              <w:top w:val="single" w:color="auto" w:sz="4" w:space="0"/>
              <w:left w:val="single" w:color="auto" w:sz="4" w:space="0"/>
              <w:bottom w:val="single" w:color="auto" w:sz="4" w:space="0"/>
              <w:right w:val="single" w:color="auto" w:sz="4" w:space="0"/>
            </w:tcBorders>
            <w:vAlign w:val="center"/>
          </w:tcPr>
          <w:p w14:paraId="220411E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选用低噪声设备，定期维护保养</w:t>
            </w:r>
          </w:p>
        </w:tc>
        <w:tc>
          <w:tcPr>
            <w:tcW w:w="1071" w:type="dxa"/>
            <w:tcBorders>
              <w:top w:val="single" w:color="auto" w:sz="4" w:space="0"/>
              <w:left w:val="single" w:color="auto" w:sz="4" w:space="0"/>
              <w:bottom w:val="single" w:color="auto" w:sz="4" w:space="0"/>
              <w:right w:val="single" w:color="auto" w:sz="4" w:space="0"/>
            </w:tcBorders>
            <w:vAlign w:val="center"/>
          </w:tcPr>
          <w:p w14:paraId="2D50EE8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85</w:t>
            </w:r>
          </w:p>
        </w:tc>
        <w:tc>
          <w:tcPr>
            <w:tcW w:w="1496" w:type="dxa"/>
            <w:tcBorders>
              <w:top w:val="single" w:color="auto" w:sz="4" w:space="0"/>
              <w:left w:val="single" w:color="auto" w:sz="4" w:space="0"/>
              <w:bottom w:val="single" w:color="auto" w:sz="4" w:space="0"/>
              <w:right w:val="single" w:color="auto" w:sz="4" w:space="0"/>
            </w:tcBorders>
            <w:vAlign w:val="center"/>
          </w:tcPr>
          <w:p w14:paraId="37FDE0E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75</w:t>
            </w:r>
          </w:p>
        </w:tc>
      </w:tr>
      <w:tr w14:paraId="19DD7AD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42" w:type="dxa"/>
            <w:tcBorders>
              <w:top w:val="single" w:color="auto" w:sz="4" w:space="0"/>
              <w:left w:val="single" w:color="auto" w:sz="4" w:space="0"/>
              <w:bottom w:val="single" w:color="auto" w:sz="4" w:space="0"/>
              <w:right w:val="single" w:color="auto" w:sz="4" w:space="0"/>
            </w:tcBorders>
            <w:vAlign w:val="center"/>
          </w:tcPr>
          <w:p w14:paraId="1BCCAA6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w:t>
            </w:r>
          </w:p>
        </w:tc>
        <w:tc>
          <w:tcPr>
            <w:tcW w:w="1154" w:type="dxa"/>
            <w:tcBorders>
              <w:top w:val="single" w:color="auto" w:sz="4" w:space="0"/>
              <w:left w:val="single" w:color="auto" w:sz="4" w:space="0"/>
              <w:bottom w:val="single" w:color="auto" w:sz="4" w:space="0"/>
              <w:right w:val="single" w:color="auto" w:sz="4" w:space="0"/>
            </w:tcBorders>
            <w:vAlign w:val="center"/>
          </w:tcPr>
          <w:p w14:paraId="103F6CF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水泵室</w:t>
            </w:r>
          </w:p>
        </w:tc>
        <w:tc>
          <w:tcPr>
            <w:tcW w:w="1616" w:type="dxa"/>
            <w:tcBorders>
              <w:top w:val="single" w:color="auto" w:sz="4" w:space="0"/>
              <w:left w:val="single" w:color="auto" w:sz="4" w:space="0"/>
              <w:bottom w:val="single" w:color="auto" w:sz="4" w:space="0"/>
              <w:right w:val="single" w:color="auto" w:sz="4" w:space="0"/>
            </w:tcBorders>
            <w:vAlign w:val="center"/>
          </w:tcPr>
          <w:p w14:paraId="363CD63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水泵</w:t>
            </w:r>
          </w:p>
        </w:tc>
        <w:tc>
          <w:tcPr>
            <w:tcW w:w="809" w:type="dxa"/>
            <w:tcBorders>
              <w:top w:val="single" w:color="auto" w:sz="4" w:space="0"/>
              <w:left w:val="single" w:color="auto" w:sz="4" w:space="0"/>
              <w:bottom w:val="single" w:color="auto" w:sz="4" w:space="0"/>
              <w:right w:val="single" w:color="auto" w:sz="4" w:space="0"/>
            </w:tcBorders>
            <w:vAlign w:val="center"/>
          </w:tcPr>
          <w:p w14:paraId="13EB128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w:t>
            </w:r>
          </w:p>
        </w:tc>
        <w:tc>
          <w:tcPr>
            <w:tcW w:w="2426" w:type="dxa"/>
            <w:tcBorders>
              <w:top w:val="single" w:color="auto" w:sz="4" w:space="0"/>
              <w:left w:val="single" w:color="auto" w:sz="4" w:space="0"/>
              <w:bottom w:val="single" w:color="auto" w:sz="4" w:space="0"/>
              <w:right w:val="single" w:color="auto" w:sz="4" w:space="0"/>
            </w:tcBorders>
            <w:vAlign w:val="center"/>
          </w:tcPr>
          <w:p w14:paraId="16AE3E0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基础减振、建筑隔声</w:t>
            </w:r>
          </w:p>
        </w:tc>
        <w:tc>
          <w:tcPr>
            <w:tcW w:w="1071" w:type="dxa"/>
            <w:tcBorders>
              <w:top w:val="single" w:color="auto" w:sz="4" w:space="0"/>
              <w:left w:val="single" w:color="auto" w:sz="4" w:space="0"/>
              <w:bottom w:val="single" w:color="auto" w:sz="4" w:space="0"/>
              <w:right w:val="single" w:color="auto" w:sz="4" w:space="0"/>
            </w:tcBorders>
            <w:vAlign w:val="center"/>
          </w:tcPr>
          <w:p w14:paraId="08580F5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85</w:t>
            </w:r>
          </w:p>
        </w:tc>
        <w:tc>
          <w:tcPr>
            <w:tcW w:w="1496" w:type="dxa"/>
            <w:tcBorders>
              <w:top w:val="single" w:color="auto" w:sz="4" w:space="0"/>
              <w:left w:val="single" w:color="auto" w:sz="4" w:space="0"/>
              <w:bottom w:val="single" w:color="auto" w:sz="4" w:space="0"/>
              <w:right w:val="single" w:color="auto" w:sz="4" w:space="0"/>
            </w:tcBorders>
            <w:vAlign w:val="center"/>
          </w:tcPr>
          <w:p w14:paraId="6BBABC9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65</w:t>
            </w:r>
          </w:p>
        </w:tc>
      </w:tr>
    </w:tbl>
    <w:p w14:paraId="5C5B15B7">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本项目在选用低噪声新型设备基础上，将生产设备安置在厂房内，并对设备进行基础减振、封闭门窗等，可使噪声排放减少20~25dB</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A</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w:t>
      </w:r>
    </w:p>
    <w:p w14:paraId="67E00BF2">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279" w:name="_Toc23510"/>
      <w:bookmarkStart w:id="280" w:name="_Toc46421102"/>
      <w:r>
        <w:rPr>
          <w:rFonts w:hint="default" w:ascii="Times New Roman" w:hAnsi="Times New Roman" w:eastAsia="宋体" w:cs="Times New Roman"/>
          <w:color w:val="auto"/>
          <w:highlight w:val="none"/>
        </w:rPr>
        <w:t>3.3.4固体废弃物</w:t>
      </w:r>
      <w:bookmarkEnd w:id="279"/>
      <w:bookmarkEnd w:id="280"/>
    </w:p>
    <w:p w14:paraId="36E13A8C">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项目产生的固体废</w:t>
      </w:r>
      <w:r>
        <w:rPr>
          <w:rFonts w:hint="default" w:ascii="Times New Roman" w:hAnsi="Times New Roman" w:eastAsia="宋体" w:cs="Times New Roman"/>
          <w:color w:val="auto"/>
          <w:sz w:val="24"/>
          <w:szCs w:val="24"/>
          <w:highlight w:val="none"/>
        </w:rPr>
        <w:t>弃物主要包括</w:t>
      </w:r>
      <w:r>
        <w:rPr>
          <w:rFonts w:hint="default" w:ascii="Times New Roman" w:hAnsi="Times New Roman" w:eastAsia="宋体" w:cs="Times New Roman"/>
          <w:color w:val="auto"/>
          <w:sz w:val="24"/>
          <w:szCs w:val="24"/>
          <w:highlight w:val="none"/>
          <w:lang w:eastAsia="zh-CN"/>
        </w:rPr>
        <w:t>牛粪便</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0000FF"/>
          <w:sz w:val="24"/>
          <w:szCs w:val="24"/>
          <w:highlight w:val="none"/>
          <w:lang w:val="en-US" w:eastAsia="zh-CN"/>
        </w:rPr>
        <w:t>垫料</w:t>
      </w:r>
      <w:r>
        <w:rPr>
          <w:rFonts w:hint="default" w:ascii="Times New Roman" w:hAnsi="Times New Roman" w:eastAsia="宋体" w:cs="Times New Roman"/>
          <w:color w:val="0000FF"/>
          <w:kern w:val="0"/>
          <w:sz w:val="24"/>
          <w:szCs w:val="24"/>
          <w:highlight w:val="none"/>
          <w:lang w:val="en-US" w:eastAsia="zh-CN"/>
        </w:rPr>
        <w:t>、</w:t>
      </w:r>
      <w:r>
        <w:rPr>
          <w:rFonts w:hint="default" w:ascii="Times New Roman" w:hAnsi="Times New Roman" w:eastAsia="宋体" w:cs="Times New Roman"/>
          <w:color w:val="auto"/>
          <w:sz w:val="24"/>
          <w:szCs w:val="24"/>
          <w:highlight w:val="none"/>
          <w:lang w:eastAsia="zh-CN"/>
        </w:rPr>
        <w:t>病死牛、</w:t>
      </w:r>
      <w:r>
        <w:rPr>
          <w:rFonts w:hint="default" w:ascii="Times New Roman" w:hAnsi="Times New Roman" w:eastAsia="宋体" w:cs="Times New Roman"/>
          <w:color w:val="auto"/>
          <w:sz w:val="24"/>
          <w:szCs w:val="24"/>
          <w:highlight w:val="none"/>
          <w:lang w:eastAsia="zh-CN"/>
        </w:rPr>
        <w:t>医疗垃圾</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生活垃圾等。</w:t>
      </w:r>
    </w:p>
    <w:p w14:paraId="352B8BDB">
      <w:pPr>
        <w:pStyle w:val="6"/>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szCs w:val="22"/>
          <w:highlight w:val="none"/>
        </w:rPr>
      </w:pPr>
      <w:r>
        <w:rPr>
          <w:rFonts w:hint="default" w:ascii="Times New Roman" w:hAnsi="Times New Roman" w:eastAsia="宋体" w:cs="Times New Roman"/>
          <w:color w:val="auto"/>
          <w:highlight w:val="none"/>
        </w:rPr>
        <w:t>3.3.4.1</w:t>
      </w:r>
      <w:r>
        <w:rPr>
          <w:rFonts w:hint="default" w:ascii="Times New Roman" w:hAnsi="Times New Roman" w:eastAsia="宋体" w:cs="Times New Roman"/>
          <w:color w:val="auto"/>
          <w:szCs w:val="22"/>
          <w:highlight w:val="none"/>
        </w:rPr>
        <w:t>一般固废</w:t>
      </w:r>
    </w:p>
    <w:p w14:paraId="12D98E76">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sz w:val="24"/>
          <w:szCs w:val="24"/>
          <w:highlight w:val="none"/>
          <w:lang w:eastAsia="zh-CN"/>
        </w:rPr>
        <w:t>牛粪便</w:t>
      </w:r>
    </w:p>
    <w:p w14:paraId="7FE8DAD6">
      <w:pPr>
        <w:pageBreakBefore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rPr>
        <w:t>根据《</w:t>
      </w:r>
      <w:r>
        <w:rPr>
          <w:rFonts w:hint="default" w:ascii="Times New Roman" w:hAnsi="Times New Roman" w:eastAsia="宋体" w:cs="Times New Roman"/>
          <w:color w:val="FF0000"/>
          <w:highlight w:val="none"/>
          <w:lang w:eastAsia="zh-CN"/>
        </w:rPr>
        <w:t>排污许可证申请与核发技术规范畜禽养殖行业</w:t>
      </w:r>
      <w:r>
        <w:rPr>
          <w:rFonts w:hint="default" w:ascii="Times New Roman" w:hAnsi="Times New Roman" w:eastAsia="宋体" w:cs="Times New Roman"/>
          <w:color w:val="FF0000"/>
          <w:highlight w:val="none"/>
        </w:rPr>
        <w:t>》（HJ</w:t>
      </w:r>
      <w:r>
        <w:rPr>
          <w:rFonts w:hint="default" w:ascii="Times New Roman" w:hAnsi="Times New Roman" w:eastAsia="宋体" w:cs="Times New Roman"/>
          <w:color w:val="FF0000"/>
          <w:highlight w:val="none"/>
          <w:lang w:val="en-US" w:eastAsia="zh-CN"/>
        </w:rPr>
        <w:t>1029</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rPr>
        <w:t>20</w:t>
      </w:r>
      <w:r>
        <w:rPr>
          <w:rFonts w:hint="default" w:ascii="Times New Roman" w:hAnsi="Times New Roman" w:eastAsia="宋体" w:cs="Times New Roman"/>
          <w:color w:val="FF0000"/>
          <w:highlight w:val="none"/>
          <w:lang w:val="en-US" w:eastAsia="zh-CN"/>
        </w:rPr>
        <w:t>1</w:t>
      </w:r>
      <w:r>
        <w:rPr>
          <w:rFonts w:hint="default" w:ascii="Times New Roman" w:hAnsi="Times New Roman" w:eastAsia="宋体" w:cs="Times New Roman"/>
          <w:color w:val="FF0000"/>
          <w:highlight w:val="none"/>
        </w:rPr>
        <w:t>9）</w:t>
      </w:r>
      <w:r>
        <w:rPr>
          <w:rFonts w:hint="default" w:ascii="Times New Roman" w:hAnsi="Times New Roman" w:eastAsia="宋体" w:cs="Times New Roman"/>
          <w:color w:val="FF0000"/>
          <w:highlight w:val="none"/>
          <w:lang w:eastAsia="zh-CN"/>
        </w:rPr>
        <w:t>表</w:t>
      </w:r>
      <w:r>
        <w:rPr>
          <w:rFonts w:hint="default" w:ascii="Times New Roman" w:hAnsi="Times New Roman" w:eastAsia="宋体" w:cs="Times New Roman"/>
          <w:color w:val="FF0000"/>
          <w:highlight w:val="none"/>
          <w:lang w:val="en-US" w:eastAsia="zh-CN"/>
        </w:rPr>
        <w:t>9各类畜禽污染物产生量，肉牛粪便产生量为10.88</w:t>
      </w:r>
      <w:r>
        <w:rPr>
          <w:rFonts w:hint="default" w:ascii="Times New Roman" w:hAnsi="Times New Roman" w:eastAsia="宋体" w:cs="Times New Roman"/>
          <w:color w:val="FF0000"/>
          <w:highlight w:val="none"/>
        </w:rPr>
        <w:t>kg/d•头计</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lang w:val="en-US" w:eastAsia="zh-CN"/>
        </w:rPr>
        <w:t>则本项目</w:t>
      </w:r>
      <w:r>
        <w:rPr>
          <w:rFonts w:hint="default" w:ascii="Times New Roman" w:hAnsi="Times New Roman" w:eastAsia="宋体" w:cs="Times New Roman"/>
          <w:color w:val="FF0000"/>
          <w:highlight w:val="none"/>
          <w:lang w:eastAsia="zh-CN"/>
        </w:rPr>
        <w:t>牛粪便产生量</w:t>
      </w:r>
      <w:r>
        <w:rPr>
          <w:rFonts w:hint="default" w:ascii="Times New Roman" w:hAnsi="Times New Roman" w:eastAsia="宋体" w:cs="Times New Roman"/>
          <w:color w:val="FF0000"/>
          <w:highlight w:val="none"/>
        </w:rPr>
        <w:t>为</w:t>
      </w:r>
      <w:r>
        <w:rPr>
          <w:rFonts w:hint="default" w:ascii="Times New Roman" w:hAnsi="Times New Roman" w:eastAsia="宋体" w:cs="Times New Roman"/>
          <w:color w:val="FF0000"/>
          <w:highlight w:val="none"/>
          <w:lang w:val="en-US" w:eastAsia="zh-CN"/>
        </w:rPr>
        <w:t>27.2t/d（</w:t>
      </w:r>
      <w:r>
        <w:rPr>
          <w:rFonts w:hint="default" w:ascii="Times New Roman" w:hAnsi="Times New Roman" w:eastAsia="宋体" w:cs="Times New Roman"/>
          <w:color w:val="FF0000"/>
          <w:highlight w:val="none"/>
          <w:lang w:eastAsia="zh-CN"/>
        </w:rPr>
        <w:t>9928</w:t>
      </w:r>
      <w:r>
        <w:rPr>
          <w:rFonts w:hint="default" w:ascii="Times New Roman" w:hAnsi="Times New Roman" w:eastAsia="宋体" w:cs="Times New Roman"/>
          <w:color w:val="FF0000"/>
          <w:highlight w:val="none"/>
        </w:rPr>
        <w:t>t/a</w:t>
      </w:r>
      <w:r>
        <w:rPr>
          <w:rFonts w:hint="default" w:ascii="Times New Roman" w:hAnsi="Times New Roman" w:eastAsia="宋体" w:cs="Times New Roman"/>
          <w:color w:val="FF0000"/>
          <w:highlight w:val="none"/>
          <w:lang w:val="en-US" w:eastAsia="zh-CN"/>
        </w:rPr>
        <w:t>）</w:t>
      </w:r>
      <w:r>
        <w:rPr>
          <w:rFonts w:hint="default" w:ascii="Times New Roman" w:hAnsi="Times New Roman" w:eastAsia="宋体" w:cs="Times New Roman"/>
          <w:color w:val="FF0000"/>
          <w:highlight w:val="none"/>
        </w:rPr>
        <w:t>。本项目清粪方式采用干清粪工艺集中收集到</w:t>
      </w:r>
      <w:r>
        <w:rPr>
          <w:rFonts w:hint="default" w:ascii="Times New Roman" w:hAnsi="Times New Roman" w:eastAsia="宋体" w:cs="Times New Roman"/>
          <w:color w:val="FF0000"/>
          <w:highlight w:val="none"/>
          <w:lang w:eastAsia="zh-CN"/>
        </w:rPr>
        <w:t>粪污处理池</w:t>
      </w:r>
      <w:r>
        <w:rPr>
          <w:rFonts w:hint="default" w:ascii="Times New Roman" w:hAnsi="Times New Roman" w:eastAsia="宋体" w:cs="Times New Roman"/>
          <w:color w:val="FF0000"/>
          <w:highlight w:val="none"/>
        </w:rPr>
        <w:t>进行堆肥处理后，</w:t>
      </w:r>
      <w:r>
        <w:rPr>
          <w:rFonts w:hint="default" w:ascii="Times New Roman" w:hAnsi="Times New Roman" w:eastAsia="宋体" w:cs="Times New Roman"/>
          <w:color w:val="FF0000"/>
          <w:highlight w:val="none"/>
          <w:lang w:eastAsia="zh-CN"/>
        </w:rPr>
        <w:t>牛粪便</w:t>
      </w:r>
      <w:r>
        <w:rPr>
          <w:rFonts w:hint="default" w:ascii="Times New Roman" w:hAnsi="Times New Roman" w:eastAsia="宋体" w:cs="Times New Roman"/>
          <w:color w:val="FF0000"/>
          <w:highlight w:val="none"/>
        </w:rPr>
        <w:t>经完全发酵后</w:t>
      </w:r>
      <w:r>
        <w:rPr>
          <w:rFonts w:hint="default" w:ascii="Times New Roman" w:hAnsi="Times New Roman" w:eastAsia="宋体" w:cs="Times New Roman"/>
          <w:color w:val="FF0000"/>
          <w:highlight w:val="none"/>
          <w:lang w:eastAsia="zh-CN"/>
        </w:rPr>
        <w:t>，形成</w:t>
      </w:r>
      <w:r>
        <w:rPr>
          <w:rFonts w:hint="default" w:ascii="Times New Roman" w:hAnsi="Times New Roman" w:eastAsia="宋体" w:cs="Times New Roman"/>
          <w:color w:val="FF0000"/>
          <w:highlight w:val="none"/>
        </w:rPr>
        <w:t>有机肥</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rPr>
        <w:t>用于周边农田还田利用。</w:t>
      </w:r>
    </w:p>
    <w:p w14:paraId="4F7FE8A3">
      <w:pPr>
        <w:pageBreakBefore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0000FF"/>
          <w:highlight w:val="none"/>
          <w:lang w:val="en-US" w:eastAsia="zh-CN"/>
        </w:rPr>
      </w:pPr>
      <w:r>
        <w:rPr>
          <w:rFonts w:hint="default" w:ascii="Times New Roman" w:hAnsi="Times New Roman" w:eastAsia="宋体" w:cs="Times New Roman"/>
          <w:color w:val="0000FF"/>
          <w:highlight w:val="none"/>
        </w:rPr>
        <w:t>（2）垫</w:t>
      </w:r>
      <w:r>
        <w:rPr>
          <w:rFonts w:hint="default" w:ascii="Times New Roman" w:hAnsi="Times New Roman" w:eastAsia="宋体" w:cs="Times New Roman"/>
          <w:color w:val="0000FF"/>
          <w:highlight w:val="none"/>
          <w:lang w:val="en-US" w:eastAsia="zh-CN"/>
        </w:rPr>
        <w:t>料</w:t>
      </w:r>
    </w:p>
    <w:p w14:paraId="392B0F6A">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0000FF"/>
          <w:highlight w:val="none"/>
        </w:rPr>
      </w:pPr>
      <w:r>
        <w:rPr>
          <w:rFonts w:hint="default" w:ascii="Times New Roman" w:hAnsi="Times New Roman" w:eastAsia="宋体" w:cs="Times New Roman"/>
          <w:color w:val="0000FF"/>
          <w:highlight w:val="none"/>
        </w:rPr>
        <w:t>牛</w:t>
      </w:r>
      <w:r>
        <w:rPr>
          <w:rFonts w:hint="default" w:ascii="Times New Roman" w:hAnsi="Times New Roman" w:eastAsia="宋体" w:cs="Times New Roman"/>
          <w:color w:val="0000FF"/>
          <w:highlight w:val="none"/>
          <w:lang w:val="en-US" w:eastAsia="zh-CN"/>
        </w:rPr>
        <w:t>舍</w:t>
      </w:r>
      <w:r>
        <w:rPr>
          <w:rFonts w:hint="default" w:ascii="Times New Roman" w:hAnsi="Times New Roman" w:eastAsia="宋体" w:cs="Times New Roman"/>
          <w:color w:val="0000FF"/>
          <w:highlight w:val="none"/>
        </w:rPr>
        <w:t>和运动场垫料更换频次2次/a，依据建设单位提供的资料，牛</w:t>
      </w:r>
      <w:r>
        <w:rPr>
          <w:rFonts w:hint="default" w:ascii="Times New Roman" w:hAnsi="Times New Roman" w:eastAsia="宋体" w:cs="Times New Roman"/>
          <w:color w:val="0000FF"/>
          <w:highlight w:val="none"/>
          <w:lang w:val="en-US" w:eastAsia="zh-CN"/>
        </w:rPr>
        <w:t>舍</w:t>
      </w:r>
      <w:r>
        <w:rPr>
          <w:rFonts w:hint="default" w:ascii="Times New Roman" w:hAnsi="Times New Roman" w:eastAsia="宋体" w:cs="Times New Roman"/>
          <w:color w:val="0000FF"/>
          <w:highlight w:val="none"/>
        </w:rPr>
        <w:t>和运动场垫料产生量为50t/a。牛舍及运动场垫料主要为碎秸秆和木屑</w:t>
      </w:r>
      <w:r>
        <w:rPr>
          <w:rFonts w:hint="default" w:ascii="Times New Roman" w:hAnsi="Times New Roman" w:eastAsia="宋体" w:cs="Times New Roman"/>
          <w:color w:val="0000FF"/>
          <w:highlight w:val="none"/>
          <w:lang w:eastAsia="zh-CN"/>
        </w:rPr>
        <w:t>，</w:t>
      </w:r>
      <w:r>
        <w:rPr>
          <w:rFonts w:hint="default" w:ascii="Times New Roman" w:hAnsi="Times New Roman" w:eastAsia="宋体" w:cs="Times New Roman"/>
          <w:color w:val="0000FF"/>
          <w:highlight w:val="none"/>
        </w:rPr>
        <w:t>带少量粪便</w:t>
      </w:r>
      <w:r>
        <w:rPr>
          <w:rFonts w:hint="default" w:ascii="Times New Roman" w:hAnsi="Times New Roman" w:eastAsia="宋体" w:cs="Times New Roman"/>
          <w:color w:val="0000FF"/>
          <w:highlight w:val="none"/>
          <w:lang w:eastAsia="zh-CN"/>
        </w:rPr>
        <w:t>。</w:t>
      </w:r>
      <w:r>
        <w:rPr>
          <w:rFonts w:hint="default" w:ascii="Times New Roman" w:hAnsi="Times New Roman" w:eastAsia="宋体" w:cs="Times New Roman"/>
          <w:color w:val="0000FF"/>
          <w:highlight w:val="none"/>
        </w:rPr>
        <w:t>采用清粪车将垫</w:t>
      </w:r>
      <w:r>
        <w:rPr>
          <w:rFonts w:hint="default" w:ascii="Times New Roman" w:hAnsi="Times New Roman" w:eastAsia="宋体" w:cs="Times New Roman"/>
          <w:color w:val="0000FF"/>
          <w:highlight w:val="none"/>
          <w:lang w:val="en-US" w:eastAsia="zh-CN"/>
        </w:rPr>
        <w:t>料</w:t>
      </w:r>
      <w:r>
        <w:rPr>
          <w:rFonts w:hint="default" w:ascii="Times New Roman" w:hAnsi="Times New Roman" w:eastAsia="宋体" w:cs="Times New Roman"/>
          <w:color w:val="0000FF"/>
          <w:highlight w:val="none"/>
        </w:rPr>
        <w:t>转运至</w:t>
      </w:r>
      <w:r>
        <w:rPr>
          <w:rFonts w:hint="default" w:ascii="Times New Roman" w:hAnsi="Times New Roman" w:eastAsia="宋体" w:cs="Times New Roman"/>
          <w:color w:val="0000FF"/>
          <w:highlight w:val="none"/>
          <w:lang w:eastAsia="zh-CN"/>
        </w:rPr>
        <w:t>粪污处理池</w:t>
      </w:r>
      <w:r>
        <w:rPr>
          <w:rFonts w:hint="default" w:ascii="Times New Roman" w:hAnsi="Times New Roman" w:eastAsia="宋体" w:cs="Times New Roman"/>
          <w:color w:val="0000FF"/>
          <w:highlight w:val="none"/>
          <w:lang w:val="en-US" w:eastAsia="zh-CN"/>
        </w:rPr>
        <w:t>与</w:t>
      </w:r>
      <w:r>
        <w:rPr>
          <w:rFonts w:hint="default" w:ascii="Times New Roman" w:hAnsi="Times New Roman" w:eastAsia="宋体" w:cs="Times New Roman"/>
          <w:color w:val="0000FF"/>
          <w:sz w:val="24"/>
          <w:szCs w:val="24"/>
          <w:highlight w:val="none"/>
          <w:lang w:eastAsia="zh-CN"/>
        </w:rPr>
        <w:t>牛粪便</w:t>
      </w:r>
      <w:r>
        <w:rPr>
          <w:rFonts w:hint="default" w:ascii="Times New Roman" w:hAnsi="Times New Roman" w:eastAsia="宋体" w:cs="Times New Roman"/>
          <w:color w:val="0000FF"/>
          <w:sz w:val="24"/>
          <w:szCs w:val="24"/>
          <w:highlight w:val="none"/>
          <w:lang w:val="en-US" w:eastAsia="zh-CN"/>
        </w:rPr>
        <w:t>一同发酵</w:t>
      </w:r>
      <w:r>
        <w:rPr>
          <w:rFonts w:hint="default" w:ascii="Times New Roman" w:hAnsi="Times New Roman" w:eastAsia="宋体" w:cs="Times New Roman"/>
          <w:color w:val="0000FF"/>
          <w:highlight w:val="none"/>
          <w:lang w:eastAsia="zh-CN"/>
        </w:rPr>
        <w:t>，形成</w:t>
      </w:r>
      <w:r>
        <w:rPr>
          <w:rFonts w:hint="default" w:ascii="Times New Roman" w:hAnsi="Times New Roman" w:eastAsia="宋体" w:cs="Times New Roman"/>
          <w:color w:val="0000FF"/>
          <w:highlight w:val="none"/>
        </w:rPr>
        <w:t>有机肥</w:t>
      </w:r>
      <w:r>
        <w:rPr>
          <w:rFonts w:hint="default" w:ascii="Times New Roman" w:hAnsi="Times New Roman" w:eastAsia="宋体" w:cs="Times New Roman"/>
          <w:color w:val="0000FF"/>
          <w:highlight w:val="none"/>
          <w:lang w:eastAsia="zh-CN"/>
        </w:rPr>
        <w:t>，</w:t>
      </w:r>
      <w:r>
        <w:rPr>
          <w:rFonts w:hint="default" w:ascii="Times New Roman" w:hAnsi="Times New Roman" w:eastAsia="宋体" w:cs="Times New Roman"/>
          <w:color w:val="0000FF"/>
          <w:highlight w:val="none"/>
        </w:rPr>
        <w:t>用于周边农田还田利用。</w:t>
      </w:r>
    </w:p>
    <w:p w14:paraId="09498FD5">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highlight w:val="none"/>
          <w:lang w:eastAsia="zh-CN"/>
        </w:rPr>
        <w:t>病死牛</w:t>
      </w:r>
    </w:p>
    <w:p w14:paraId="000C7DC5">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项目运营过程中</w:t>
      </w:r>
      <w:r>
        <w:rPr>
          <w:rFonts w:hint="default" w:ascii="Times New Roman" w:hAnsi="Times New Roman" w:eastAsia="宋体" w:cs="Times New Roman"/>
          <w:color w:val="auto"/>
          <w:highlight w:val="none"/>
          <w:lang w:eastAsia="zh-CN"/>
        </w:rPr>
        <w:t>不可避免地产生</w:t>
      </w:r>
      <w:r>
        <w:rPr>
          <w:rFonts w:hint="default" w:ascii="Times New Roman" w:hAnsi="Times New Roman" w:eastAsia="宋体" w:cs="Times New Roman"/>
          <w:color w:val="auto"/>
          <w:highlight w:val="none"/>
        </w:rPr>
        <w:t>部分病死畜，查阅相关资料及根据同类项目对比，牛群的病死率按照总存栏量的2‰，则本项目全</w:t>
      </w:r>
      <w:r>
        <w:rPr>
          <w:rFonts w:hint="default" w:ascii="Times New Roman" w:hAnsi="Times New Roman" w:eastAsia="宋体" w:cs="Times New Roman"/>
          <w:color w:val="auto"/>
          <w:highlight w:val="none"/>
          <w:lang w:eastAsia="zh-CN"/>
        </w:rPr>
        <w:t>场</w:t>
      </w:r>
      <w:r>
        <w:rPr>
          <w:rFonts w:hint="default" w:ascii="Times New Roman" w:hAnsi="Times New Roman" w:eastAsia="宋体" w:cs="Times New Roman"/>
          <w:color w:val="auto"/>
          <w:highlight w:val="none"/>
        </w:rPr>
        <w:t>病死牛产生量约为</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头</w:t>
      </w:r>
      <w:r>
        <w:rPr>
          <w:rFonts w:hint="default" w:ascii="Times New Roman" w:hAnsi="Times New Roman" w:eastAsia="宋体" w:cs="Times New Roman"/>
          <w:color w:val="auto"/>
          <w:highlight w:val="none"/>
          <w:lang w:eastAsia="zh-CN"/>
        </w:rPr>
        <w:t>。每</w:t>
      </w:r>
      <w:r>
        <w:rPr>
          <w:rFonts w:hint="default" w:ascii="Times New Roman" w:hAnsi="Times New Roman" w:eastAsia="宋体" w:cs="Times New Roman"/>
          <w:color w:val="auto"/>
          <w:highlight w:val="none"/>
        </w:rPr>
        <w:t>头按照50</w:t>
      </w:r>
      <w:r>
        <w:rPr>
          <w:rFonts w:hint="default"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rPr>
        <w:t>kg计算，</w:t>
      </w:r>
      <w:r>
        <w:rPr>
          <w:rFonts w:hint="default" w:ascii="Times New Roman" w:hAnsi="Times New Roman" w:eastAsia="宋体" w:cs="Times New Roman"/>
          <w:color w:val="auto"/>
          <w:highlight w:val="none"/>
          <w:lang w:eastAsia="zh-CN"/>
        </w:rPr>
        <w:t>则</w:t>
      </w:r>
      <w:r>
        <w:rPr>
          <w:rFonts w:hint="default" w:ascii="Times New Roman" w:hAnsi="Times New Roman" w:eastAsia="宋体" w:cs="Times New Roman"/>
          <w:color w:val="auto"/>
          <w:highlight w:val="none"/>
        </w:rPr>
        <w:t>年产生量为</w:t>
      </w:r>
      <w:r>
        <w:rPr>
          <w:rFonts w:hint="default" w:ascii="Times New Roman" w:hAnsi="Times New Roman" w:eastAsia="宋体" w:cs="Times New Roman"/>
          <w:color w:val="auto"/>
          <w:highlight w:val="none"/>
          <w:lang w:val="en-US" w:eastAsia="zh-CN"/>
        </w:rPr>
        <w:t>2.5t</w:t>
      </w:r>
      <w:r>
        <w:rPr>
          <w:rFonts w:hint="default" w:ascii="Times New Roman" w:hAnsi="Times New Roman" w:eastAsia="宋体" w:cs="Times New Roman"/>
          <w:color w:val="auto"/>
          <w:highlight w:val="none"/>
        </w:rPr>
        <w:t>/a，</w:t>
      </w:r>
    </w:p>
    <w:p w14:paraId="2B7DA3BD">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根据《畜禽养殖业污染防治技术政策》（环发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2010</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151号）中有关内容，畜禽尸体应按照有关卫生防疫规定单独进行妥善处置。</w:t>
      </w:r>
    </w:p>
    <w:p w14:paraId="079461AF">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根据《畜禽规模养殖污染防治条例》（中华人民共和国国务院令第643号）的有关内容，染疫畜禽以及染疫畜禽排泄物、染疫畜禽产品、病死或者死因不明的畜禽尸体等病害畜禽养殖废弃物，应当按照有关</w:t>
      </w:r>
      <w:r>
        <w:rPr>
          <w:rFonts w:hint="default" w:ascii="Times New Roman" w:hAnsi="Times New Roman" w:eastAsia="宋体" w:cs="Times New Roman"/>
          <w:color w:val="auto"/>
          <w:highlight w:val="none"/>
          <w:lang w:eastAsia="zh-CN"/>
        </w:rPr>
        <w:t>法律法规</w:t>
      </w:r>
      <w:r>
        <w:rPr>
          <w:rFonts w:hint="default" w:ascii="Times New Roman" w:hAnsi="Times New Roman" w:eastAsia="宋体" w:cs="Times New Roman"/>
          <w:color w:val="auto"/>
          <w:highlight w:val="none"/>
        </w:rPr>
        <w:t>和国务院农牧主管部门的规定，进行深埋、化制、焚烧等无害化处理，不得随意处置；国家鼓励和支持对染疫畜禽、病死或者死因不明畜禽尸体进行集中无害化处理，并按照国家有关规定对处理费用、养殖损失给予适当补助。</w:t>
      </w:r>
    </w:p>
    <w:p w14:paraId="1ABA623B">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本项目</w:t>
      </w:r>
      <w:r>
        <w:rPr>
          <w:rFonts w:hint="default" w:ascii="Times New Roman" w:hAnsi="Times New Roman" w:eastAsia="宋体" w:cs="Times New Roman"/>
          <w:color w:val="auto"/>
          <w:highlight w:val="none"/>
          <w:lang w:eastAsia="zh-CN"/>
        </w:rPr>
        <w:t>病死牛</w:t>
      </w:r>
      <w:r>
        <w:rPr>
          <w:rFonts w:hint="default" w:ascii="Times New Roman" w:hAnsi="Times New Roman" w:eastAsia="宋体" w:cs="Times New Roman"/>
          <w:color w:val="auto"/>
          <w:highlight w:val="none"/>
        </w:rPr>
        <w:t>暂存于冷藏间，交由巴彦淖尔市绿之源生物技术发展有限公司进行无害化处理。遇重大疫情立刻隔离病死畜牛舍，并将疫情上报</w:t>
      </w:r>
      <w:r>
        <w:rPr>
          <w:rFonts w:hint="default" w:ascii="Times New Roman" w:hAnsi="Times New Roman" w:eastAsia="宋体" w:cs="Times New Roman"/>
          <w:color w:val="auto"/>
          <w:highlight w:val="none"/>
          <w:lang w:eastAsia="zh-CN"/>
        </w:rPr>
        <w:t>乌拉特前旗</w:t>
      </w:r>
      <w:r>
        <w:rPr>
          <w:rFonts w:hint="default" w:ascii="Times New Roman" w:hAnsi="Times New Roman" w:eastAsia="宋体" w:cs="Times New Roman"/>
          <w:color w:val="auto"/>
          <w:highlight w:val="none"/>
        </w:rPr>
        <w:t>农牧业局动物疫病预防控制中心。根据</w:t>
      </w:r>
      <w:r>
        <w:rPr>
          <w:rFonts w:hint="default" w:ascii="Times New Roman" w:hAnsi="Times New Roman" w:eastAsia="宋体" w:cs="Times New Roman"/>
          <w:color w:val="auto"/>
          <w:highlight w:val="none"/>
          <w:lang w:eastAsia="zh-CN"/>
        </w:rPr>
        <w:t>乌拉特前旗</w:t>
      </w:r>
      <w:r>
        <w:rPr>
          <w:rFonts w:hint="default" w:ascii="Times New Roman" w:hAnsi="Times New Roman" w:eastAsia="宋体" w:cs="Times New Roman"/>
          <w:color w:val="auto"/>
          <w:highlight w:val="none"/>
        </w:rPr>
        <w:t>农牧业局动物疫病预防控制中心指定方式指定地点，指定方式处置病死畜</w:t>
      </w:r>
      <w:r>
        <w:rPr>
          <w:rFonts w:hint="default" w:ascii="Times New Roman" w:hAnsi="Times New Roman" w:eastAsia="宋体" w:cs="Times New Roman"/>
          <w:color w:val="auto"/>
          <w:highlight w:val="none"/>
          <w:lang w:eastAsia="zh-CN"/>
        </w:rPr>
        <w:t>。</w:t>
      </w:r>
    </w:p>
    <w:p w14:paraId="03B13B79">
      <w:pPr>
        <w:pStyle w:val="6"/>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3.3.4.2危险废物</w:t>
      </w:r>
    </w:p>
    <w:p w14:paraId="064639B2">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医疗垃圾</w:t>
      </w:r>
    </w:p>
    <w:p w14:paraId="73B343D7">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医疗垃圾主要产生于防疫、检查过程中所产生的消毒和医用品废弃物</w:t>
      </w:r>
      <w:r>
        <w:rPr>
          <w:rFonts w:hint="default" w:ascii="Times New Roman" w:hAnsi="Times New Roman" w:eastAsia="宋体" w:cs="Times New Roman"/>
          <w:color w:val="auto"/>
          <w:highlight w:val="none"/>
          <w:lang w:val="en-US" w:eastAsia="zh-CN"/>
        </w:rPr>
        <w:t>等</w:t>
      </w:r>
      <w:r>
        <w:rPr>
          <w:rFonts w:hint="default" w:ascii="Times New Roman" w:hAnsi="Times New Roman" w:eastAsia="宋体" w:cs="Times New Roman"/>
          <w:color w:val="auto"/>
          <w:highlight w:val="none"/>
        </w:rPr>
        <w:t>，查阅相关资料及根据同类项目对比</w:t>
      </w:r>
      <w:r>
        <w:rPr>
          <w:rFonts w:hint="default" w:ascii="Times New Roman" w:hAnsi="Times New Roman" w:eastAsia="宋体" w:cs="Times New Roman"/>
          <w:color w:val="auto"/>
          <w:sz w:val="24"/>
          <w:highlight w:val="none"/>
        </w:rPr>
        <w:t>，医疗垃圾产生量为0.1kg/头</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highlight w:val="none"/>
        </w:rPr>
        <w:t>，产生量约</w:t>
      </w:r>
      <w:r>
        <w:rPr>
          <w:rFonts w:hint="default" w:ascii="Times New Roman" w:hAnsi="Times New Roman" w:eastAsia="宋体" w:cs="Times New Roman"/>
          <w:color w:val="auto"/>
          <w:highlight w:val="none"/>
          <w:lang w:val="en-US" w:eastAsia="zh-CN"/>
        </w:rPr>
        <w:t>0.25</w:t>
      </w:r>
      <w:r>
        <w:rPr>
          <w:rFonts w:hint="default" w:ascii="Times New Roman" w:hAnsi="Times New Roman" w:eastAsia="宋体" w:cs="Times New Roman"/>
          <w:color w:val="auto"/>
          <w:highlight w:val="none"/>
        </w:rPr>
        <w:t>t/a。根据《国家危险废物名录》</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2021年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的规定，</w:t>
      </w:r>
      <w:r>
        <w:rPr>
          <w:rFonts w:hint="default" w:ascii="Times New Roman" w:hAnsi="Times New Roman" w:eastAsia="宋体" w:cs="Times New Roman"/>
          <w:color w:val="0000FF"/>
          <w:highlight w:val="none"/>
          <w:lang w:val="en-US" w:eastAsia="zh-CN"/>
        </w:rPr>
        <w:t>废物类别为</w:t>
      </w:r>
      <w:r>
        <w:rPr>
          <w:rFonts w:hint="default" w:ascii="Times New Roman" w:hAnsi="Times New Roman" w:eastAsia="宋体" w:cs="Times New Roman"/>
          <w:color w:val="0000FF"/>
          <w:highlight w:val="none"/>
        </w:rPr>
        <w:t>HW01医疗废物，</w:t>
      </w:r>
      <w:r>
        <w:rPr>
          <w:rFonts w:hint="default" w:ascii="Times New Roman" w:hAnsi="Times New Roman" w:eastAsia="宋体" w:cs="Times New Roman"/>
          <w:color w:val="0000FF"/>
          <w:highlight w:val="none"/>
          <w:lang w:eastAsia="zh-CN"/>
        </w:rPr>
        <w:t>废物代码</w:t>
      </w:r>
      <w:r>
        <w:rPr>
          <w:rFonts w:hint="default" w:ascii="Times New Roman" w:hAnsi="Times New Roman" w:eastAsia="宋体" w:cs="Times New Roman"/>
          <w:color w:val="0000FF"/>
          <w:highlight w:val="none"/>
        </w:rPr>
        <w:t>为</w:t>
      </w:r>
      <w:r>
        <w:rPr>
          <w:rFonts w:hint="default" w:ascii="Times New Roman" w:hAnsi="Times New Roman" w:eastAsia="宋体" w:cs="Times New Roman"/>
          <w:color w:val="0000FF"/>
          <w:highlight w:val="none"/>
          <w:lang w:eastAsia="zh-CN"/>
        </w:rPr>
        <w:t>841-00</w:t>
      </w:r>
      <w:r>
        <w:rPr>
          <w:rFonts w:hint="default" w:ascii="Times New Roman" w:hAnsi="Times New Roman" w:eastAsia="宋体" w:cs="Times New Roman"/>
          <w:color w:val="0000FF"/>
          <w:highlight w:val="none"/>
          <w:lang w:val="en-US" w:eastAsia="zh-CN"/>
        </w:rPr>
        <w:t>1</w:t>
      </w:r>
      <w:r>
        <w:rPr>
          <w:rFonts w:hint="default" w:ascii="Times New Roman" w:hAnsi="Times New Roman" w:eastAsia="宋体" w:cs="Times New Roman"/>
          <w:color w:val="0000FF"/>
          <w:highlight w:val="none"/>
          <w:lang w:eastAsia="zh-CN"/>
        </w:rPr>
        <w:t>-01</w:t>
      </w:r>
      <w:r>
        <w:rPr>
          <w:rFonts w:hint="default" w:ascii="Times New Roman" w:hAnsi="Times New Roman" w:eastAsia="宋体" w:cs="Times New Roman"/>
          <w:color w:val="0000FF"/>
          <w:highlight w:val="none"/>
          <w:lang w:eastAsia="zh-CN"/>
        </w:rPr>
        <w:t>、</w:t>
      </w:r>
      <w:r>
        <w:rPr>
          <w:rFonts w:hint="default" w:ascii="Times New Roman" w:hAnsi="Times New Roman" w:eastAsia="宋体" w:cs="Times New Roman"/>
          <w:color w:val="0000FF"/>
          <w:highlight w:val="none"/>
          <w:lang w:eastAsia="zh-CN"/>
        </w:rPr>
        <w:t>841-00</w:t>
      </w:r>
      <w:r>
        <w:rPr>
          <w:rFonts w:hint="default" w:ascii="Times New Roman" w:hAnsi="Times New Roman" w:eastAsia="宋体" w:cs="Times New Roman"/>
          <w:color w:val="0000FF"/>
          <w:highlight w:val="none"/>
          <w:lang w:val="en-US" w:eastAsia="zh-CN"/>
        </w:rPr>
        <w:t>2</w:t>
      </w:r>
      <w:r>
        <w:rPr>
          <w:rFonts w:hint="default" w:ascii="Times New Roman" w:hAnsi="Times New Roman" w:eastAsia="宋体" w:cs="Times New Roman"/>
          <w:color w:val="0000FF"/>
          <w:highlight w:val="none"/>
          <w:lang w:eastAsia="zh-CN"/>
        </w:rPr>
        <w:t>-01</w:t>
      </w:r>
      <w:r>
        <w:rPr>
          <w:rFonts w:hint="default" w:ascii="Times New Roman" w:hAnsi="Times New Roman" w:eastAsia="宋体" w:cs="Times New Roman"/>
          <w:color w:val="0000FF"/>
          <w:highlight w:val="none"/>
          <w:lang w:eastAsia="zh-CN"/>
        </w:rPr>
        <w:t>、</w:t>
      </w:r>
      <w:r>
        <w:rPr>
          <w:rFonts w:hint="default" w:ascii="Times New Roman" w:hAnsi="Times New Roman" w:eastAsia="宋体" w:cs="Times New Roman"/>
          <w:color w:val="0000FF"/>
          <w:highlight w:val="none"/>
          <w:lang w:eastAsia="zh-CN"/>
        </w:rPr>
        <w:t>841-005-01</w:t>
      </w:r>
      <w:r>
        <w:rPr>
          <w:rFonts w:hint="default" w:ascii="Times New Roman" w:hAnsi="Times New Roman" w:eastAsia="宋体" w:cs="Times New Roman"/>
          <w:color w:val="0000FF"/>
          <w:highlight w:val="none"/>
          <w:lang w:eastAsia="zh-CN"/>
        </w:rPr>
        <w:t>。</w:t>
      </w:r>
      <w:r>
        <w:rPr>
          <w:rFonts w:hint="default" w:ascii="Times New Roman" w:hAnsi="Times New Roman" w:eastAsia="宋体" w:cs="Times New Roman"/>
          <w:color w:val="auto"/>
          <w:highlight w:val="none"/>
        </w:rPr>
        <w:t>根据《医疗废物管理条例》中的要求，本项目设置</w:t>
      </w:r>
      <w:r>
        <w:rPr>
          <w:rFonts w:hint="default" w:ascii="Times New Roman" w:hAnsi="Times New Roman" w:eastAsia="宋体" w:cs="Times New Roman"/>
          <w:color w:val="auto"/>
          <w:highlight w:val="none"/>
          <w:lang w:eastAsia="zh-CN"/>
        </w:rPr>
        <w:t>危废暂存间</w:t>
      </w:r>
      <w:r>
        <w:rPr>
          <w:rFonts w:hint="default" w:ascii="Times New Roman" w:hAnsi="Times New Roman" w:eastAsia="宋体" w:cs="Times New Roman"/>
          <w:color w:val="auto"/>
          <w:highlight w:val="none"/>
          <w:lang w:eastAsia="zh-CN"/>
        </w:rPr>
        <w:t>内</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定期</w:t>
      </w:r>
      <w:r>
        <w:rPr>
          <w:rFonts w:hint="default" w:ascii="Times New Roman" w:hAnsi="Times New Roman" w:eastAsia="宋体" w:cs="Times New Roman"/>
          <w:color w:val="auto"/>
          <w:highlight w:val="none"/>
        </w:rPr>
        <w:t>交由有医疗废物处理资质的单位进行集中清运、处理。</w:t>
      </w:r>
    </w:p>
    <w:p w14:paraId="190926C3">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eastAsia="zh-CN"/>
        </w:rPr>
        <w:t>危废暂存间</w:t>
      </w:r>
      <w:r>
        <w:rPr>
          <w:rFonts w:hint="default" w:ascii="Times New Roman" w:hAnsi="Times New Roman" w:eastAsia="宋体" w:cs="Times New Roman"/>
          <w:color w:val="auto"/>
          <w:highlight w:val="none"/>
        </w:rPr>
        <w:t>面积设置为10m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FF0000"/>
          <w:highlight w:val="none"/>
        </w:rPr>
        <w:t>建设按照《危险废物贮存污染控制标准》（</w:t>
      </w:r>
      <w:r>
        <w:rPr>
          <w:rFonts w:hint="default" w:ascii="Times New Roman" w:hAnsi="Times New Roman" w:eastAsia="宋体" w:cs="Times New Roman"/>
          <w:color w:val="FF0000"/>
          <w:highlight w:val="none"/>
          <w:lang w:eastAsia="zh-CN"/>
        </w:rPr>
        <w:t>GB18597-2023</w:t>
      </w:r>
      <w:r>
        <w:rPr>
          <w:rFonts w:hint="default" w:ascii="Times New Roman" w:hAnsi="Times New Roman" w:eastAsia="宋体" w:cs="Times New Roman"/>
          <w:color w:val="FF0000"/>
          <w:highlight w:val="none"/>
        </w:rPr>
        <w:t>）、</w:t>
      </w:r>
      <w:r>
        <w:rPr>
          <w:rFonts w:hint="default" w:ascii="Times New Roman" w:hAnsi="Times New Roman" w:eastAsia="宋体" w:cs="Times New Roman"/>
          <w:color w:val="auto"/>
          <w:highlight w:val="none"/>
        </w:rPr>
        <w:t>《医疗卫生机构医疗废物管理办法》和《危险废物污染防治技术政策》的要求设置。暂存间地面铺HDPE膜防渗，渗透系数</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highlight w:val="none"/>
        </w:rPr>
        <w:t>1.0×10</w:t>
      </w:r>
      <w:r>
        <w:rPr>
          <w:rFonts w:hint="default" w:ascii="Times New Roman" w:hAnsi="Times New Roman" w:eastAsia="宋体" w:cs="Times New Roman"/>
          <w:color w:val="auto"/>
          <w:highlight w:val="none"/>
          <w:vertAlign w:val="superscript"/>
        </w:rPr>
        <w:t>-10</w:t>
      </w:r>
      <w:r>
        <w:rPr>
          <w:rFonts w:hint="default" w:ascii="Times New Roman" w:hAnsi="Times New Roman" w:eastAsia="宋体" w:cs="Times New Roman"/>
          <w:color w:val="auto"/>
          <w:highlight w:val="none"/>
        </w:rPr>
        <w:t>cm/s。暂存间的地面与裙脚要用坚固、防渗的材料建造，建筑材料必须与危险废物相容。危险废物垃圾集中收集暂存、转移委外处理过程中，建设单位须按照相关规定填报转移联单，做好台账。</w:t>
      </w:r>
    </w:p>
    <w:p w14:paraId="0779572A">
      <w:pPr>
        <w:pStyle w:val="6"/>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szCs w:val="22"/>
          <w:highlight w:val="none"/>
        </w:rPr>
      </w:pPr>
      <w:r>
        <w:rPr>
          <w:rFonts w:hint="default" w:ascii="Times New Roman" w:hAnsi="Times New Roman" w:eastAsia="宋体" w:cs="Times New Roman"/>
          <w:color w:val="auto"/>
          <w:highlight w:val="none"/>
        </w:rPr>
        <w:t>3.3.4.3</w:t>
      </w:r>
      <w:r>
        <w:rPr>
          <w:rFonts w:hint="default" w:ascii="Times New Roman" w:hAnsi="Times New Roman" w:eastAsia="宋体" w:cs="Times New Roman"/>
          <w:color w:val="auto"/>
          <w:szCs w:val="22"/>
          <w:highlight w:val="none"/>
        </w:rPr>
        <w:t>生活垃圾</w:t>
      </w:r>
    </w:p>
    <w:p w14:paraId="5F0BB0F1">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生活垃圾按0.5kg/人</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d计，项目劳动定员</w:t>
      </w:r>
      <w:r>
        <w:rPr>
          <w:rFonts w:hint="default" w:ascii="Times New Roman" w:hAnsi="Times New Roman" w:eastAsia="宋体" w:cs="Times New Roman"/>
          <w:color w:val="auto"/>
          <w:highlight w:val="none"/>
          <w:lang w:val="en-US" w:eastAsia="zh-CN"/>
        </w:rPr>
        <w:t>50人</w:t>
      </w:r>
      <w:r>
        <w:rPr>
          <w:rFonts w:hint="default" w:ascii="Times New Roman" w:hAnsi="Times New Roman" w:eastAsia="宋体" w:cs="Times New Roman"/>
          <w:color w:val="auto"/>
          <w:highlight w:val="none"/>
        </w:rPr>
        <w:t>，产生量</w:t>
      </w:r>
      <w:r>
        <w:rPr>
          <w:rFonts w:hint="default" w:ascii="Times New Roman" w:hAnsi="Times New Roman" w:eastAsia="宋体" w:cs="Times New Roman"/>
          <w:color w:val="auto"/>
          <w:highlight w:val="none"/>
          <w:lang w:val="en-US" w:eastAsia="zh-CN"/>
        </w:rPr>
        <w:t>25kg</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d</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9.125t/a</w:t>
      </w:r>
      <w:r>
        <w:rPr>
          <w:rFonts w:hint="default" w:ascii="Times New Roman" w:hAnsi="Times New Roman" w:eastAsia="宋体" w:cs="Times New Roman"/>
          <w:color w:val="auto"/>
          <w:highlight w:val="none"/>
        </w:rPr>
        <w:t>）。生活垃圾</w:t>
      </w:r>
      <w:r>
        <w:rPr>
          <w:rFonts w:hint="default" w:ascii="Times New Roman" w:hAnsi="Times New Roman" w:eastAsia="宋体" w:cs="Times New Roman"/>
          <w:color w:val="auto"/>
          <w:highlight w:val="none"/>
          <w:lang w:bidi="zh-CN"/>
        </w:rPr>
        <w:t>清运到环卫部门指定的地点集中处理</w:t>
      </w:r>
      <w:r>
        <w:rPr>
          <w:rFonts w:hint="default" w:ascii="Times New Roman" w:hAnsi="Times New Roman" w:eastAsia="宋体" w:cs="Times New Roman"/>
          <w:color w:val="auto"/>
          <w:highlight w:val="none"/>
        </w:rPr>
        <w:t>。</w:t>
      </w:r>
    </w:p>
    <w:p w14:paraId="5D755C25">
      <w:pPr>
        <w:keepNext/>
        <w:keepLines/>
        <w:pageBreakBefore w:val="0"/>
        <w:widowControl w:val="0"/>
        <w:kinsoku/>
        <w:wordWrap/>
        <w:overflowPunct/>
        <w:topLinePunct/>
        <w:autoSpaceDE w:val="0"/>
        <w:autoSpaceDN/>
        <w:bidi w:val="0"/>
        <w:adjustRightInd/>
        <w:snapToGrid w:val="0"/>
        <w:spacing w:line="360" w:lineRule="auto"/>
        <w:ind w:left="0" w:leftChars="0" w:right="0" w:rightChars="0" w:firstLine="0" w:firstLineChars="0"/>
        <w:jc w:val="center"/>
        <w:textAlignment w:val="auto"/>
        <w:outlineLvl w:val="4"/>
        <w:rPr>
          <w:rFonts w:hint="default" w:ascii="Times New Roman" w:hAnsi="Times New Roman" w:eastAsia="宋体" w:cs="Times New Roman"/>
          <w:b/>
          <w:bCs/>
          <w:color w:val="auto"/>
          <w:szCs w:val="28"/>
          <w:highlight w:val="none"/>
        </w:rPr>
      </w:pPr>
      <w:r>
        <w:rPr>
          <w:rFonts w:hint="default" w:ascii="Times New Roman" w:hAnsi="Times New Roman" w:eastAsia="宋体" w:cs="Times New Roman"/>
          <w:b/>
          <w:bCs/>
          <w:snapToGrid w:val="0"/>
          <w:color w:val="auto"/>
          <w:szCs w:val="28"/>
          <w:highlight w:val="none"/>
        </w:rPr>
        <w:t>表3.3-</w:t>
      </w:r>
      <w:r>
        <w:rPr>
          <w:rFonts w:hint="default" w:ascii="Times New Roman" w:hAnsi="Times New Roman" w:eastAsia="宋体" w:cs="Times New Roman"/>
          <w:b/>
          <w:bCs/>
          <w:snapToGrid w:val="0"/>
          <w:color w:val="auto"/>
          <w:szCs w:val="28"/>
          <w:highlight w:val="none"/>
          <w:lang w:val="en-US" w:eastAsia="zh-CN"/>
        </w:rPr>
        <w:t>7</w:t>
      </w:r>
      <w:r>
        <w:rPr>
          <w:rFonts w:hint="default" w:ascii="Times New Roman" w:hAnsi="Times New Roman" w:eastAsia="宋体" w:cs="Times New Roman"/>
          <w:b/>
          <w:bCs/>
          <w:snapToGrid w:val="0"/>
          <w:color w:val="auto"/>
          <w:szCs w:val="28"/>
          <w:highlight w:val="none"/>
        </w:rPr>
        <w:t>固体废物产生及处置情况一览表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30"/>
        <w:gridCol w:w="978"/>
        <w:gridCol w:w="1037"/>
        <w:gridCol w:w="1037"/>
        <w:gridCol w:w="1050"/>
        <w:gridCol w:w="1167"/>
        <w:gridCol w:w="1035"/>
        <w:gridCol w:w="1543"/>
      </w:tblGrid>
      <w:tr w14:paraId="7103EB2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0" w:type="dxa"/>
            <w:tcBorders>
              <w:top w:val="single" w:color="auto" w:sz="4" w:space="0"/>
              <w:left w:val="single" w:color="auto" w:sz="4" w:space="0"/>
              <w:bottom w:val="single" w:color="auto" w:sz="4" w:space="0"/>
              <w:right w:val="single" w:color="auto" w:sz="4" w:space="0"/>
            </w:tcBorders>
            <w:vAlign w:val="center"/>
          </w:tcPr>
          <w:p w14:paraId="2B3957B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978" w:type="dxa"/>
            <w:tcBorders>
              <w:top w:val="single" w:color="auto" w:sz="4" w:space="0"/>
              <w:left w:val="single" w:color="auto" w:sz="4" w:space="0"/>
              <w:bottom w:val="single" w:color="auto" w:sz="4" w:space="0"/>
              <w:right w:val="single" w:color="auto" w:sz="4" w:space="0"/>
            </w:tcBorders>
            <w:vAlign w:val="center"/>
          </w:tcPr>
          <w:p w14:paraId="6152B62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1037" w:type="dxa"/>
            <w:tcBorders>
              <w:top w:val="single" w:color="auto" w:sz="4" w:space="0"/>
              <w:left w:val="single" w:color="auto" w:sz="4" w:space="0"/>
              <w:bottom w:val="single" w:color="auto" w:sz="4" w:space="0"/>
              <w:right w:val="single" w:color="auto" w:sz="4" w:space="0"/>
            </w:tcBorders>
            <w:vAlign w:val="center"/>
          </w:tcPr>
          <w:p w14:paraId="2B1DC17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废物类别</w:t>
            </w:r>
          </w:p>
        </w:tc>
        <w:tc>
          <w:tcPr>
            <w:tcW w:w="1037" w:type="dxa"/>
            <w:tcBorders>
              <w:top w:val="single" w:color="auto" w:sz="4" w:space="0"/>
              <w:left w:val="single" w:color="auto" w:sz="4" w:space="0"/>
              <w:bottom w:val="single" w:color="auto" w:sz="4" w:space="0"/>
              <w:right w:val="single" w:color="auto" w:sz="4" w:space="0"/>
            </w:tcBorders>
            <w:vAlign w:val="center"/>
          </w:tcPr>
          <w:p w14:paraId="393B40B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废物代码</w:t>
            </w:r>
          </w:p>
        </w:tc>
        <w:tc>
          <w:tcPr>
            <w:tcW w:w="1050" w:type="dxa"/>
            <w:tcBorders>
              <w:top w:val="single" w:color="auto" w:sz="4" w:space="0"/>
              <w:left w:val="single" w:color="auto" w:sz="4" w:space="0"/>
              <w:bottom w:val="single" w:color="auto" w:sz="4" w:space="0"/>
              <w:right w:val="single" w:color="auto" w:sz="4" w:space="0"/>
            </w:tcBorders>
            <w:vAlign w:val="center"/>
          </w:tcPr>
          <w:p w14:paraId="028950B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产生量</w:t>
            </w:r>
          </w:p>
          <w:p w14:paraId="794CA8E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（t/a）</w:t>
            </w:r>
          </w:p>
        </w:tc>
        <w:tc>
          <w:tcPr>
            <w:tcW w:w="1167" w:type="dxa"/>
            <w:tcBorders>
              <w:top w:val="single" w:color="auto" w:sz="4" w:space="0"/>
              <w:left w:val="single" w:color="auto" w:sz="4" w:space="0"/>
              <w:bottom w:val="single" w:color="auto" w:sz="4" w:space="0"/>
              <w:right w:val="single" w:color="auto" w:sz="4" w:space="0"/>
            </w:tcBorders>
            <w:vAlign w:val="center"/>
          </w:tcPr>
          <w:p w14:paraId="16BAD47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产生工序及装置</w:t>
            </w:r>
          </w:p>
        </w:tc>
        <w:tc>
          <w:tcPr>
            <w:tcW w:w="1035" w:type="dxa"/>
            <w:tcBorders>
              <w:top w:val="single" w:color="auto" w:sz="4" w:space="0"/>
              <w:left w:val="single" w:color="auto" w:sz="4" w:space="0"/>
              <w:bottom w:val="single" w:color="auto" w:sz="4" w:space="0"/>
              <w:right w:val="single" w:color="auto" w:sz="4" w:space="0"/>
            </w:tcBorders>
            <w:vAlign w:val="center"/>
          </w:tcPr>
          <w:p w14:paraId="64DABCD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暂存场所</w:t>
            </w:r>
          </w:p>
        </w:tc>
        <w:tc>
          <w:tcPr>
            <w:tcW w:w="1543" w:type="dxa"/>
            <w:tcBorders>
              <w:top w:val="single" w:color="auto" w:sz="4" w:space="0"/>
              <w:left w:val="single" w:color="auto" w:sz="4" w:space="0"/>
              <w:bottom w:val="single" w:color="auto" w:sz="4" w:space="0"/>
              <w:right w:val="single" w:color="auto" w:sz="4" w:space="0"/>
            </w:tcBorders>
            <w:vAlign w:val="center"/>
          </w:tcPr>
          <w:p w14:paraId="44AB4EC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处置措施</w:t>
            </w:r>
          </w:p>
        </w:tc>
      </w:tr>
      <w:tr w14:paraId="1911E5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0" w:type="dxa"/>
            <w:tcBorders>
              <w:top w:val="single" w:color="auto" w:sz="4" w:space="0"/>
              <w:left w:val="single" w:color="auto" w:sz="4" w:space="0"/>
              <w:bottom w:val="single" w:color="auto" w:sz="4" w:space="0"/>
              <w:right w:val="single" w:color="auto" w:sz="4" w:space="0"/>
            </w:tcBorders>
            <w:vAlign w:val="center"/>
          </w:tcPr>
          <w:p w14:paraId="1A86EF5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978" w:type="dxa"/>
            <w:tcBorders>
              <w:top w:val="single" w:color="auto" w:sz="4" w:space="0"/>
              <w:left w:val="single" w:color="auto" w:sz="4" w:space="0"/>
              <w:bottom w:val="single" w:color="auto" w:sz="4" w:space="0"/>
              <w:right w:val="single" w:color="auto" w:sz="4" w:space="0"/>
            </w:tcBorders>
            <w:vAlign w:val="center"/>
          </w:tcPr>
          <w:p w14:paraId="625BBEF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牛粪便</w:t>
            </w:r>
          </w:p>
        </w:tc>
        <w:tc>
          <w:tcPr>
            <w:tcW w:w="1037" w:type="dxa"/>
            <w:tcBorders>
              <w:top w:val="single" w:color="auto" w:sz="4" w:space="0"/>
              <w:left w:val="single" w:color="auto" w:sz="4" w:space="0"/>
              <w:bottom w:val="single" w:color="auto" w:sz="4" w:space="0"/>
              <w:right w:val="single" w:color="auto" w:sz="4" w:space="0"/>
            </w:tcBorders>
            <w:vAlign w:val="center"/>
          </w:tcPr>
          <w:p w14:paraId="2169C4C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37" w:type="dxa"/>
            <w:tcBorders>
              <w:top w:val="single" w:color="auto" w:sz="4" w:space="0"/>
              <w:left w:val="single" w:color="auto" w:sz="4" w:space="0"/>
              <w:bottom w:val="single" w:color="auto" w:sz="4" w:space="0"/>
              <w:right w:val="single" w:color="auto" w:sz="4" w:space="0"/>
            </w:tcBorders>
            <w:vAlign w:val="center"/>
          </w:tcPr>
          <w:p w14:paraId="025EC59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50" w:type="dxa"/>
            <w:tcBorders>
              <w:top w:val="single" w:color="auto" w:sz="4" w:space="0"/>
              <w:left w:val="single" w:color="auto" w:sz="4" w:space="0"/>
              <w:bottom w:val="single" w:color="auto" w:sz="4" w:space="0"/>
              <w:right w:val="single" w:color="auto" w:sz="4" w:space="0"/>
            </w:tcBorders>
            <w:vAlign w:val="center"/>
          </w:tcPr>
          <w:p w14:paraId="130CF8F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FF0000"/>
                <w:sz w:val="21"/>
                <w:szCs w:val="21"/>
                <w:highlight w:val="none"/>
                <w:lang w:eastAsia="zh-CN"/>
              </w:rPr>
              <w:t>9928</w:t>
            </w:r>
          </w:p>
        </w:tc>
        <w:tc>
          <w:tcPr>
            <w:tcW w:w="1167" w:type="dxa"/>
            <w:tcBorders>
              <w:top w:val="single" w:color="auto" w:sz="4" w:space="0"/>
              <w:left w:val="single" w:color="auto" w:sz="4" w:space="0"/>
              <w:bottom w:val="single" w:color="auto" w:sz="4" w:space="0"/>
              <w:right w:val="single" w:color="auto" w:sz="4" w:space="0"/>
            </w:tcBorders>
            <w:vAlign w:val="center"/>
          </w:tcPr>
          <w:p w14:paraId="0818663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牛群饲养</w:t>
            </w:r>
          </w:p>
        </w:tc>
        <w:tc>
          <w:tcPr>
            <w:tcW w:w="1035" w:type="dxa"/>
            <w:tcBorders>
              <w:top w:val="single" w:color="auto" w:sz="4" w:space="0"/>
              <w:left w:val="single" w:color="auto" w:sz="4" w:space="0"/>
              <w:bottom w:val="single" w:color="auto" w:sz="4" w:space="0"/>
              <w:right w:val="single" w:color="auto" w:sz="4" w:space="0"/>
            </w:tcBorders>
            <w:vAlign w:val="center"/>
          </w:tcPr>
          <w:p w14:paraId="3254949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集粪池</w:t>
            </w:r>
          </w:p>
        </w:tc>
        <w:tc>
          <w:tcPr>
            <w:tcW w:w="1543" w:type="dxa"/>
            <w:tcBorders>
              <w:top w:val="single" w:color="auto" w:sz="4" w:space="0"/>
              <w:left w:val="single" w:color="auto" w:sz="4" w:space="0"/>
              <w:bottom w:val="single" w:color="auto" w:sz="4" w:space="0"/>
              <w:right w:val="single" w:color="auto" w:sz="4" w:space="0"/>
            </w:tcBorders>
            <w:vAlign w:val="center"/>
          </w:tcPr>
          <w:p w14:paraId="1454269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清运至粪污处理池</w:t>
            </w:r>
            <w:r>
              <w:rPr>
                <w:rFonts w:hint="default" w:ascii="Times New Roman" w:hAnsi="Times New Roman" w:eastAsia="宋体" w:cs="Times New Roman"/>
                <w:color w:val="auto"/>
                <w:sz w:val="21"/>
                <w:szCs w:val="21"/>
                <w:highlight w:val="none"/>
              </w:rPr>
              <w:t>发酵，作为有机肥还田利用</w:t>
            </w:r>
          </w:p>
        </w:tc>
      </w:tr>
      <w:tr w14:paraId="3B1945F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0" w:type="dxa"/>
            <w:tcBorders>
              <w:top w:val="single" w:color="auto" w:sz="4" w:space="0"/>
              <w:left w:val="single" w:color="auto" w:sz="4" w:space="0"/>
              <w:bottom w:val="single" w:color="auto" w:sz="4" w:space="0"/>
              <w:right w:val="single" w:color="auto" w:sz="4" w:space="0"/>
            </w:tcBorders>
            <w:vAlign w:val="center"/>
          </w:tcPr>
          <w:p w14:paraId="5D10C1A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eastAsia="宋体" w:cs="Times New Roman"/>
                <w:color w:val="0000FF"/>
                <w:sz w:val="21"/>
                <w:szCs w:val="21"/>
                <w:highlight w:val="none"/>
              </w:rPr>
              <w:t>2</w:t>
            </w:r>
          </w:p>
        </w:tc>
        <w:tc>
          <w:tcPr>
            <w:tcW w:w="978" w:type="dxa"/>
            <w:tcBorders>
              <w:top w:val="single" w:color="auto" w:sz="4" w:space="0"/>
              <w:left w:val="single" w:color="auto" w:sz="4" w:space="0"/>
              <w:bottom w:val="single" w:color="auto" w:sz="4" w:space="0"/>
              <w:right w:val="single" w:color="auto" w:sz="4" w:space="0"/>
            </w:tcBorders>
            <w:vAlign w:val="center"/>
          </w:tcPr>
          <w:p w14:paraId="4A3352E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lang w:eastAsia="zh-CN"/>
              </w:rPr>
            </w:pPr>
            <w:r>
              <w:rPr>
                <w:rFonts w:hint="default" w:ascii="Times New Roman" w:hAnsi="Times New Roman" w:eastAsia="宋体" w:cs="Times New Roman"/>
                <w:color w:val="0000FF"/>
                <w:sz w:val="21"/>
                <w:szCs w:val="21"/>
                <w:highlight w:val="none"/>
              </w:rPr>
              <w:t>垫</w:t>
            </w:r>
            <w:r>
              <w:rPr>
                <w:rFonts w:hint="default" w:ascii="Times New Roman" w:hAnsi="Times New Roman" w:eastAsia="宋体" w:cs="Times New Roman"/>
                <w:color w:val="0000FF"/>
                <w:sz w:val="21"/>
                <w:szCs w:val="21"/>
                <w:highlight w:val="none"/>
                <w:lang w:val="en-US" w:eastAsia="zh-CN"/>
              </w:rPr>
              <w:t>料</w:t>
            </w:r>
          </w:p>
        </w:tc>
        <w:tc>
          <w:tcPr>
            <w:tcW w:w="1037" w:type="dxa"/>
            <w:tcBorders>
              <w:top w:val="single" w:color="auto" w:sz="4" w:space="0"/>
              <w:left w:val="single" w:color="auto" w:sz="4" w:space="0"/>
              <w:bottom w:val="single" w:color="auto" w:sz="4" w:space="0"/>
              <w:right w:val="single" w:color="auto" w:sz="4" w:space="0"/>
            </w:tcBorders>
            <w:vAlign w:val="center"/>
          </w:tcPr>
          <w:p w14:paraId="721FA6E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w:t>
            </w:r>
          </w:p>
        </w:tc>
        <w:tc>
          <w:tcPr>
            <w:tcW w:w="1037" w:type="dxa"/>
            <w:tcBorders>
              <w:top w:val="single" w:color="auto" w:sz="4" w:space="0"/>
              <w:left w:val="single" w:color="auto" w:sz="4" w:space="0"/>
              <w:bottom w:val="single" w:color="auto" w:sz="4" w:space="0"/>
              <w:right w:val="single" w:color="auto" w:sz="4" w:space="0"/>
            </w:tcBorders>
            <w:vAlign w:val="center"/>
          </w:tcPr>
          <w:p w14:paraId="7F0C5B4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420" w:firstLineChars="20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w:t>
            </w:r>
          </w:p>
        </w:tc>
        <w:tc>
          <w:tcPr>
            <w:tcW w:w="1050" w:type="dxa"/>
            <w:tcBorders>
              <w:top w:val="single" w:color="auto" w:sz="4" w:space="0"/>
              <w:left w:val="single" w:color="auto" w:sz="4" w:space="0"/>
              <w:bottom w:val="single" w:color="auto" w:sz="4" w:space="0"/>
              <w:right w:val="single" w:color="auto" w:sz="4" w:space="0"/>
            </w:tcBorders>
            <w:vAlign w:val="center"/>
          </w:tcPr>
          <w:p w14:paraId="1E1DF2C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50</w:t>
            </w:r>
          </w:p>
        </w:tc>
        <w:tc>
          <w:tcPr>
            <w:tcW w:w="1167" w:type="dxa"/>
            <w:tcBorders>
              <w:top w:val="single" w:color="auto" w:sz="4" w:space="0"/>
              <w:left w:val="single" w:color="auto" w:sz="4" w:space="0"/>
              <w:bottom w:val="single" w:color="auto" w:sz="4" w:space="0"/>
              <w:right w:val="single" w:color="auto" w:sz="4" w:space="0"/>
            </w:tcBorders>
            <w:vAlign w:val="center"/>
          </w:tcPr>
          <w:p w14:paraId="409DDA8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牛</w:t>
            </w:r>
            <w:r>
              <w:rPr>
                <w:rFonts w:hint="default" w:ascii="Times New Roman" w:hAnsi="Times New Roman" w:eastAsia="宋体" w:cs="Times New Roman"/>
                <w:color w:val="0000FF"/>
                <w:sz w:val="21"/>
                <w:szCs w:val="21"/>
                <w:highlight w:val="none"/>
                <w:lang w:val="en-US" w:eastAsia="zh-CN"/>
              </w:rPr>
              <w:t>舍</w:t>
            </w:r>
            <w:r>
              <w:rPr>
                <w:rFonts w:hint="default" w:ascii="Times New Roman" w:hAnsi="Times New Roman" w:eastAsia="宋体" w:cs="Times New Roman"/>
                <w:color w:val="0000FF"/>
                <w:sz w:val="21"/>
                <w:szCs w:val="21"/>
                <w:highlight w:val="none"/>
              </w:rPr>
              <w:t>和运动场</w:t>
            </w:r>
          </w:p>
        </w:tc>
        <w:tc>
          <w:tcPr>
            <w:tcW w:w="1035" w:type="dxa"/>
            <w:tcBorders>
              <w:top w:val="single" w:color="auto" w:sz="4" w:space="0"/>
              <w:left w:val="single" w:color="auto" w:sz="4" w:space="0"/>
              <w:bottom w:val="single" w:color="auto" w:sz="4" w:space="0"/>
              <w:right w:val="single" w:color="auto" w:sz="4" w:space="0"/>
            </w:tcBorders>
            <w:vAlign w:val="center"/>
          </w:tcPr>
          <w:p w14:paraId="44D9E0E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lang w:eastAsia="zh-CN"/>
              </w:rPr>
            </w:pPr>
            <w:r>
              <w:rPr>
                <w:rFonts w:hint="default" w:ascii="Times New Roman" w:hAnsi="Times New Roman" w:eastAsia="宋体" w:cs="Times New Roman"/>
                <w:color w:val="0000FF"/>
                <w:sz w:val="21"/>
                <w:szCs w:val="21"/>
                <w:highlight w:val="none"/>
                <w:lang w:eastAsia="zh-CN"/>
              </w:rPr>
              <w:t>粪污处理池</w:t>
            </w:r>
          </w:p>
        </w:tc>
        <w:tc>
          <w:tcPr>
            <w:tcW w:w="1543" w:type="dxa"/>
            <w:tcBorders>
              <w:top w:val="single" w:color="auto" w:sz="4" w:space="0"/>
              <w:left w:val="single" w:color="auto" w:sz="4" w:space="0"/>
              <w:bottom w:val="single" w:color="auto" w:sz="4" w:space="0"/>
              <w:right w:val="single" w:color="auto" w:sz="4" w:space="0"/>
            </w:tcBorders>
            <w:vAlign w:val="center"/>
          </w:tcPr>
          <w:p w14:paraId="131D963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lang w:eastAsia="zh-CN"/>
              </w:rPr>
            </w:pPr>
            <w:r>
              <w:rPr>
                <w:rFonts w:hint="default" w:ascii="Times New Roman" w:hAnsi="Times New Roman" w:eastAsia="宋体" w:cs="Times New Roman"/>
                <w:color w:val="0000FF"/>
                <w:sz w:val="21"/>
                <w:szCs w:val="21"/>
                <w:highlight w:val="none"/>
                <w:lang w:val="en-US" w:eastAsia="zh-CN"/>
              </w:rPr>
              <w:t>与</w:t>
            </w:r>
            <w:r>
              <w:rPr>
                <w:rFonts w:hint="default" w:ascii="Times New Roman" w:hAnsi="Times New Roman" w:eastAsia="宋体" w:cs="Times New Roman"/>
                <w:color w:val="0000FF"/>
                <w:sz w:val="21"/>
                <w:szCs w:val="21"/>
                <w:highlight w:val="none"/>
                <w:lang w:eastAsia="zh-CN"/>
              </w:rPr>
              <w:t>牛粪便</w:t>
            </w:r>
            <w:r>
              <w:rPr>
                <w:rFonts w:hint="default" w:ascii="Times New Roman" w:hAnsi="Times New Roman" w:eastAsia="宋体" w:cs="Times New Roman"/>
                <w:color w:val="0000FF"/>
                <w:sz w:val="21"/>
                <w:szCs w:val="21"/>
                <w:highlight w:val="none"/>
                <w:lang w:val="en-US" w:eastAsia="zh-CN"/>
              </w:rPr>
              <w:t>一同发酵</w:t>
            </w:r>
            <w:r>
              <w:rPr>
                <w:rFonts w:hint="default" w:ascii="Times New Roman" w:hAnsi="Times New Roman" w:eastAsia="宋体" w:cs="Times New Roman"/>
                <w:color w:val="0000FF"/>
                <w:sz w:val="21"/>
                <w:szCs w:val="21"/>
                <w:highlight w:val="none"/>
                <w:lang w:eastAsia="zh-CN"/>
              </w:rPr>
              <w:t>，形成</w:t>
            </w:r>
            <w:r>
              <w:rPr>
                <w:rFonts w:hint="default" w:ascii="Times New Roman" w:hAnsi="Times New Roman" w:eastAsia="宋体" w:cs="Times New Roman"/>
                <w:color w:val="0000FF"/>
                <w:sz w:val="21"/>
                <w:szCs w:val="21"/>
                <w:highlight w:val="none"/>
              </w:rPr>
              <w:t>有机肥</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用于周边农田还田利用</w:t>
            </w:r>
          </w:p>
        </w:tc>
      </w:tr>
      <w:tr w14:paraId="007A9AC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0" w:type="dxa"/>
            <w:tcBorders>
              <w:top w:val="single" w:color="auto" w:sz="4" w:space="0"/>
              <w:left w:val="single" w:color="auto" w:sz="4" w:space="0"/>
              <w:bottom w:val="single" w:color="auto" w:sz="4" w:space="0"/>
              <w:right w:val="single" w:color="auto" w:sz="4" w:space="0"/>
            </w:tcBorders>
            <w:vAlign w:val="center"/>
          </w:tcPr>
          <w:p w14:paraId="376FCE4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c>
          <w:tcPr>
            <w:tcW w:w="978" w:type="dxa"/>
            <w:tcBorders>
              <w:top w:val="single" w:color="auto" w:sz="4" w:space="0"/>
              <w:left w:val="single" w:color="auto" w:sz="4" w:space="0"/>
              <w:bottom w:val="single" w:color="auto" w:sz="4" w:space="0"/>
              <w:right w:val="single" w:color="auto" w:sz="4" w:space="0"/>
            </w:tcBorders>
            <w:vAlign w:val="center"/>
          </w:tcPr>
          <w:p w14:paraId="7AE26D9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病死牛</w:t>
            </w:r>
          </w:p>
        </w:tc>
        <w:tc>
          <w:tcPr>
            <w:tcW w:w="1037" w:type="dxa"/>
            <w:tcBorders>
              <w:top w:val="single" w:color="auto" w:sz="4" w:space="0"/>
              <w:left w:val="single" w:color="auto" w:sz="4" w:space="0"/>
              <w:bottom w:val="single" w:color="auto" w:sz="4" w:space="0"/>
              <w:right w:val="single" w:color="auto" w:sz="4" w:space="0"/>
            </w:tcBorders>
            <w:vAlign w:val="center"/>
          </w:tcPr>
          <w:p w14:paraId="5032FDA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1037" w:type="dxa"/>
            <w:tcBorders>
              <w:top w:val="single" w:color="auto" w:sz="4" w:space="0"/>
              <w:left w:val="single" w:color="auto" w:sz="4" w:space="0"/>
              <w:bottom w:val="single" w:color="auto" w:sz="4" w:space="0"/>
              <w:right w:val="single" w:color="auto" w:sz="4" w:space="0"/>
            </w:tcBorders>
            <w:vAlign w:val="center"/>
          </w:tcPr>
          <w:p w14:paraId="312A102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1050" w:type="dxa"/>
            <w:tcBorders>
              <w:top w:val="single" w:color="auto" w:sz="4" w:space="0"/>
              <w:left w:val="single" w:color="auto" w:sz="4" w:space="0"/>
              <w:bottom w:val="single" w:color="auto" w:sz="4" w:space="0"/>
              <w:right w:val="single" w:color="auto" w:sz="4" w:space="0"/>
            </w:tcBorders>
            <w:vAlign w:val="center"/>
          </w:tcPr>
          <w:p w14:paraId="02FCFE2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2.5</w:t>
            </w:r>
          </w:p>
        </w:tc>
        <w:tc>
          <w:tcPr>
            <w:tcW w:w="1167" w:type="dxa"/>
            <w:tcBorders>
              <w:top w:val="single" w:color="auto" w:sz="4" w:space="0"/>
              <w:left w:val="single" w:color="auto" w:sz="4" w:space="0"/>
              <w:bottom w:val="single" w:color="auto" w:sz="4" w:space="0"/>
              <w:right w:val="single" w:color="auto" w:sz="4" w:space="0"/>
            </w:tcBorders>
            <w:vAlign w:val="center"/>
          </w:tcPr>
          <w:p w14:paraId="1BDEB6C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牛群饲养</w:t>
            </w:r>
          </w:p>
        </w:tc>
        <w:tc>
          <w:tcPr>
            <w:tcW w:w="1035" w:type="dxa"/>
            <w:tcBorders>
              <w:top w:val="single" w:color="auto" w:sz="4" w:space="0"/>
              <w:left w:val="single" w:color="auto" w:sz="4" w:space="0"/>
              <w:bottom w:val="single" w:color="auto" w:sz="4" w:space="0"/>
              <w:right w:val="single" w:color="auto" w:sz="4" w:space="0"/>
            </w:tcBorders>
            <w:vAlign w:val="center"/>
          </w:tcPr>
          <w:p w14:paraId="040ADF3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冷藏间</w:t>
            </w:r>
          </w:p>
        </w:tc>
        <w:tc>
          <w:tcPr>
            <w:tcW w:w="1543" w:type="dxa"/>
            <w:tcBorders>
              <w:top w:val="single" w:color="auto" w:sz="4" w:space="0"/>
              <w:left w:val="single" w:color="auto" w:sz="4" w:space="0"/>
              <w:bottom w:val="single" w:color="auto" w:sz="4" w:space="0"/>
              <w:right w:val="single" w:color="auto" w:sz="4" w:space="0"/>
            </w:tcBorders>
            <w:vAlign w:val="center"/>
          </w:tcPr>
          <w:p w14:paraId="6D4B735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交由巴彦淖尔市绿之源生物技术发展有限公司进行无害化处理</w:t>
            </w:r>
          </w:p>
        </w:tc>
      </w:tr>
      <w:tr w14:paraId="2858D6C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0" w:type="dxa"/>
            <w:tcBorders>
              <w:top w:val="single" w:color="auto" w:sz="4" w:space="0"/>
              <w:left w:val="single" w:color="auto" w:sz="4" w:space="0"/>
              <w:bottom w:val="single" w:color="auto" w:sz="4" w:space="0"/>
              <w:right w:val="single" w:color="auto" w:sz="4" w:space="0"/>
            </w:tcBorders>
            <w:vAlign w:val="center"/>
          </w:tcPr>
          <w:p w14:paraId="7654071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w:t>
            </w:r>
          </w:p>
        </w:tc>
        <w:tc>
          <w:tcPr>
            <w:tcW w:w="978" w:type="dxa"/>
            <w:tcBorders>
              <w:top w:val="single" w:color="auto" w:sz="4" w:space="0"/>
              <w:left w:val="single" w:color="auto" w:sz="4" w:space="0"/>
              <w:bottom w:val="single" w:color="auto" w:sz="4" w:space="0"/>
              <w:right w:val="single" w:color="auto" w:sz="4" w:space="0"/>
            </w:tcBorders>
            <w:vAlign w:val="center"/>
          </w:tcPr>
          <w:p w14:paraId="2615052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医疗垃圾</w:t>
            </w:r>
          </w:p>
        </w:tc>
        <w:tc>
          <w:tcPr>
            <w:tcW w:w="1037" w:type="dxa"/>
            <w:tcBorders>
              <w:top w:val="single" w:color="auto" w:sz="4" w:space="0"/>
              <w:left w:val="single" w:color="auto" w:sz="4" w:space="0"/>
              <w:bottom w:val="single" w:color="auto" w:sz="4" w:space="0"/>
              <w:right w:val="single" w:color="auto" w:sz="4" w:space="0"/>
            </w:tcBorders>
            <w:vAlign w:val="center"/>
          </w:tcPr>
          <w:p w14:paraId="5E5AC89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HW01医疗废物</w:t>
            </w:r>
          </w:p>
        </w:tc>
        <w:tc>
          <w:tcPr>
            <w:tcW w:w="1037" w:type="dxa"/>
            <w:tcBorders>
              <w:top w:val="single" w:color="auto" w:sz="4" w:space="0"/>
              <w:left w:val="single" w:color="auto" w:sz="4" w:space="0"/>
              <w:bottom w:val="single" w:color="auto" w:sz="4" w:space="0"/>
              <w:right w:val="single" w:color="auto" w:sz="4" w:space="0"/>
            </w:tcBorders>
            <w:vAlign w:val="center"/>
          </w:tcPr>
          <w:p w14:paraId="49D922C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0000FF"/>
                <w:kern w:val="2"/>
                <w:sz w:val="21"/>
                <w:szCs w:val="21"/>
                <w:highlight w:val="none"/>
                <w:lang w:val="en-US" w:eastAsia="zh-CN" w:bidi="ar-SA"/>
              </w:rPr>
              <w:t>841-001-01、841-002-01、841-005-01</w:t>
            </w:r>
          </w:p>
        </w:tc>
        <w:tc>
          <w:tcPr>
            <w:tcW w:w="1050" w:type="dxa"/>
            <w:tcBorders>
              <w:top w:val="single" w:color="auto" w:sz="4" w:space="0"/>
              <w:left w:val="single" w:color="auto" w:sz="4" w:space="0"/>
              <w:bottom w:val="single" w:color="auto" w:sz="4" w:space="0"/>
              <w:right w:val="single" w:color="auto" w:sz="4" w:space="0"/>
            </w:tcBorders>
            <w:vAlign w:val="center"/>
          </w:tcPr>
          <w:p w14:paraId="42DE25A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0.25</w:t>
            </w:r>
          </w:p>
        </w:tc>
        <w:tc>
          <w:tcPr>
            <w:tcW w:w="1167" w:type="dxa"/>
            <w:tcBorders>
              <w:top w:val="single" w:color="auto" w:sz="4" w:space="0"/>
              <w:left w:val="single" w:color="auto" w:sz="4" w:space="0"/>
              <w:bottom w:val="single" w:color="auto" w:sz="4" w:space="0"/>
              <w:right w:val="single" w:color="auto" w:sz="4" w:space="0"/>
            </w:tcBorders>
            <w:vAlign w:val="center"/>
          </w:tcPr>
          <w:p w14:paraId="5BA3950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卫生防疫</w:t>
            </w:r>
          </w:p>
        </w:tc>
        <w:tc>
          <w:tcPr>
            <w:tcW w:w="1035" w:type="dxa"/>
            <w:tcBorders>
              <w:top w:val="single" w:color="auto" w:sz="4" w:space="0"/>
              <w:left w:val="single" w:color="auto" w:sz="4" w:space="0"/>
              <w:bottom w:val="single" w:color="auto" w:sz="4" w:space="0"/>
              <w:right w:val="single" w:color="auto" w:sz="4" w:space="0"/>
            </w:tcBorders>
            <w:vAlign w:val="center"/>
          </w:tcPr>
          <w:p w14:paraId="4B2E431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危废暂存间</w:t>
            </w:r>
          </w:p>
        </w:tc>
        <w:tc>
          <w:tcPr>
            <w:tcW w:w="1543" w:type="dxa"/>
            <w:tcBorders>
              <w:top w:val="single" w:color="auto" w:sz="4" w:space="0"/>
              <w:left w:val="single" w:color="auto" w:sz="4" w:space="0"/>
              <w:bottom w:val="single" w:color="auto" w:sz="4" w:space="0"/>
              <w:right w:val="single" w:color="auto" w:sz="4" w:space="0"/>
            </w:tcBorders>
            <w:vAlign w:val="center"/>
          </w:tcPr>
          <w:p w14:paraId="5814A98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定期由有资质单位处置</w:t>
            </w:r>
          </w:p>
        </w:tc>
      </w:tr>
      <w:tr w14:paraId="6E67903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0" w:type="dxa"/>
            <w:tcBorders>
              <w:top w:val="single" w:color="auto" w:sz="4" w:space="0"/>
              <w:left w:val="single" w:color="auto" w:sz="4" w:space="0"/>
              <w:bottom w:val="single" w:color="auto" w:sz="4" w:space="0"/>
              <w:right w:val="single" w:color="auto" w:sz="4" w:space="0"/>
            </w:tcBorders>
            <w:vAlign w:val="center"/>
          </w:tcPr>
          <w:p w14:paraId="3CB141C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w:t>
            </w:r>
          </w:p>
        </w:tc>
        <w:tc>
          <w:tcPr>
            <w:tcW w:w="978" w:type="dxa"/>
            <w:tcBorders>
              <w:top w:val="single" w:color="auto" w:sz="4" w:space="0"/>
              <w:left w:val="single" w:color="auto" w:sz="4" w:space="0"/>
              <w:bottom w:val="single" w:color="auto" w:sz="4" w:space="0"/>
              <w:right w:val="single" w:color="auto" w:sz="4" w:space="0"/>
            </w:tcBorders>
            <w:vAlign w:val="center"/>
          </w:tcPr>
          <w:p w14:paraId="6B0FB1D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生活垃圾</w:t>
            </w:r>
          </w:p>
        </w:tc>
        <w:tc>
          <w:tcPr>
            <w:tcW w:w="1037" w:type="dxa"/>
            <w:tcBorders>
              <w:top w:val="single" w:color="auto" w:sz="4" w:space="0"/>
              <w:left w:val="single" w:color="auto" w:sz="4" w:space="0"/>
              <w:bottom w:val="single" w:color="auto" w:sz="4" w:space="0"/>
              <w:right w:val="single" w:color="auto" w:sz="4" w:space="0"/>
            </w:tcBorders>
            <w:vAlign w:val="center"/>
          </w:tcPr>
          <w:p w14:paraId="22BCBB4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1037" w:type="dxa"/>
            <w:tcBorders>
              <w:top w:val="single" w:color="auto" w:sz="4" w:space="0"/>
              <w:left w:val="single" w:color="auto" w:sz="4" w:space="0"/>
              <w:bottom w:val="single" w:color="auto" w:sz="4" w:space="0"/>
              <w:right w:val="single" w:color="auto" w:sz="4" w:space="0"/>
            </w:tcBorders>
            <w:vAlign w:val="center"/>
          </w:tcPr>
          <w:p w14:paraId="21D331E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1050" w:type="dxa"/>
            <w:tcBorders>
              <w:top w:val="single" w:color="auto" w:sz="4" w:space="0"/>
              <w:left w:val="single" w:color="auto" w:sz="4" w:space="0"/>
              <w:bottom w:val="single" w:color="auto" w:sz="4" w:space="0"/>
              <w:right w:val="single" w:color="auto" w:sz="4" w:space="0"/>
            </w:tcBorders>
            <w:vAlign w:val="center"/>
          </w:tcPr>
          <w:p w14:paraId="718A7A0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9.125</w:t>
            </w:r>
          </w:p>
        </w:tc>
        <w:tc>
          <w:tcPr>
            <w:tcW w:w="1167" w:type="dxa"/>
            <w:tcBorders>
              <w:top w:val="single" w:color="auto" w:sz="4" w:space="0"/>
              <w:left w:val="single" w:color="auto" w:sz="4" w:space="0"/>
              <w:bottom w:val="single" w:color="auto" w:sz="4" w:space="0"/>
              <w:right w:val="single" w:color="auto" w:sz="4" w:space="0"/>
            </w:tcBorders>
            <w:vAlign w:val="center"/>
          </w:tcPr>
          <w:p w14:paraId="23E9ADC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人员办公</w:t>
            </w:r>
          </w:p>
        </w:tc>
        <w:tc>
          <w:tcPr>
            <w:tcW w:w="1035" w:type="dxa"/>
            <w:tcBorders>
              <w:top w:val="single" w:color="auto" w:sz="4" w:space="0"/>
              <w:left w:val="single" w:color="auto" w:sz="4" w:space="0"/>
              <w:bottom w:val="single" w:color="auto" w:sz="4" w:space="0"/>
              <w:right w:val="single" w:color="auto" w:sz="4" w:space="0"/>
            </w:tcBorders>
            <w:vAlign w:val="center"/>
          </w:tcPr>
          <w:p w14:paraId="1A86E87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垃圾桶</w:t>
            </w:r>
          </w:p>
        </w:tc>
        <w:tc>
          <w:tcPr>
            <w:tcW w:w="1543" w:type="dxa"/>
            <w:tcBorders>
              <w:top w:val="single" w:color="auto" w:sz="4" w:space="0"/>
              <w:left w:val="single" w:color="auto" w:sz="4" w:space="0"/>
              <w:bottom w:val="single" w:color="auto" w:sz="4" w:space="0"/>
              <w:right w:val="single" w:color="auto" w:sz="4" w:space="0"/>
            </w:tcBorders>
            <w:vAlign w:val="center"/>
          </w:tcPr>
          <w:p w14:paraId="3A9666F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bidi="zh-CN"/>
              </w:rPr>
              <w:t>清运到环卫部门指定的地点集中处理</w:t>
            </w:r>
          </w:p>
        </w:tc>
      </w:tr>
    </w:tbl>
    <w:p w14:paraId="5BF09D07">
      <w:pPr>
        <w:pStyle w:val="3"/>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0"/>
        <w:rPr>
          <w:rFonts w:hint="default" w:ascii="Times New Roman" w:hAnsi="Times New Roman" w:eastAsia="宋体" w:cs="Times New Roman"/>
          <w:color w:val="auto"/>
          <w:highlight w:val="none"/>
        </w:rPr>
      </w:pPr>
      <w:bookmarkStart w:id="281" w:name="_Toc24815"/>
      <w:bookmarkStart w:id="282" w:name="_Toc46421103"/>
      <w:r>
        <w:rPr>
          <w:rFonts w:hint="default" w:ascii="Times New Roman" w:hAnsi="Times New Roman" w:eastAsia="宋体" w:cs="Times New Roman"/>
          <w:color w:val="auto"/>
          <w:highlight w:val="none"/>
        </w:rPr>
        <w:t>3.4粪污资源化利用综述</w:t>
      </w:r>
      <w:bookmarkEnd w:id="281"/>
      <w:bookmarkEnd w:id="282"/>
    </w:p>
    <w:p w14:paraId="0B38B413">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bookmarkStart w:id="283" w:name="_Toc46421104"/>
      <w:bookmarkStart w:id="284" w:name="_Toc19557"/>
      <w:r>
        <w:rPr>
          <w:rFonts w:hint="default" w:ascii="Times New Roman" w:hAnsi="Times New Roman" w:eastAsia="宋体" w:cs="Times New Roman"/>
          <w:color w:val="auto"/>
          <w:highlight w:val="none"/>
        </w:rPr>
        <w:t>3.4.1有机肥产生量</w:t>
      </w:r>
      <w:bookmarkEnd w:id="283"/>
      <w:bookmarkEnd w:id="284"/>
    </w:p>
    <w:p w14:paraId="29A7A2D8">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sz w:val="24"/>
          <w:szCs w:val="24"/>
          <w:highlight w:val="none"/>
        </w:rPr>
        <w:t>通过工程分析，</w:t>
      </w:r>
      <w:r>
        <w:rPr>
          <w:rFonts w:hint="default" w:ascii="Times New Roman" w:hAnsi="Times New Roman" w:eastAsia="宋体" w:cs="Times New Roman"/>
          <w:color w:val="FF0000"/>
          <w:highlight w:val="none"/>
          <w:lang w:eastAsia="zh-CN"/>
        </w:rPr>
        <w:t>本项目</w:t>
      </w:r>
      <w:r>
        <w:rPr>
          <w:rFonts w:hint="default" w:ascii="Times New Roman" w:hAnsi="Times New Roman" w:eastAsia="宋体" w:cs="Times New Roman"/>
          <w:color w:val="FF0000"/>
          <w:sz w:val="24"/>
          <w:szCs w:val="24"/>
          <w:highlight w:val="none"/>
        </w:rPr>
        <w:t>产生的</w:t>
      </w:r>
      <w:r>
        <w:rPr>
          <w:rFonts w:hint="default" w:ascii="Times New Roman" w:hAnsi="Times New Roman" w:eastAsia="宋体" w:cs="Times New Roman"/>
          <w:color w:val="FF0000"/>
          <w:sz w:val="24"/>
          <w:szCs w:val="24"/>
          <w:highlight w:val="none"/>
          <w:lang w:eastAsia="zh-CN"/>
        </w:rPr>
        <w:t>牛粪便量为</w:t>
      </w:r>
      <w:r>
        <w:rPr>
          <w:rFonts w:hint="default" w:ascii="Times New Roman" w:hAnsi="Times New Roman" w:eastAsia="宋体" w:cs="Times New Roman"/>
          <w:color w:val="FF0000"/>
          <w:sz w:val="24"/>
          <w:szCs w:val="24"/>
          <w:highlight w:val="none"/>
          <w:lang w:val="en-US" w:eastAsia="zh-CN"/>
        </w:rPr>
        <w:t>9928</w:t>
      </w:r>
      <w:r>
        <w:rPr>
          <w:rFonts w:hint="default" w:ascii="Times New Roman" w:hAnsi="Times New Roman" w:eastAsia="宋体" w:cs="Times New Roman"/>
          <w:color w:val="FF0000"/>
          <w:sz w:val="24"/>
          <w:szCs w:val="24"/>
          <w:highlight w:val="none"/>
        </w:rPr>
        <w:t>t/a</w:t>
      </w:r>
      <w:r>
        <w:rPr>
          <w:rFonts w:hint="default" w:ascii="Times New Roman" w:hAnsi="Times New Roman" w:eastAsia="宋体" w:cs="Times New Roman"/>
          <w:color w:val="FF0000"/>
          <w:sz w:val="24"/>
          <w:szCs w:val="24"/>
          <w:highlight w:val="none"/>
          <w:lang w:eastAsia="zh-CN"/>
        </w:rPr>
        <w:t>，</w:t>
      </w:r>
      <w:r>
        <w:rPr>
          <w:rFonts w:hint="default" w:ascii="Times New Roman" w:hAnsi="Times New Roman" w:eastAsia="宋体" w:cs="Times New Roman"/>
          <w:color w:val="0000FF"/>
          <w:sz w:val="24"/>
          <w:szCs w:val="24"/>
          <w:highlight w:val="none"/>
          <w:lang w:eastAsia="zh-CN"/>
        </w:rPr>
        <w:t>牛舍和运动场垫料产生量为50t/a</w:t>
      </w:r>
      <w:r>
        <w:rPr>
          <w:rFonts w:hint="default" w:ascii="Times New Roman" w:hAnsi="Times New Roman" w:eastAsia="宋体" w:cs="Times New Roman"/>
          <w:color w:val="0000FF"/>
          <w:sz w:val="24"/>
          <w:szCs w:val="24"/>
          <w:highlight w:val="none"/>
          <w:lang w:eastAsia="zh-CN"/>
        </w:rPr>
        <w:t>，</w:t>
      </w:r>
      <w:r>
        <w:rPr>
          <w:rFonts w:hint="default" w:ascii="Times New Roman" w:hAnsi="Times New Roman" w:eastAsia="宋体" w:cs="Times New Roman"/>
          <w:color w:val="FF0000"/>
          <w:highlight w:val="none"/>
        </w:rPr>
        <w:t>本项目清粪方式采用干清粪工艺集中收集到</w:t>
      </w:r>
      <w:r>
        <w:rPr>
          <w:rFonts w:hint="default" w:ascii="Times New Roman" w:hAnsi="Times New Roman" w:eastAsia="宋体" w:cs="Times New Roman"/>
          <w:color w:val="FF0000"/>
          <w:highlight w:val="none"/>
          <w:lang w:eastAsia="zh-CN"/>
        </w:rPr>
        <w:t>粪污处理池</w:t>
      </w:r>
      <w:r>
        <w:rPr>
          <w:rFonts w:hint="default" w:ascii="Times New Roman" w:hAnsi="Times New Roman" w:eastAsia="宋体" w:cs="Times New Roman"/>
          <w:color w:val="FF0000"/>
          <w:highlight w:val="none"/>
        </w:rPr>
        <w:t>进行堆肥处理后，</w:t>
      </w:r>
      <w:r>
        <w:rPr>
          <w:rFonts w:hint="default" w:ascii="Times New Roman" w:hAnsi="Times New Roman" w:eastAsia="宋体" w:cs="Times New Roman"/>
          <w:color w:val="FF0000"/>
          <w:highlight w:val="none"/>
          <w:lang w:eastAsia="zh-CN"/>
        </w:rPr>
        <w:t>牛粪便</w:t>
      </w:r>
      <w:r>
        <w:rPr>
          <w:rFonts w:hint="default" w:ascii="Times New Roman" w:hAnsi="Times New Roman" w:eastAsia="宋体" w:cs="Times New Roman"/>
          <w:color w:val="FF0000"/>
          <w:highlight w:val="none"/>
        </w:rPr>
        <w:t>经完全发酵后</w:t>
      </w:r>
      <w:r>
        <w:rPr>
          <w:rFonts w:hint="default" w:ascii="Times New Roman" w:hAnsi="Times New Roman" w:eastAsia="宋体" w:cs="Times New Roman"/>
          <w:color w:val="FF0000"/>
          <w:highlight w:val="none"/>
          <w:lang w:eastAsia="zh-CN"/>
        </w:rPr>
        <w:t>，形成</w:t>
      </w:r>
      <w:r>
        <w:rPr>
          <w:rFonts w:hint="default" w:ascii="Times New Roman" w:hAnsi="Times New Roman" w:eastAsia="宋体" w:cs="Times New Roman"/>
          <w:color w:val="FF0000"/>
          <w:highlight w:val="none"/>
        </w:rPr>
        <w:t>有机肥。</w:t>
      </w:r>
      <w:r>
        <w:rPr>
          <w:rFonts w:hint="default" w:ascii="Times New Roman" w:hAnsi="Times New Roman" w:eastAsia="宋体" w:cs="Times New Roman"/>
          <w:color w:val="FF0000"/>
          <w:sz w:val="24"/>
          <w:szCs w:val="24"/>
          <w:highlight w:val="none"/>
          <w:lang w:val="en-US" w:eastAsia="zh-CN"/>
        </w:rPr>
        <w:t>满足</w:t>
      </w:r>
      <w:r>
        <w:rPr>
          <w:rFonts w:hint="default" w:ascii="Times New Roman" w:hAnsi="Times New Roman" w:eastAsia="宋体" w:cs="Times New Roman"/>
          <w:color w:val="FF0000"/>
          <w:sz w:val="24"/>
          <w:szCs w:val="24"/>
          <w:highlight w:val="none"/>
        </w:rPr>
        <w:t>《粪便无害化卫生标准》</w:t>
      </w:r>
      <w:r>
        <w:rPr>
          <w:rFonts w:hint="default" w:ascii="Times New Roman" w:hAnsi="Times New Roman" w:eastAsia="宋体" w:cs="Times New Roman"/>
          <w:color w:val="FF0000"/>
          <w:sz w:val="24"/>
          <w:szCs w:val="24"/>
          <w:highlight w:val="none"/>
          <w:lang w:val="en-US" w:eastAsia="zh-CN"/>
        </w:rPr>
        <w:t>的要求</w:t>
      </w:r>
      <w:r>
        <w:rPr>
          <w:rFonts w:hint="default" w:ascii="Times New Roman" w:hAnsi="Times New Roman" w:eastAsia="宋体" w:cs="Times New Roman"/>
          <w:color w:val="FF0000"/>
          <w:sz w:val="24"/>
          <w:szCs w:val="24"/>
          <w:highlight w:val="none"/>
          <w:lang w:eastAsia="zh-CN"/>
        </w:rPr>
        <w:t>作为有机肥还田利用</w:t>
      </w:r>
      <w:r>
        <w:rPr>
          <w:rFonts w:hint="default" w:ascii="Times New Roman" w:hAnsi="Times New Roman" w:eastAsia="宋体" w:cs="Times New Roman"/>
          <w:color w:val="FF0000"/>
          <w:highlight w:val="none"/>
        </w:rPr>
        <w:t>。</w:t>
      </w:r>
    </w:p>
    <w:p w14:paraId="408B538E">
      <w:pPr>
        <w:pStyle w:val="3"/>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0"/>
        <w:rPr>
          <w:rFonts w:hint="default" w:ascii="Times New Roman" w:hAnsi="Times New Roman" w:eastAsia="宋体" w:cs="Times New Roman"/>
          <w:color w:val="auto"/>
          <w:highlight w:val="none"/>
        </w:rPr>
      </w:pPr>
      <w:bookmarkStart w:id="285" w:name="_Toc19955"/>
      <w:r>
        <w:rPr>
          <w:rFonts w:hint="default" w:ascii="Times New Roman" w:hAnsi="Times New Roman" w:eastAsia="宋体" w:cs="Times New Roman"/>
          <w:color w:val="auto"/>
          <w:highlight w:val="none"/>
        </w:rPr>
        <w:t>3.5污染物排放清单</w:t>
      </w:r>
      <w:bookmarkEnd w:id="285"/>
    </w:p>
    <w:p w14:paraId="5986E82F">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szCs w:val="20"/>
          <w:highlight w:val="none"/>
        </w:rPr>
      </w:pPr>
    </w:p>
    <w:p w14:paraId="18AE9C5E">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szCs w:val="20"/>
          <w:highlight w:val="none"/>
        </w:rPr>
        <w:sectPr>
          <w:pgSz w:w="11906" w:h="16838"/>
          <w:pgMar w:top="1440" w:right="1800" w:bottom="1440" w:left="1800" w:header="851" w:footer="1134" w:gutter="0"/>
          <w:pgBorders>
            <w:top w:val="none" w:sz="0" w:space="0"/>
            <w:left w:val="none" w:sz="0" w:space="0"/>
            <w:bottom w:val="none" w:sz="0" w:space="0"/>
            <w:right w:val="none" w:sz="0" w:space="0"/>
          </w:pgBorders>
          <w:pgNumType w:fmt="decimal"/>
          <w:cols w:space="425" w:num="1"/>
          <w:docGrid w:linePitch="326" w:charSpace="0"/>
        </w:sectPr>
      </w:pPr>
    </w:p>
    <w:p w14:paraId="1E3B1122">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表3.5-1污染物排放清单（排放浓度，大气mg/m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，废水mg/L）</w:t>
      </w:r>
    </w:p>
    <w:tbl>
      <w:tblPr>
        <w:tblStyle w:val="40"/>
        <w:tblW w:w="1360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77"/>
        <w:gridCol w:w="541"/>
        <w:gridCol w:w="1481"/>
        <w:gridCol w:w="1185"/>
        <w:gridCol w:w="2775"/>
        <w:gridCol w:w="1313"/>
        <w:gridCol w:w="1057"/>
        <w:gridCol w:w="801"/>
        <w:gridCol w:w="723"/>
        <w:gridCol w:w="703"/>
        <w:gridCol w:w="1736"/>
        <w:gridCol w:w="814"/>
      </w:tblGrid>
      <w:tr w14:paraId="70BF2A9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0B11B2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类别</w:t>
            </w:r>
          </w:p>
        </w:tc>
        <w:tc>
          <w:tcPr>
            <w:tcW w:w="54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8A90D1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编号</w:t>
            </w:r>
          </w:p>
        </w:tc>
        <w:tc>
          <w:tcPr>
            <w:tcW w:w="7811" w:type="dxa"/>
            <w:gridSpan w:val="5"/>
            <w:tcBorders>
              <w:top w:val="single" w:color="auto" w:sz="4" w:space="0"/>
              <w:left w:val="single" w:color="auto" w:sz="4" w:space="0"/>
              <w:bottom w:val="single" w:color="auto" w:sz="4" w:space="0"/>
              <w:right w:val="single" w:color="auto" w:sz="4" w:space="0"/>
            </w:tcBorders>
            <w:shd w:val="clear" w:color="auto" w:fill="auto"/>
            <w:vAlign w:val="center"/>
          </w:tcPr>
          <w:p w14:paraId="7EEAA20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污染源</w:t>
            </w:r>
          </w:p>
        </w:tc>
        <w:tc>
          <w:tcPr>
            <w:tcW w:w="2227"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221BB16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排放参数</w:t>
            </w:r>
          </w:p>
        </w:tc>
        <w:tc>
          <w:tcPr>
            <w:tcW w:w="173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112DC5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执行环境标准</w:t>
            </w:r>
          </w:p>
        </w:tc>
        <w:tc>
          <w:tcPr>
            <w:tcW w:w="814" w:type="dxa"/>
            <w:vMerge w:val="restart"/>
            <w:tcBorders>
              <w:top w:val="single" w:color="auto" w:sz="4" w:space="0"/>
              <w:left w:val="single" w:color="auto" w:sz="4" w:space="0"/>
              <w:bottom w:val="single" w:color="auto" w:sz="4" w:space="0"/>
              <w:right w:val="single" w:color="auto" w:sz="4" w:space="0"/>
            </w:tcBorders>
            <w:vAlign w:val="center"/>
          </w:tcPr>
          <w:p w14:paraId="28A0149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w:t>
            </w:r>
          </w:p>
          <w:p w14:paraId="517DFF3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情况</w:t>
            </w:r>
          </w:p>
        </w:tc>
      </w:tr>
      <w:tr w14:paraId="692911B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217141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54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19CE42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481" w:type="dxa"/>
            <w:tcBorders>
              <w:top w:val="single" w:color="auto" w:sz="4" w:space="0"/>
              <w:left w:val="single" w:color="auto" w:sz="4" w:space="0"/>
              <w:bottom w:val="single" w:color="auto" w:sz="4" w:space="0"/>
              <w:right w:val="single" w:color="auto" w:sz="4" w:space="0"/>
            </w:tcBorders>
            <w:shd w:val="clear" w:color="auto" w:fill="auto"/>
            <w:vAlign w:val="center"/>
          </w:tcPr>
          <w:p w14:paraId="2492302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名称</w:t>
            </w:r>
          </w:p>
        </w:tc>
        <w:tc>
          <w:tcPr>
            <w:tcW w:w="1185" w:type="dxa"/>
            <w:tcBorders>
              <w:top w:val="single" w:color="auto" w:sz="4" w:space="0"/>
              <w:left w:val="single" w:color="auto" w:sz="4" w:space="0"/>
              <w:bottom w:val="single" w:color="auto" w:sz="4" w:space="0"/>
              <w:right w:val="single" w:color="auto" w:sz="4" w:space="0"/>
            </w:tcBorders>
            <w:shd w:val="clear" w:color="auto" w:fill="auto"/>
            <w:vAlign w:val="center"/>
          </w:tcPr>
          <w:p w14:paraId="0C790E3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污染物</w:t>
            </w:r>
          </w:p>
        </w:tc>
        <w:tc>
          <w:tcPr>
            <w:tcW w:w="2775" w:type="dxa"/>
            <w:tcBorders>
              <w:top w:val="single" w:color="auto" w:sz="4" w:space="0"/>
              <w:left w:val="single" w:color="auto" w:sz="4" w:space="0"/>
              <w:bottom w:val="single" w:color="auto" w:sz="4" w:space="0"/>
              <w:right w:val="single" w:color="auto" w:sz="4" w:space="0"/>
            </w:tcBorders>
            <w:shd w:val="clear" w:color="auto" w:fill="auto"/>
            <w:vAlign w:val="center"/>
          </w:tcPr>
          <w:p w14:paraId="222190E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环保措施</w:t>
            </w: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14:paraId="4E35397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排放浓度</w:t>
            </w:r>
          </w:p>
        </w:tc>
        <w:tc>
          <w:tcPr>
            <w:tcW w:w="1057" w:type="dxa"/>
            <w:tcBorders>
              <w:top w:val="single" w:color="auto" w:sz="4" w:space="0"/>
              <w:left w:val="single" w:color="auto" w:sz="4" w:space="0"/>
              <w:bottom w:val="single" w:color="auto" w:sz="4" w:space="0"/>
              <w:right w:val="single" w:color="auto" w:sz="4" w:space="0"/>
            </w:tcBorders>
            <w:shd w:val="clear" w:color="auto" w:fill="auto"/>
            <w:vAlign w:val="center"/>
          </w:tcPr>
          <w:p w14:paraId="6BC4996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排放量</w:t>
            </w:r>
          </w:p>
          <w:p w14:paraId="5AD91AB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t/a</w:t>
            </w:r>
          </w:p>
        </w:tc>
        <w:tc>
          <w:tcPr>
            <w:tcW w:w="801" w:type="dxa"/>
            <w:tcBorders>
              <w:top w:val="single" w:color="auto" w:sz="4" w:space="0"/>
              <w:left w:val="single" w:color="auto" w:sz="4" w:space="0"/>
              <w:bottom w:val="single" w:color="auto" w:sz="4" w:space="0"/>
              <w:right w:val="single" w:color="auto" w:sz="4" w:space="0"/>
            </w:tcBorders>
            <w:shd w:val="clear" w:color="auto" w:fill="auto"/>
            <w:vAlign w:val="center"/>
          </w:tcPr>
          <w:p w14:paraId="7058777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H/Φ（m）</w:t>
            </w:r>
          </w:p>
        </w:tc>
        <w:tc>
          <w:tcPr>
            <w:tcW w:w="723" w:type="dxa"/>
            <w:tcBorders>
              <w:top w:val="single" w:color="auto" w:sz="4" w:space="0"/>
              <w:left w:val="single" w:color="auto" w:sz="4" w:space="0"/>
              <w:bottom w:val="single" w:color="auto" w:sz="4" w:space="0"/>
              <w:right w:val="single" w:color="auto" w:sz="4" w:space="0"/>
            </w:tcBorders>
            <w:shd w:val="clear" w:color="auto" w:fill="auto"/>
            <w:vAlign w:val="center"/>
          </w:tcPr>
          <w:p w14:paraId="3A71853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温度/℃</w:t>
            </w:r>
          </w:p>
        </w:tc>
        <w:tc>
          <w:tcPr>
            <w:tcW w:w="703" w:type="dxa"/>
            <w:tcBorders>
              <w:top w:val="single" w:color="auto" w:sz="4" w:space="0"/>
              <w:left w:val="single" w:color="auto" w:sz="4" w:space="0"/>
              <w:bottom w:val="single" w:color="auto" w:sz="4" w:space="0"/>
              <w:right w:val="single" w:color="auto" w:sz="4" w:space="0"/>
            </w:tcBorders>
            <w:shd w:val="clear" w:color="auto" w:fill="auto"/>
            <w:vAlign w:val="center"/>
          </w:tcPr>
          <w:p w14:paraId="107A1DB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工作时间</w:t>
            </w:r>
          </w:p>
        </w:tc>
        <w:tc>
          <w:tcPr>
            <w:tcW w:w="173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381CFB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814" w:type="dxa"/>
            <w:vMerge w:val="continue"/>
            <w:tcBorders>
              <w:top w:val="single" w:color="auto" w:sz="4" w:space="0"/>
              <w:left w:val="single" w:color="auto" w:sz="4" w:space="0"/>
              <w:bottom w:val="single" w:color="auto" w:sz="4" w:space="0"/>
              <w:right w:val="single" w:color="auto" w:sz="4" w:space="0"/>
            </w:tcBorders>
            <w:vAlign w:val="center"/>
          </w:tcPr>
          <w:p w14:paraId="42FACB8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r>
      <w:tr w14:paraId="2E29A2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A55E6E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废气</w:t>
            </w:r>
          </w:p>
        </w:tc>
        <w:tc>
          <w:tcPr>
            <w:tcW w:w="54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CE7A0C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148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BA4DE1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牛舍及运动场</w:t>
            </w:r>
          </w:p>
        </w:tc>
        <w:tc>
          <w:tcPr>
            <w:tcW w:w="1185" w:type="dxa"/>
            <w:tcBorders>
              <w:top w:val="single" w:color="auto" w:sz="4" w:space="0"/>
              <w:left w:val="single" w:color="auto" w:sz="4" w:space="0"/>
              <w:bottom w:val="single" w:color="auto" w:sz="4" w:space="0"/>
              <w:right w:val="single" w:color="auto" w:sz="4" w:space="0"/>
            </w:tcBorders>
            <w:shd w:val="clear" w:color="auto" w:fill="auto"/>
            <w:vAlign w:val="center"/>
          </w:tcPr>
          <w:p w14:paraId="53C4E9B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27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77BE2A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bCs/>
                <w:color w:val="auto"/>
                <w:sz w:val="21"/>
                <w:szCs w:val="21"/>
                <w:highlight w:val="none"/>
              </w:rPr>
              <w:t>通过日粮设计，</w:t>
            </w:r>
            <w:r>
              <w:rPr>
                <w:rFonts w:hint="default" w:ascii="Times New Roman" w:hAnsi="Times New Roman" w:eastAsia="宋体" w:cs="Times New Roman"/>
                <w:color w:val="auto"/>
                <w:sz w:val="21"/>
                <w:szCs w:val="21"/>
                <w:highlight w:val="none"/>
              </w:rPr>
              <w:t>饲料添加EM复合微生物制剂，</w:t>
            </w:r>
            <w:r>
              <w:rPr>
                <w:rFonts w:hint="default" w:ascii="Times New Roman" w:hAnsi="Times New Roman" w:eastAsia="宋体" w:cs="Times New Roman"/>
                <w:color w:val="auto"/>
                <w:kern w:val="0"/>
                <w:sz w:val="21"/>
                <w:szCs w:val="21"/>
                <w:highlight w:val="none"/>
              </w:rPr>
              <w:t>牛舍采用及时清理粪尿，加强牛舍通风（除冬季封闭保暖外，均为敞开式通风）</w:t>
            </w: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14:paraId="767F912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57" w:type="dxa"/>
            <w:tcBorders>
              <w:top w:val="single" w:color="auto" w:sz="4" w:space="0"/>
              <w:left w:val="single" w:color="auto" w:sz="4" w:space="0"/>
              <w:bottom w:val="single" w:color="auto" w:sz="4" w:space="0"/>
              <w:right w:val="single" w:color="auto" w:sz="4" w:space="0"/>
            </w:tcBorders>
            <w:shd w:val="clear" w:color="auto" w:fill="auto"/>
            <w:vAlign w:val="center"/>
          </w:tcPr>
          <w:p w14:paraId="705AF74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0.1822</w:t>
            </w:r>
          </w:p>
        </w:tc>
        <w:tc>
          <w:tcPr>
            <w:tcW w:w="1524"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F14265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lang w:val="en-US" w:eastAsia="zh-CN"/>
              </w:rPr>
              <w:t>460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val="en-US" w:eastAsia="zh-CN"/>
              </w:rPr>
              <w:t>320</w:t>
            </w:r>
            <w:r>
              <w:rPr>
                <w:rFonts w:hint="default" w:ascii="Times New Roman" w:hAnsi="Times New Roman" w:eastAsia="宋体" w:cs="Times New Roman"/>
                <w:color w:val="auto"/>
                <w:sz w:val="21"/>
                <w:szCs w:val="21"/>
                <w:highlight w:val="none"/>
              </w:rPr>
              <w:t>m</w:t>
            </w:r>
          </w:p>
        </w:tc>
        <w:tc>
          <w:tcPr>
            <w:tcW w:w="70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B30230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连续</w:t>
            </w:r>
          </w:p>
          <w:p w14:paraId="500C9D3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8760</w:t>
            </w:r>
          </w:p>
        </w:tc>
        <w:tc>
          <w:tcPr>
            <w:tcW w:w="173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350DE3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《恶臭污染物排放标准》（GB14554-93）表1恶臭污染物厂界标准值中“二级、新扩改建”标准要求</w:t>
            </w:r>
          </w:p>
        </w:tc>
        <w:tc>
          <w:tcPr>
            <w:tcW w:w="814" w:type="dxa"/>
            <w:tcBorders>
              <w:top w:val="single" w:color="auto" w:sz="4" w:space="0"/>
              <w:left w:val="single" w:color="auto" w:sz="4" w:space="0"/>
              <w:bottom w:val="single" w:color="auto" w:sz="4" w:space="0"/>
              <w:right w:val="single" w:color="auto" w:sz="4" w:space="0"/>
            </w:tcBorders>
            <w:vAlign w:val="center"/>
          </w:tcPr>
          <w:p w14:paraId="1D63C07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2FA1343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C4A63D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54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3EA59A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48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BB93A9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185" w:type="dxa"/>
            <w:tcBorders>
              <w:top w:val="single" w:color="auto" w:sz="4" w:space="0"/>
              <w:left w:val="single" w:color="auto" w:sz="4" w:space="0"/>
              <w:bottom w:val="single" w:color="auto" w:sz="4" w:space="0"/>
              <w:right w:val="single" w:color="auto" w:sz="4" w:space="0"/>
            </w:tcBorders>
            <w:shd w:val="clear" w:color="auto" w:fill="auto"/>
            <w:vAlign w:val="center"/>
          </w:tcPr>
          <w:p w14:paraId="3089BCD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27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E670F7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14:paraId="3897227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57" w:type="dxa"/>
            <w:tcBorders>
              <w:top w:val="single" w:color="auto" w:sz="4" w:space="0"/>
              <w:left w:val="single" w:color="auto" w:sz="4" w:space="0"/>
              <w:bottom w:val="single" w:color="auto" w:sz="4" w:space="0"/>
              <w:right w:val="single" w:color="auto" w:sz="4" w:space="0"/>
            </w:tcBorders>
            <w:shd w:val="clear" w:color="auto" w:fill="auto"/>
            <w:vAlign w:val="center"/>
          </w:tcPr>
          <w:p w14:paraId="5958C4E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0.0026</w:t>
            </w:r>
          </w:p>
        </w:tc>
        <w:tc>
          <w:tcPr>
            <w:tcW w:w="1524" w:type="dxa"/>
            <w:gridSpan w:val="2"/>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6D86B0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70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003293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73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B64C02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814" w:type="dxa"/>
            <w:tcBorders>
              <w:top w:val="single" w:color="auto" w:sz="4" w:space="0"/>
              <w:left w:val="single" w:color="auto" w:sz="4" w:space="0"/>
              <w:bottom w:val="single" w:color="auto" w:sz="4" w:space="0"/>
              <w:right w:val="single" w:color="auto" w:sz="4" w:space="0"/>
            </w:tcBorders>
            <w:vAlign w:val="center"/>
          </w:tcPr>
          <w:p w14:paraId="2787272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66FFA27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D786AC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54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5C74E3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w:t>
            </w:r>
          </w:p>
        </w:tc>
        <w:tc>
          <w:tcPr>
            <w:tcW w:w="148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83B47B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sz w:val="21"/>
                <w:szCs w:val="21"/>
                <w:highlight w:val="none"/>
                <w:lang w:eastAsia="zh-CN"/>
              </w:rPr>
              <w:t>粪污处理池</w:t>
            </w:r>
          </w:p>
        </w:tc>
        <w:tc>
          <w:tcPr>
            <w:tcW w:w="1185" w:type="dxa"/>
            <w:tcBorders>
              <w:top w:val="single" w:color="auto" w:sz="4" w:space="0"/>
              <w:left w:val="single" w:color="auto" w:sz="4" w:space="0"/>
              <w:bottom w:val="single" w:color="auto" w:sz="4" w:space="0"/>
              <w:right w:val="single" w:color="auto" w:sz="4" w:space="0"/>
            </w:tcBorders>
            <w:shd w:val="clear" w:color="auto" w:fill="auto"/>
            <w:vAlign w:val="center"/>
          </w:tcPr>
          <w:p w14:paraId="118577E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27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323610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牛粪便</w:t>
            </w:r>
            <w:r>
              <w:rPr>
                <w:rFonts w:hint="default" w:ascii="Times New Roman" w:hAnsi="Times New Roman" w:eastAsia="宋体" w:cs="Times New Roman"/>
                <w:color w:val="auto"/>
                <w:sz w:val="21"/>
                <w:szCs w:val="21"/>
                <w:highlight w:val="none"/>
                <w:lang w:val="en-US" w:eastAsia="zh-CN"/>
              </w:rPr>
              <w:t>清运至</w:t>
            </w:r>
            <w:r>
              <w:rPr>
                <w:rFonts w:hint="default" w:ascii="Times New Roman" w:hAnsi="Times New Roman" w:eastAsia="宋体" w:cs="Times New Roman"/>
                <w:color w:val="auto"/>
                <w:sz w:val="21"/>
                <w:szCs w:val="21"/>
                <w:highlight w:val="none"/>
                <w:lang w:eastAsia="zh-CN"/>
              </w:rPr>
              <w:t>粪污处理池储存并堆肥，</w:t>
            </w:r>
            <w:r>
              <w:rPr>
                <w:rFonts w:hint="default" w:ascii="Times New Roman" w:hAnsi="Times New Roman" w:eastAsia="宋体" w:cs="Times New Roman"/>
                <w:color w:val="auto"/>
                <w:sz w:val="21"/>
                <w:szCs w:val="21"/>
                <w:highlight w:val="none"/>
                <w:lang w:val="en-US" w:eastAsia="zh-CN"/>
              </w:rPr>
              <w:t>采取</w:t>
            </w:r>
            <w:r>
              <w:rPr>
                <w:rFonts w:hint="default" w:ascii="Times New Roman" w:hAnsi="Times New Roman" w:eastAsia="宋体" w:cs="Times New Roman"/>
                <w:color w:val="auto"/>
                <w:kern w:val="0"/>
                <w:sz w:val="21"/>
                <w:szCs w:val="21"/>
                <w:highlight w:val="none"/>
              </w:rPr>
              <w:t>定期喷洒</w:t>
            </w:r>
            <w:r>
              <w:rPr>
                <w:rFonts w:hint="default" w:ascii="Times New Roman" w:hAnsi="Times New Roman" w:eastAsia="宋体" w:cs="Times New Roman"/>
                <w:color w:val="auto"/>
                <w:sz w:val="21"/>
                <w:szCs w:val="21"/>
                <w:highlight w:val="none"/>
              </w:rPr>
              <w:t>减少氨释放和保氮的复合菌剂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同时场区内加强绿化</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kern w:val="0"/>
                <w:sz w:val="21"/>
                <w:szCs w:val="21"/>
                <w:highlight w:val="none"/>
              </w:rPr>
              <w:t>可减少臭气的产生</w:t>
            </w: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14:paraId="58452B4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57" w:type="dxa"/>
            <w:tcBorders>
              <w:top w:val="single" w:color="auto" w:sz="4" w:space="0"/>
              <w:left w:val="single" w:color="auto" w:sz="4" w:space="0"/>
              <w:bottom w:val="single" w:color="auto" w:sz="4" w:space="0"/>
              <w:right w:val="single" w:color="auto" w:sz="4" w:space="0"/>
            </w:tcBorders>
            <w:shd w:val="clear" w:color="auto" w:fill="auto"/>
            <w:vAlign w:val="center"/>
          </w:tcPr>
          <w:p w14:paraId="7189751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0.1218</w:t>
            </w:r>
          </w:p>
        </w:tc>
        <w:tc>
          <w:tcPr>
            <w:tcW w:w="1524"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3B5CB5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108m×50m</w:t>
            </w:r>
          </w:p>
        </w:tc>
        <w:tc>
          <w:tcPr>
            <w:tcW w:w="70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40E7EB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73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00B78A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814" w:type="dxa"/>
            <w:tcBorders>
              <w:top w:val="single" w:color="auto" w:sz="4" w:space="0"/>
              <w:left w:val="single" w:color="auto" w:sz="4" w:space="0"/>
              <w:bottom w:val="single" w:color="auto" w:sz="4" w:space="0"/>
              <w:right w:val="single" w:color="auto" w:sz="4" w:space="0"/>
            </w:tcBorders>
            <w:vAlign w:val="center"/>
          </w:tcPr>
          <w:p w14:paraId="1476C90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3E1977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C0643B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54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8C9C10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48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712D3C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185" w:type="dxa"/>
            <w:tcBorders>
              <w:top w:val="single" w:color="auto" w:sz="4" w:space="0"/>
              <w:left w:val="single" w:color="auto" w:sz="4" w:space="0"/>
              <w:bottom w:val="single" w:color="auto" w:sz="4" w:space="0"/>
              <w:right w:val="single" w:color="auto" w:sz="4" w:space="0"/>
            </w:tcBorders>
            <w:shd w:val="clear" w:color="auto" w:fill="auto"/>
            <w:vAlign w:val="center"/>
          </w:tcPr>
          <w:p w14:paraId="3C32A45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27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AB371C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14:paraId="0804AEA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57" w:type="dxa"/>
            <w:tcBorders>
              <w:top w:val="single" w:color="auto" w:sz="4" w:space="0"/>
              <w:left w:val="single" w:color="auto" w:sz="4" w:space="0"/>
              <w:bottom w:val="single" w:color="auto" w:sz="4" w:space="0"/>
              <w:right w:val="single" w:color="auto" w:sz="4" w:space="0"/>
            </w:tcBorders>
            <w:shd w:val="clear" w:color="auto" w:fill="auto"/>
            <w:vAlign w:val="center"/>
          </w:tcPr>
          <w:p w14:paraId="32764C6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0.0018</w:t>
            </w:r>
          </w:p>
        </w:tc>
        <w:tc>
          <w:tcPr>
            <w:tcW w:w="1524" w:type="dxa"/>
            <w:gridSpan w:val="2"/>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577133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70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056AD5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73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D66840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814" w:type="dxa"/>
            <w:tcBorders>
              <w:top w:val="single" w:color="auto" w:sz="4" w:space="0"/>
              <w:left w:val="single" w:color="auto" w:sz="4" w:space="0"/>
              <w:bottom w:val="single" w:color="auto" w:sz="4" w:space="0"/>
              <w:right w:val="single" w:color="auto" w:sz="4" w:space="0"/>
            </w:tcBorders>
            <w:vAlign w:val="center"/>
          </w:tcPr>
          <w:p w14:paraId="6FB9D05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76F83BD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B55E50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541" w:type="dxa"/>
            <w:tcBorders>
              <w:top w:val="single" w:color="auto" w:sz="4" w:space="0"/>
              <w:left w:val="single" w:color="auto" w:sz="4" w:space="0"/>
              <w:bottom w:val="single" w:color="auto" w:sz="4" w:space="0"/>
              <w:right w:val="single" w:color="auto" w:sz="4" w:space="0"/>
            </w:tcBorders>
            <w:shd w:val="clear" w:color="auto" w:fill="auto"/>
            <w:vAlign w:val="center"/>
          </w:tcPr>
          <w:p w14:paraId="1C61081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3</w:t>
            </w:r>
          </w:p>
        </w:tc>
        <w:tc>
          <w:tcPr>
            <w:tcW w:w="1481" w:type="dxa"/>
            <w:tcBorders>
              <w:top w:val="single" w:color="auto" w:sz="4" w:space="0"/>
              <w:left w:val="single" w:color="auto" w:sz="4" w:space="0"/>
              <w:bottom w:val="single" w:color="auto" w:sz="4" w:space="0"/>
              <w:right w:val="single" w:color="auto" w:sz="4" w:space="0"/>
            </w:tcBorders>
            <w:shd w:val="clear" w:color="auto" w:fill="auto"/>
            <w:vAlign w:val="center"/>
          </w:tcPr>
          <w:p w14:paraId="24B00E9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TMR车间</w:t>
            </w:r>
          </w:p>
        </w:tc>
        <w:tc>
          <w:tcPr>
            <w:tcW w:w="1185" w:type="dxa"/>
            <w:tcBorders>
              <w:top w:val="single" w:color="auto" w:sz="4" w:space="0"/>
              <w:left w:val="single" w:color="auto" w:sz="4" w:space="0"/>
              <w:bottom w:val="single" w:color="auto" w:sz="4" w:space="0"/>
              <w:right w:val="single" w:color="auto" w:sz="4" w:space="0"/>
            </w:tcBorders>
            <w:shd w:val="clear" w:color="auto" w:fill="auto"/>
            <w:vAlign w:val="center"/>
          </w:tcPr>
          <w:p w14:paraId="10EE758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2775" w:type="dxa"/>
            <w:tcBorders>
              <w:top w:val="single" w:color="auto" w:sz="4" w:space="0"/>
              <w:left w:val="single" w:color="auto" w:sz="4" w:space="0"/>
              <w:bottom w:val="single" w:color="auto" w:sz="4" w:space="0"/>
              <w:right w:val="single" w:color="auto" w:sz="4" w:space="0"/>
            </w:tcBorders>
            <w:shd w:val="clear" w:color="auto" w:fill="auto"/>
            <w:vAlign w:val="center"/>
          </w:tcPr>
          <w:p w14:paraId="47B8127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全封闭TMR车间</w:t>
            </w: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14:paraId="6EA62C9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57" w:type="dxa"/>
            <w:tcBorders>
              <w:top w:val="single" w:color="auto" w:sz="4" w:space="0"/>
              <w:left w:val="single" w:color="auto" w:sz="4" w:space="0"/>
              <w:bottom w:val="single" w:color="auto" w:sz="4" w:space="0"/>
              <w:right w:val="single" w:color="auto" w:sz="4" w:space="0"/>
            </w:tcBorders>
            <w:shd w:val="clear" w:color="auto" w:fill="auto"/>
            <w:vAlign w:val="center"/>
          </w:tcPr>
          <w:p w14:paraId="1058EB2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0.086</w:t>
            </w:r>
          </w:p>
        </w:tc>
        <w:tc>
          <w:tcPr>
            <w:tcW w:w="152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4386A7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lang w:val="en-US" w:eastAsia="zh-CN"/>
              </w:rPr>
              <w:t>50</w:t>
            </w:r>
            <w:r>
              <w:rPr>
                <w:rFonts w:hint="default" w:ascii="Times New Roman" w:hAnsi="Times New Roman" w:eastAsia="宋体" w:cs="Times New Roman"/>
                <w:color w:val="auto"/>
                <w:kern w:val="0"/>
                <w:sz w:val="21"/>
                <w:szCs w:val="21"/>
                <w:highlight w:val="none"/>
              </w:rPr>
              <w:t>m×</w:t>
            </w:r>
            <w:r>
              <w:rPr>
                <w:rFonts w:hint="default" w:ascii="Times New Roman" w:hAnsi="Times New Roman" w:eastAsia="宋体" w:cs="Times New Roman"/>
                <w:color w:val="auto"/>
                <w:sz w:val="21"/>
                <w:szCs w:val="21"/>
                <w:highlight w:val="none"/>
                <w:lang w:val="en-US" w:eastAsia="zh-CN"/>
              </w:rPr>
              <w:t>15</w:t>
            </w:r>
            <w:r>
              <w:rPr>
                <w:rFonts w:hint="default" w:ascii="Times New Roman" w:hAnsi="Times New Roman" w:eastAsia="宋体" w:cs="Times New Roman"/>
                <w:color w:val="auto"/>
                <w:kern w:val="0"/>
                <w:sz w:val="21"/>
                <w:szCs w:val="21"/>
                <w:highlight w:val="none"/>
              </w:rPr>
              <w:t>m</w:t>
            </w:r>
          </w:p>
        </w:tc>
        <w:tc>
          <w:tcPr>
            <w:tcW w:w="703" w:type="dxa"/>
            <w:tcBorders>
              <w:top w:val="single" w:color="auto" w:sz="4" w:space="0"/>
              <w:left w:val="single" w:color="auto" w:sz="4" w:space="0"/>
              <w:bottom w:val="single" w:color="auto" w:sz="4" w:space="0"/>
              <w:right w:val="single" w:color="auto" w:sz="4" w:space="0"/>
            </w:tcBorders>
            <w:shd w:val="clear" w:color="auto" w:fill="auto"/>
            <w:vAlign w:val="center"/>
          </w:tcPr>
          <w:p w14:paraId="0DA1379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间断</w:t>
            </w:r>
          </w:p>
          <w:p w14:paraId="1C4B4A8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1460</w:t>
            </w:r>
          </w:p>
        </w:tc>
        <w:tc>
          <w:tcPr>
            <w:tcW w:w="1736" w:type="dxa"/>
            <w:tcBorders>
              <w:top w:val="single" w:color="auto" w:sz="4" w:space="0"/>
              <w:left w:val="single" w:color="auto" w:sz="4" w:space="0"/>
              <w:bottom w:val="single" w:color="auto" w:sz="4" w:space="0"/>
              <w:right w:val="single" w:color="auto" w:sz="4" w:space="0"/>
            </w:tcBorders>
            <w:shd w:val="clear" w:color="auto" w:fill="auto"/>
            <w:vAlign w:val="center"/>
          </w:tcPr>
          <w:p w14:paraId="7011072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《大气污染物综合排放标准》（GB16297-1996）表2新污染源大气污染物排放限值中无组织排放监控浓度限值</w:t>
            </w:r>
          </w:p>
        </w:tc>
        <w:tc>
          <w:tcPr>
            <w:tcW w:w="814" w:type="dxa"/>
            <w:tcBorders>
              <w:top w:val="single" w:color="auto" w:sz="4" w:space="0"/>
              <w:left w:val="single" w:color="auto" w:sz="4" w:space="0"/>
              <w:bottom w:val="single" w:color="auto" w:sz="4" w:space="0"/>
              <w:right w:val="single" w:color="auto" w:sz="4" w:space="0"/>
            </w:tcBorders>
            <w:vAlign w:val="center"/>
          </w:tcPr>
          <w:p w14:paraId="518BB7D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0417C0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E2786D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废水</w:t>
            </w:r>
          </w:p>
        </w:tc>
        <w:tc>
          <w:tcPr>
            <w:tcW w:w="54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06C49A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1</w:t>
            </w:r>
          </w:p>
        </w:tc>
        <w:tc>
          <w:tcPr>
            <w:tcW w:w="148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8E1C3D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eastAsia="zh-CN"/>
              </w:rPr>
              <w:t>生活污水</w:t>
            </w:r>
          </w:p>
        </w:tc>
        <w:tc>
          <w:tcPr>
            <w:tcW w:w="1185" w:type="dxa"/>
            <w:tcBorders>
              <w:top w:val="single" w:color="auto" w:sz="4" w:space="0"/>
              <w:left w:val="single" w:color="auto" w:sz="4" w:space="0"/>
              <w:bottom w:val="single" w:color="auto" w:sz="4" w:space="0"/>
              <w:right w:val="single" w:color="auto" w:sz="4" w:space="0"/>
            </w:tcBorders>
            <w:shd w:val="clear" w:color="auto" w:fill="auto"/>
            <w:vAlign w:val="center"/>
          </w:tcPr>
          <w:p w14:paraId="1A8F0CF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COD</w:t>
            </w:r>
          </w:p>
        </w:tc>
        <w:tc>
          <w:tcPr>
            <w:tcW w:w="27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06C98A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经化粪池处理</w:t>
            </w:r>
            <w:r>
              <w:rPr>
                <w:rFonts w:hint="default" w:ascii="Times New Roman" w:hAnsi="Times New Roman" w:eastAsia="宋体" w:cs="Times New Roman"/>
                <w:color w:val="auto"/>
                <w:kern w:val="0"/>
                <w:sz w:val="21"/>
                <w:szCs w:val="21"/>
                <w:highlight w:val="none"/>
              </w:rPr>
              <w:t>后，</w:t>
            </w:r>
            <w:r>
              <w:rPr>
                <w:rFonts w:hint="default" w:ascii="Times New Roman" w:hAnsi="Times New Roman" w:eastAsia="宋体" w:cs="Times New Roman"/>
                <w:color w:val="auto"/>
                <w:kern w:val="0"/>
                <w:sz w:val="21"/>
                <w:szCs w:val="21"/>
                <w:highlight w:val="none"/>
                <w:lang w:eastAsia="zh-CN"/>
              </w:rPr>
              <w:t>定期由当地环卫部门清运处置</w:t>
            </w: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14:paraId="4FB64EF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57" w:type="dxa"/>
            <w:tcBorders>
              <w:top w:val="single" w:color="auto" w:sz="4" w:space="0"/>
              <w:left w:val="single" w:color="auto" w:sz="4" w:space="0"/>
              <w:bottom w:val="single" w:color="auto" w:sz="4" w:space="0"/>
              <w:right w:val="single" w:color="auto" w:sz="4" w:space="0"/>
            </w:tcBorders>
            <w:shd w:val="clear" w:color="auto" w:fill="auto"/>
            <w:vAlign w:val="center"/>
          </w:tcPr>
          <w:p w14:paraId="60AC055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60E2C1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72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24D819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w:t>
            </w:r>
          </w:p>
        </w:tc>
        <w:tc>
          <w:tcPr>
            <w:tcW w:w="70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234673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w:t>
            </w:r>
          </w:p>
        </w:tc>
        <w:tc>
          <w:tcPr>
            <w:tcW w:w="173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4737AA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w:t>
            </w:r>
          </w:p>
        </w:tc>
        <w:tc>
          <w:tcPr>
            <w:tcW w:w="814" w:type="dxa"/>
            <w:vMerge w:val="restart"/>
            <w:tcBorders>
              <w:top w:val="single" w:color="auto" w:sz="4" w:space="0"/>
              <w:left w:val="single" w:color="auto" w:sz="4" w:space="0"/>
              <w:bottom w:val="single" w:color="auto" w:sz="4" w:space="0"/>
              <w:right w:val="single" w:color="auto" w:sz="4" w:space="0"/>
            </w:tcBorders>
            <w:vAlign w:val="center"/>
          </w:tcPr>
          <w:p w14:paraId="3771765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rPr>
              <w:t>/</w:t>
            </w:r>
          </w:p>
        </w:tc>
      </w:tr>
      <w:tr w14:paraId="4FF8FBE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228782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54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0805D2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48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6F6AFF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185" w:type="dxa"/>
            <w:tcBorders>
              <w:top w:val="single" w:color="auto" w:sz="4" w:space="0"/>
              <w:left w:val="single" w:color="auto" w:sz="4" w:space="0"/>
              <w:bottom w:val="single" w:color="auto" w:sz="4" w:space="0"/>
              <w:right w:val="single" w:color="auto" w:sz="4" w:space="0"/>
            </w:tcBorders>
            <w:shd w:val="clear" w:color="auto" w:fill="auto"/>
            <w:vAlign w:val="center"/>
          </w:tcPr>
          <w:p w14:paraId="2049787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BOD</w:t>
            </w:r>
            <w:r>
              <w:rPr>
                <w:rFonts w:hint="default" w:ascii="Times New Roman" w:hAnsi="Times New Roman" w:eastAsia="宋体" w:cs="Times New Roman"/>
                <w:color w:val="auto"/>
                <w:kern w:val="0"/>
                <w:sz w:val="21"/>
                <w:szCs w:val="21"/>
                <w:highlight w:val="none"/>
                <w:vertAlign w:val="subscript"/>
              </w:rPr>
              <w:t>5</w:t>
            </w:r>
          </w:p>
        </w:tc>
        <w:tc>
          <w:tcPr>
            <w:tcW w:w="27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1796F7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14:paraId="329988E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57" w:type="dxa"/>
            <w:tcBorders>
              <w:top w:val="single" w:color="auto" w:sz="4" w:space="0"/>
              <w:left w:val="single" w:color="auto" w:sz="4" w:space="0"/>
              <w:bottom w:val="single" w:color="auto" w:sz="4" w:space="0"/>
              <w:right w:val="single" w:color="auto" w:sz="4" w:space="0"/>
            </w:tcBorders>
            <w:shd w:val="clear" w:color="auto" w:fill="auto"/>
            <w:vAlign w:val="center"/>
          </w:tcPr>
          <w:p w14:paraId="46F457E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CEB14A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72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6465FA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70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A6C77D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73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330F10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814" w:type="dxa"/>
            <w:vMerge w:val="continue"/>
            <w:tcBorders>
              <w:top w:val="single" w:color="auto" w:sz="4" w:space="0"/>
              <w:left w:val="single" w:color="auto" w:sz="4" w:space="0"/>
              <w:bottom w:val="single" w:color="auto" w:sz="4" w:space="0"/>
              <w:right w:val="single" w:color="auto" w:sz="4" w:space="0"/>
            </w:tcBorders>
            <w:vAlign w:val="center"/>
          </w:tcPr>
          <w:p w14:paraId="4EB336B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14:paraId="28FB19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CD2297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54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10882E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48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860839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185" w:type="dxa"/>
            <w:tcBorders>
              <w:top w:val="single" w:color="auto" w:sz="4" w:space="0"/>
              <w:left w:val="single" w:color="auto" w:sz="4" w:space="0"/>
              <w:bottom w:val="single" w:color="auto" w:sz="4" w:space="0"/>
              <w:right w:val="single" w:color="auto" w:sz="4" w:space="0"/>
            </w:tcBorders>
            <w:shd w:val="clear" w:color="auto" w:fill="auto"/>
            <w:vAlign w:val="center"/>
          </w:tcPr>
          <w:p w14:paraId="3C2E349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氨氮</w:t>
            </w:r>
          </w:p>
        </w:tc>
        <w:tc>
          <w:tcPr>
            <w:tcW w:w="27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BF53D0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14:paraId="02B8B97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57" w:type="dxa"/>
            <w:tcBorders>
              <w:top w:val="single" w:color="auto" w:sz="4" w:space="0"/>
              <w:left w:val="single" w:color="auto" w:sz="4" w:space="0"/>
              <w:bottom w:val="single" w:color="auto" w:sz="4" w:space="0"/>
              <w:right w:val="single" w:color="auto" w:sz="4" w:space="0"/>
            </w:tcBorders>
            <w:shd w:val="clear" w:color="auto" w:fill="auto"/>
            <w:vAlign w:val="center"/>
          </w:tcPr>
          <w:p w14:paraId="600F246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83B115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72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101A70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70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F8605C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73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D7504C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814" w:type="dxa"/>
            <w:vMerge w:val="continue"/>
            <w:tcBorders>
              <w:top w:val="single" w:color="auto" w:sz="4" w:space="0"/>
              <w:left w:val="single" w:color="auto" w:sz="4" w:space="0"/>
              <w:bottom w:val="single" w:color="auto" w:sz="4" w:space="0"/>
              <w:right w:val="single" w:color="auto" w:sz="4" w:space="0"/>
            </w:tcBorders>
            <w:vAlign w:val="center"/>
          </w:tcPr>
          <w:p w14:paraId="0421FC9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r>
      <w:tr w14:paraId="255B5A4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4AF708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54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84BC4D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48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A2F2A3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185" w:type="dxa"/>
            <w:tcBorders>
              <w:top w:val="single" w:color="auto" w:sz="4" w:space="0"/>
              <w:left w:val="single" w:color="auto" w:sz="4" w:space="0"/>
              <w:bottom w:val="single" w:color="auto" w:sz="4" w:space="0"/>
              <w:right w:val="single" w:color="auto" w:sz="4" w:space="0"/>
            </w:tcBorders>
            <w:shd w:val="clear" w:color="auto" w:fill="auto"/>
            <w:vAlign w:val="center"/>
          </w:tcPr>
          <w:p w14:paraId="36E0166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SS</w:t>
            </w:r>
          </w:p>
        </w:tc>
        <w:tc>
          <w:tcPr>
            <w:tcW w:w="27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5623D9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14:paraId="34B147A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57" w:type="dxa"/>
            <w:tcBorders>
              <w:top w:val="single" w:color="auto" w:sz="4" w:space="0"/>
              <w:left w:val="single" w:color="auto" w:sz="4" w:space="0"/>
              <w:bottom w:val="single" w:color="auto" w:sz="4" w:space="0"/>
              <w:right w:val="single" w:color="auto" w:sz="4" w:space="0"/>
            </w:tcBorders>
            <w:shd w:val="clear" w:color="auto" w:fill="auto"/>
            <w:vAlign w:val="center"/>
          </w:tcPr>
          <w:p w14:paraId="04D93B3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A498CC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72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B770D0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70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07A8B9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73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E46E4C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814" w:type="dxa"/>
            <w:vMerge w:val="continue"/>
            <w:tcBorders>
              <w:top w:val="single" w:color="auto" w:sz="4" w:space="0"/>
              <w:left w:val="single" w:color="auto" w:sz="4" w:space="0"/>
              <w:bottom w:val="single" w:color="auto" w:sz="4" w:space="0"/>
              <w:right w:val="single" w:color="auto" w:sz="4" w:space="0"/>
            </w:tcBorders>
            <w:vAlign w:val="center"/>
          </w:tcPr>
          <w:p w14:paraId="124BC64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r>
      <w:tr w14:paraId="2879510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7" w:type="dxa"/>
            <w:tcBorders>
              <w:top w:val="single" w:color="auto" w:sz="4" w:space="0"/>
              <w:left w:val="single" w:color="auto" w:sz="4" w:space="0"/>
              <w:bottom w:val="single" w:color="auto" w:sz="4" w:space="0"/>
              <w:right w:val="single" w:color="auto" w:sz="4" w:space="0"/>
            </w:tcBorders>
            <w:shd w:val="clear" w:color="auto" w:fill="auto"/>
            <w:vAlign w:val="center"/>
          </w:tcPr>
          <w:p w14:paraId="62A9C0E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噪声</w:t>
            </w:r>
          </w:p>
        </w:tc>
        <w:tc>
          <w:tcPr>
            <w:tcW w:w="541" w:type="dxa"/>
            <w:tcBorders>
              <w:top w:val="single" w:color="auto" w:sz="4" w:space="0"/>
              <w:left w:val="single" w:color="auto" w:sz="4" w:space="0"/>
              <w:bottom w:val="single" w:color="auto" w:sz="4" w:space="0"/>
              <w:right w:val="single" w:color="auto" w:sz="4" w:space="0"/>
            </w:tcBorders>
            <w:shd w:val="clear" w:color="auto" w:fill="auto"/>
            <w:vAlign w:val="center"/>
          </w:tcPr>
          <w:p w14:paraId="6B57B2F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1481" w:type="dxa"/>
            <w:tcBorders>
              <w:top w:val="single" w:color="auto" w:sz="4" w:space="0"/>
              <w:left w:val="single" w:color="auto" w:sz="4" w:space="0"/>
              <w:bottom w:val="single" w:color="auto" w:sz="4" w:space="0"/>
              <w:right w:val="single" w:color="auto" w:sz="4" w:space="0"/>
            </w:tcBorders>
            <w:shd w:val="clear" w:color="auto" w:fill="auto"/>
            <w:vAlign w:val="center"/>
          </w:tcPr>
          <w:p w14:paraId="530BF64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设备运转</w:t>
            </w:r>
          </w:p>
          <w:p w14:paraId="425C262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机械运输</w:t>
            </w:r>
          </w:p>
        </w:tc>
        <w:tc>
          <w:tcPr>
            <w:tcW w:w="1185" w:type="dxa"/>
            <w:tcBorders>
              <w:top w:val="single" w:color="auto" w:sz="4" w:space="0"/>
              <w:left w:val="single" w:color="auto" w:sz="4" w:space="0"/>
              <w:bottom w:val="single" w:color="auto" w:sz="4" w:space="0"/>
              <w:right w:val="single" w:color="auto" w:sz="4" w:space="0"/>
            </w:tcBorders>
            <w:shd w:val="clear" w:color="auto" w:fill="auto"/>
            <w:vAlign w:val="center"/>
          </w:tcPr>
          <w:p w14:paraId="78D2CD4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噪声</w:t>
            </w:r>
          </w:p>
        </w:tc>
        <w:tc>
          <w:tcPr>
            <w:tcW w:w="2775" w:type="dxa"/>
            <w:tcBorders>
              <w:top w:val="single" w:color="auto" w:sz="4" w:space="0"/>
              <w:left w:val="single" w:color="auto" w:sz="4" w:space="0"/>
              <w:bottom w:val="single" w:color="auto" w:sz="4" w:space="0"/>
              <w:right w:val="single" w:color="auto" w:sz="4" w:space="0"/>
            </w:tcBorders>
            <w:shd w:val="clear" w:color="auto" w:fill="auto"/>
            <w:vAlign w:val="center"/>
          </w:tcPr>
          <w:p w14:paraId="30C1F8C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车间密闭+基础减振</w:t>
            </w: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14:paraId="144E077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1057" w:type="dxa"/>
            <w:tcBorders>
              <w:top w:val="single" w:color="auto" w:sz="4" w:space="0"/>
              <w:left w:val="single" w:color="auto" w:sz="4" w:space="0"/>
              <w:bottom w:val="single" w:color="auto" w:sz="4" w:space="0"/>
              <w:right w:val="single" w:color="auto" w:sz="4" w:space="0"/>
            </w:tcBorders>
            <w:shd w:val="clear" w:color="auto" w:fill="auto"/>
            <w:vAlign w:val="center"/>
          </w:tcPr>
          <w:p w14:paraId="1970EB3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2227"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470EF5F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厂界监控</w:t>
            </w:r>
          </w:p>
        </w:tc>
        <w:tc>
          <w:tcPr>
            <w:tcW w:w="1736" w:type="dxa"/>
            <w:tcBorders>
              <w:top w:val="single" w:color="auto" w:sz="4" w:space="0"/>
              <w:left w:val="single" w:color="auto" w:sz="4" w:space="0"/>
              <w:bottom w:val="single" w:color="auto" w:sz="4" w:space="0"/>
              <w:right w:val="single" w:color="auto" w:sz="4" w:space="0"/>
            </w:tcBorders>
            <w:shd w:val="clear" w:color="auto" w:fill="auto"/>
            <w:vAlign w:val="center"/>
          </w:tcPr>
          <w:p w14:paraId="37A576F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FFC000"/>
                <w:kern w:val="0"/>
                <w:sz w:val="21"/>
                <w:szCs w:val="21"/>
                <w:highlight w:val="none"/>
              </w:rPr>
              <w:t>《工业企业厂界环境噪声排放标准》（GB12348-2008）表1工业企业厂界环境噪声排放限值中</w:t>
            </w:r>
            <w:r>
              <w:rPr>
                <w:rFonts w:hint="default" w:ascii="Times New Roman" w:hAnsi="Times New Roman" w:eastAsia="宋体" w:cs="Times New Roman"/>
                <w:color w:val="FFC000"/>
                <w:kern w:val="0"/>
                <w:sz w:val="21"/>
                <w:szCs w:val="21"/>
                <w:highlight w:val="none"/>
                <w:lang w:val="en-US" w:eastAsia="zh-CN"/>
              </w:rPr>
              <w:t>1</w:t>
            </w:r>
            <w:r>
              <w:rPr>
                <w:rFonts w:hint="default" w:ascii="Times New Roman" w:hAnsi="Times New Roman" w:eastAsia="宋体" w:cs="Times New Roman"/>
                <w:color w:val="FFC000"/>
                <w:kern w:val="0"/>
                <w:sz w:val="21"/>
                <w:szCs w:val="21"/>
                <w:highlight w:val="none"/>
              </w:rPr>
              <w:t>类功能区排放限值</w:t>
            </w:r>
          </w:p>
        </w:tc>
        <w:tc>
          <w:tcPr>
            <w:tcW w:w="814" w:type="dxa"/>
            <w:tcBorders>
              <w:top w:val="single" w:color="auto" w:sz="4" w:space="0"/>
              <w:left w:val="single" w:color="auto" w:sz="4" w:space="0"/>
              <w:bottom w:val="single" w:color="auto" w:sz="4" w:space="0"/>
              <w:right w:val="single" w:color="auto" w:sz="4" w:space="0"/>
            </w:tcBorders>
            <w:vAlign w:val="center"/>
          </w:tcPr>
          <w:p w14:paraId="3554FAC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w:t>
            </w:r>
          </w:p>
        </w:tc>
      </w:tr>
      <w:tr w14:paraId="6EE41F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43E624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固废</w:t>
            </w:r>
          </w:p>
        </w:tc>
        <w:tc>
          <w:tcPr>
            <w:tcW w:w="541" w:type="dxa"/>
            <w:tcBorders>
              <w:top w:val="single" w:color="auto" w:sz="4" w:space="0"/>
              <w:left w:val="single" w:color="auto" w:sz="4" w:space="0"/>
              <w:bottom w:val="single" w:color="auto" w:sz="4" w:space="0"/>
              <w:right w:val="single" w:color="auto" w:sz="4" w:space="0"/>
            </w:tcBorders>
            <w:shd w:val="clear" w:color="auto" w:fill="auto"/>
            <w:vAlign w:val="center"/>
          </w:tcPr>
          <w:p w14:paraId="6458B70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1</w:t>
            </w:r>
          </w:p>
        </w:tc>
        <w:tc>
          <w:tcPr>
            <w:tcW w:w="1481" w:type="dxa"/>
            <w:vMerge w:val="restart"/>
            <w:tcBorders>
              <w:top w:val="single" w:color="auto" w:sz="4" w:space="0"/>
              <w:left w:val="single" w:color="auto" w:sz="4" w:space="0"/>
              <w:right w:val="single" w:color="auto" w:sz="4" w:space="0"/>
            </w:tcBorders>
            <w:shd w:val="clear" w:color="auto" w:fill="auto"/>
            <w:vAlign w:val="center"/>
          </w:tcPr>
          <w:p w14:paraId="3CB4CAD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一般固废</w:t>
            </w:r>
          </w:p>
        </w:tc>
        <w:tc>
          <w:tcPr>
            <w:tcW w:w="1185" w:type="dxa"/>
            <w:tcBorders>
              <w:top w:val="single" w:color="auto" w:sz="4" w:space="0"/>
              <w:left w:val="single" w:color="auto" w:sz="4" w:space="0"/>
              <w:bottom w:val="single" w:color="auto" w:sz="4" w:space="0"/>
              <w:right w:val="single" w:color="auto" w:sz="4" w:space="0"/>
            </w:tcBorders>
            <w:shd w:val="clear" w:color="auto" w:fill="auto"/>
            <w:vAlign w:val="center"/>
          </w:tcPr>
          <w:p w14:paraId="0893300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sz w:val="21"/>
                <w:szCs w:val="21"/>
                <w:highlight w:val="none"/>
                <w:lang w:eastAsia="zh-CN"/>
              </w:rPr>
              <w:t>牛粪便</w:t>
            </w:r>
          </w:p>
        </w:tc>
        <w:tc>
          <w:tcPr>
            <w:tcW w:w="2775" w:type="dxa"/>
            <w:vMerge w:val="restart"/>
            <w:tcBorders>
              <w:top w:val="single" w:color="auto" w:sz="4" w:space="0"/>
              <w:left w:val="single" w:color="auto" w:sz="4" w:space="0"/>
              <w:right w:val="single" w:color="auto" w:sz="4" w:space="0"/>
            </w:tcBorders>
            <w:shd w:val="clear" w:color="auto" w:fill="auto"/>
            <w:vAlign w:val="center"/>
          </w:tcPr>
          <w:p w14:paraId="40F71F3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清运</w:t>
            </w:r>
            <w:r>
              <w:rPr>
                <w:rFonts w:hint="default" w:ascii="Times New Roman" w:hAnsi="Times New Roman" w:eastAsia="宋体" w:cs="Times New Roman"/>
                <w:color w:val="auto"/>
                <w:kern w:val="0"/>
                <w:sz w:val="21"/>
                <w:szCs w:val="21"/>
                <w:highlight w:val="none"/>
                <w:lang w:eastAsia="zh-CN"/>
              </w:rPr>
              <w:t>至粪污处理池</w:t>
            </w:r>
            <w:r>
              <w:rPr>
                <w:rFonts w:hint="default" w:ascii="Times New Roman" w:hAnsi="Times New Roman" w:eastAsia="宋体" w:cs="Times New Roman"/>
                <w:color w:val="auto"/>
                <w:kern w:val="0"/>
                <w:sz w:val="21"/>
                <w:szCs w:val="21"/>
                <w:highlight w:val="none"/>
              </w:rPr>
              <w:t>堆肥发酵</w:t>
            </w: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14:paraId="659D13A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1057" w:type="dxa"/>
            <w:tcBorders>
              <w:top w:val="single" w:color="auto" w:sz="4" w:space="0"/>
              <w:left w:val="single" w:color="auto" w:sz="4" w:space="0"/>
              <w:bottom w:val="single" w:color="auto" w:sz="4" w:space="0"/>
              <w:right w:val="single" w:color="auto" w:sz="4" w:space="0"/>
            </w:tcBorders>
            <w:shd w:val="clear" w:color="auto" w:fill="auto"/>
            <w:vAlign w:val="center"/>
          </w:tcPr>
          <w:p w14:paraId="749795A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9928</w:t>
            </w:r>
          </w:p>
        </w:tc>
        <w:tc>
          <w:tcPr>
            <w:tcW w:w="2227"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5990B54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0000FF"/>
                <w:sz w:val="21"/>
                <w:szCs w:val="21"/>
                <w:highlight w:val="none"/>
              </w:rPr>
              <w:t>用于周边农田还田利用</w:t>
            </w:r>
          </w:p>
        </w:tc>
        <w:tc>
          <w:tcPr>
            <w:tcW w:w="1736" w:type="dxa"/>
            <w:vMerge w:val="restart"/>
            <w:tcBorders>
              <w:top w:val="single" w:color="auto" w:sz="4" w:space="0"/>
              <w:left w:val="single" w:color="auto" w:sz="4" w:space="0"/>
              <w:right w:val="single" w:color="auto" w:sz="4" w:space="0"/>
            </w:tcBorders>
            <w:shd w:val="clear" w:color="auto" w:fill="auto"/>
            <w:vAlign w:val="center"/>
          </w:tcPr>
          <w:p w14:paraId="5AFF659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lang w:val="en-US" w:eastAsia="zh-CN"/>
              </w:rPr>
              <w:t>满足《粪便无害化卫生标准》的要求</w:t>
            </w:r>
          </w:p>
        </w:tc>
        <w:tc>
          <w:tcPr>
            <w:tcW w:w="814" w:type="dxa"/>
            <w:tcBorders>
              <w:top w:val="single" w:color="auto" w:sz="4" w:space="0"/>
              <w:left w:val="single" w:color="auto" w:sz="4" w:space="0"/>
              <w:bottom w:val="single" w:color="auto" w:sz="4" w:space="0"/>
              <w:right w:val="single" w:color="auto" w:sz="4" w:space="0"/>
            </w:tcBorders>
            <w:vAlign w:val="center"/>
          </w:tcPr>
          <w:p w14:paraId="30DF9D1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合规</w:t>
            </w:r>
          </w:p>
          <w:p w14:paraId="7429DDA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利用</w:t>
            </w:r>
          </w:p>
        </w:tc>
      </w:tr>
      <w:tr w14:paraId="5736274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7" w:type="dxa"/>
            <w:vMerge w:val="continue"/>
            <w:tcBorders>
              <w:left w:val="single" w:color="auto" w:sz="4" w:space="0"/>
              <w:right w:val="single" w:color="auto" w:sz="4" w:space="0"/>
            </w:tcBorders>
            <w:shd w:val="clear" w:color="auto" w:fill="auto"/>
            <w:vAlign w:val="center"/>
          </w:tcPr>
          <w:p w14:paraId="793AEE5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541" w:type="dxa"/>
            <w:tcBorders>
              <w:top w:val="single" w:color="auto" w:sz="4" w:space="0"/>
              <w:left w:val="single" w:color="auto" w:sz="4" w:space="0"/>
              <w:bottom w:val="single" w:color="auto" w:sz="4" w:space="0"/>
              <w:right w:val="single" w:color="auto" w:sz="4" w:space="0"/>
            </w:tcBorders>
            <w:shd w:val="clear" w:color="auto" w:fill="auto"/>
            <w:vAlign w:val="center"/>
          </w:tcPr>
          <w:p w14:paraId="7FFF37E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2</w:t>
            </w:r>
          </w:p>
        </w:tc>
        <w:tc>
          <w:tcPr>
            <w:tcW w:w="1481" w:type="dxa"/>
            <w:vMerge w:val="continue"/>
            <w:tcBorders>
              <w:left w:val="single" w:color="auto" w:sz="4" w:space="0"/>
              <w:right w:val="single" w:color="auto" w:sz="4" w:space="0"/>
            </w:tcBorders>
            <w:shd w:val="clear" w:color="auto" w:fill="auto"/>
            <w:vAlign w:val="center"/>
          </w:tcPr>
          <w:p w14:paraId="5B1289A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185" w:type="dxa"/>
            <w:tcBorders>
              <w:top w:val="single" w:color="auto" w:sz="4" w:space="0"/>
              <w:left w:val="single" w:color="auto" w:sz="4" w:space="0"/>
              <w:bottom w:val="single" w:color="auto" w:sz="4" w:space="0"/>
              <w:right w:val="single" w:color="auto" w:sz="4" w:space="0"/>
            </w:tcBorders>
            <w:shd w:val="clear" w:color="auto" w:fill="auto"/>
            <w:vAlign w:val="center"/>
          </w:tcPr>
          <w:p w14:paraId="5DE30B4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0000FF"/>
                <w:sz w:val="21"/>
                <w:szCs w:val="21"/>
                <w:highlight w:val="none"/>
              </w:rPr>
              <w:t>垫</w:t>
            </w:r>
            <w:r>
              <w:rPr>
                <w:rFonts w:hint="default" w:ascii="Times New Roman" w:hAnsi="Times New Roman" w:eastAsia="宋体" w:cs="Times New Roman"/>
                <w:color w:val="0000FF"/>
                <w:sz w:val="21"/>
                <w:szCs w:val="21"/>
                <w:highlight w:val="none"/>
                <w:lang w:val="en-US" w:eastAsia="zh-CN"/>
              </w:rPr>
              <w:t>料</w:t>
            </w:r>
          </w:p>
        </w:tc>
        <w:tc>
          <w:tcPr>
            <w:tcW w:w="2775" w:type="dxa"/>
            <w:vMerge w:val="continue"/>
            <w:tcBorders>
              <w:left w:val="single" w:color="auto" w:sz="4" w:space="0"/>
              <w:bottom w:val="single" w:color="auto" w:sz="4" w:space="0"/>
              <w:right w:val="single" w:color="auto" w:sz="4" w:space="0"/>
            </w:tcBorders>
            <w:shd w:val="clear" w:color="auto" w:fill="auto"/>
            <w:vAlign w:val="center"/>
          </w:tcPr>
          <w:p w14:paraId="6D67D8A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14:paraId="1B4930A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1057" w:type="dxa"/>
            <w:tcBorders>
              <w:top w:val="single" w:color="auto" w:sz="4" w:space="0"/>
              <w:left w:val="single" w:color="auto" w:sz="4" w:space="0"/>
              <w:bottom w:val="single" w:color="auto" w:sz="4" w:space="0"/>
              <w:right w:val="single" w:color="auto" w:sz="4" w:space="0"/>
            </w:tcBorders>
            <w:shd w:val="clear" w:color="auto" w:fill="auto"/>
            <w:vAlign w:val="center"/>
          </w:tcPr>
          <w:p w14:paraId="28F7752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2227"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7E76073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0000FF"/>
                <w:sz w:val="21"/>
                <w:szCs w:val="21"/>
                <w:highlight w:val="none"/>
              </w:rPr>
              <w:t>用于周边农田还田利用</w:t>
            </w:r>
          </w:p>
        </w:tc>
        <w:tc>
          <w:tcPr>
            <w:tcW w:w="1736" w:type="dxa"/>
            <w:vMerge w:val="continue"/>
            <w:tcBorders>
              <w:left w:val="single" w:color="auto" w:sz="4" w:space="0"/>
              <w:bottom w:val="single" w:color="auto" w:sz="4" w:space="0"/>
              <w:right w:val="single" w:color="auto" w:sz="4" w:space="0"/>
            </w:tcBorders>
            <w:shd w:val="clear" w:color="auto" w:fill="auto"/>
            <w:vAlign w:val="center"/>
          </w:tcPr>
          <w:p w14:paraId="2D40931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814" w:type="dxa"/>
            <w:tcBorders>
              <w:top w:val="single" w:color="auto" w:sz="4" w:space="0"/>
              <w:left w:val="single" w:color="auto" w:sz="4" w:space="0"/>
              <w:bottom w:val="single" w:color="auto" w:sz="4" w:space="0"/>
              <w:right w:val="single" w:color="auto" w:sz="4" w:space="0"/>
            </w:tcBorders>
            <w:vAlign w:val="center"/>
          </w:tcPr>
          <w:p w14:paraId="15F61D9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合规</w:t>
            </w:r>
          </w:p>
          <w:p w14:paraId="16FAE73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利用</w:t>
            </w:r>
          </w:p>
        </w:tc>
      </w:tr>
      <w:tr w14:paraId="54EE91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7" w:type="dxa"/>
            <w:vMerge w:val="continue"/>
            <w:tcBorders>
              <w:left w:val="single" w:color="auto" w:sz="4" w:space="0"/>
              <w:right w:val="single" w:color="auto" w:sz="4" w:space="0"/>
            </w:tcBorders>
            <w:shd w:val="clear" w:color="auto" w:fill="auto"/>
            <w:vAlign w:val="center"/>
          </w:tcPr>
          <w:p w14:paraId="0E3D434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541" w:type="dxa"/>
            <w:tcBorders>
              <w:top w:val="single" w:color="auto" w:sz="4" w:space="0"/>
              <w:left w:val="single" w:color="auto" w:sz="4" w:space="0"/>
              <w:bottom w:val="single" w:color="auto" w:sz="4" w:space="0"/>
              <w:right w:val="single" w:color="auto" w:sz="4" w:space="0"/>
            </w:tcBorders>
            <w:shd w:val="clear" w:color="auto" w:fill="auto"/>
            <w:vAlign w:val="center"/>
          </w:tcPr>
          <w:p w14:paraId="145E2D3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w:t>
            </w:r>
          </w:p>
        </w:tc>
        <w:tc>
          <w:tcPr>
            <w:tcW w:w="1481" w:type="dxa"/>
            <w:vMerge w:val="continue"/>
            <w:tcBorders>
              <w:left w:val="single" w:color="auto" w:sz="4" w:space="0"/>
              <w:bottom w:val="single" w:color="auto" w:sz="4" w:space="0"/>
              <w:right w:val="single" w:color="auto" w:sz="4" w:space="0"/>
            </w:tcBorders>
            <w:shd w:val="clear" w:color="auto" w:fill="auto"/>
            <w:vAlign w:val="center"/>
          </w:tcPr>
          <w:p w14:paraId="50C33FC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185" w:type="dxa"/>
            <w:tcBorders>
              <w:top w:val="single" w:color="auto" w:sz="4" w:space="0"/>
              <w:left w:val="single" w:color="auto" w:sz="4" w:space="0"/>
              <w:bottom w:val="single" w:color="auto" w:sz="4" w:space="0"/>
              <w:right w:val="single" w:color="auto" w:sz="4" w:space="0"/>
            </w:tcBorders>
            <w:shd w:val="clear" w:color="auto" w:fill="auto"/>
            <w:vAlign w:val="center"/>
          </w:tcPr>
          <w:p w14:paraId="7A44C54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病死牛</w:t>
            </w:r>
          </w:p>
        </w:tc>
        <w:tc>
          <w:tcPr>
            <w:tcW w:w="2775" w:type="dxa"/>
            <w:tcBorders>
              <w:left w:val="single" w:color="auto" w:sz="4" w:space="0"/>
              <w:bottom w:val="single" w:color="auto" w:sz="4" w:space="0"/>
              <w:right w:val="single" w:color="auto" w:sz="4" w:space="0"/>
            </w:tcBorders>
            <w:shd w:val="clear" w:color="auto" w:fill="auto"/>
            <w:vAlign w:val="center"/>
          </w:tcPr>
          <w:p w14:paraId="0268663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交由巴彦淖尔市绿之源生物技术发展有限公司进行无害化处理</w:t>
            </w: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14:paraId="43CFBBA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w:t>
            </w:r>
          </w:p>
        </w:tc>
        <w:tc>
          <w:tcPr>
            <w:tcW w:w="1057" w:type="dxa"/>
            <w:tcBorders>
              <w:top w:val="single" w:color="auto" w:sz="4" w:space="0"/>
              <w:left w:val="single" w:color="auto" w:sz="4" w:space="0"/>
              <w:bottom w:val="single" w:color="auto" w:sz="4" w:space="0"/>
              <w:right w:val="single" w:color="auto" w:sz="4" w:space="0"/>
            </w:tcBorders>
            <w:shd w:val="clear" w:color="auto" w:fill="auto"/>
            <w:vAlign w:val="center"/>
          </w:tcPr>
          <w:p w14:paraId="3708A98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2.5</w:t>
            </w:r>
          </w:p>
        </w:tc>
        <w:tc>
          <w:tcPr>
            <w:tcW w:w="2227"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1551F50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满足无害化要求</w:t>
            </w:r>
          </w:p>
        </w:tc>
        <w:tc>
          <w:tcPr>
            <w:tcW w:w="1736" w:type="dxa"/>
            <w:tcBorders>
              <w:left w:val="single" w:color="auto" w:sz="4" w:space="0"/>
              <w:bottom w:val="single" w:color="auto" w:sz="4" w:space="0"/>
              <w:right w:val="single" w:color="auto" w:sz="4" w:space="0"/>
            </w:tcBorders>
            <w:shd w:val="clear" w:color="auto" w:fill="auto"/>
            <w:vAlign w:val="center"/>
          </w:tcPr>
          <w:p w14:paraId="20A0913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《病死及病害动物无害化处理技术规范的通知》（农医发</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2017</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25号）等</w:t>
            </w:r>
          </w:p>
        </w:tc>
        <w:tc>
          <w:tcPr>
            <w:tcW w:w="814" w:type="dxa"/>
            <w:tcBorders>
              <w:top w:val="single" w:color="auto" w:sz="4" w:space="0"/>
              <w:left w:val="single" w:color="auto" w:sz="4" w:space="0"/>
              <w:bottom w:val="single" w:color="auto" w:sz="4" w:space="0"/>
              <w:right w:val="single" w:color="auto" w:sz="4" w:space="0"/>
            </w:tcBorders>
            <w:vAlign w:val="center"/>
          </w:tcPr>
          <w:p w14:paraId="15CDAE9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rPr>
              <w:t>妥善处置</w:t>
            </w:r>
          </w:p>
        </w:tc>
      </w:tr>
      <w:tr w14:paraId="735AE1C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45DAC0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541" w:type="dxa"/>
            <w:tcBorders>
              <w:top w:val="single" w:color="auto" w:sz="4" w:space="0"/>
              <w:left w:val="single" w:color="auto" w:sz="4" w:space="0"/>
              <w:bottom w:val="single" w:color="auto" w:sz="4" w:space="0"/>
              <w:right w:val="single" w:color="auto" w:sz="4" w:space="0"/>
            </w:tcBorders>
            <w:shd w:val="clear" w:color="auto" w:fill="auto"/>
            <w:vAlign w:val="center"/>
          </w:tcPr>
          <w:p w14:paraId="0207E69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4</w:t>
            </w:r>
          </w:p>
        </w:tc>
        <w:tc>
          <w:tcPr>
            <w:tcW w:w="1481" w:type="dxa"/>
            <w:tcBorders>
              <w:top w:val="single" w:color="auto" w:sz="4" w:space="0"/>
              <w:left w:val="single" w:color="auto" w:sz="4" w:space="0"/>
              <w:bottom w:val="single" w:color="auto" w:sz="4" w:space="0"/>
              <w:right w:val="single" w:color="auto" w:sz="4" w:space="0"/>
            </w:tcBorders>
            <w:shd w:val="clear" w:color="auto" w:fill="auto"/>
            <w:vAlign w:val="center"/>
          </w:tcPr>
          <w:p w14:paraId="55F1F33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危险废物</w:t>
            </w:r>
          </w:p>
        </w:tc>
        <w:tc>
          <w:tcPr>
            <w:tcW w:w="1185" w:type="dxa"/>
            <w:tcBorders>
              <w:top w:val="single" w:color="auto" w:sz="4" w:space="0"/>
              <w:left w:val="single" w:color="auto" w:sz="4" w:space="0"/>
              <w:bottom w:val="single" w:color="auto" w:sz="4" w:space="0"/>
              <w:right w:val="single" w:color="auto" w:sz="4" w:space="0"/>
            </w:tcBorders>
            <w:shd w:val="clear" w:color="auto" w:fill="auto"/>
            <w:vAlign w:val="center"/>
          </w:tcPr>
          <w:p w14:paraId="128616E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rPr>
              <w:t>医疗垃圾</w:t>
            </w:r>
          </w:p>
        </w:tc>
        <w:tc>
          <w:tcPr>
            <w:tcW w:w="2775" w:type="dxa"/>
            <w:tcBorders>
              <w:top w:val="single" w:color="auto" w:sz="4" w:space="0"/>
              <w:left w:val="single" w:color="auto" w:sz="4" w:space="0"/>
              <w:bottom w:val="single" w:color="auto" w:sz="4" w:space="0"/>
              <w:right w:val="single" w:color="auto" w:sz="4" w:space="0"/>
            </w:tcBorders>
            <w:shd w:val="clear" w:color="auto" w:fill="auto"/>
            <w:vAlign w:val="center"/>
          </w:tcPr>
          <w:p w14:paraId="3F1C1AF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危废暂存间内</w:t>
            </w: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14:paraId="4764161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w:t>
            </w:r>
          </w:p>
        </w:tc>
        <w:tc>
          <w:tcPr>
            <w:tcW w:w="1057" w:type="dxa"/>
            <w:tcBorders>
              <w:top w:val="single" w:color="auto" w:sz="4" w:space="0"/>
              <w:left w:val="single" w:color="auto" w:sz="4" w:space="0"/>
              <w:bottom w:val="single" w:color="auto" w:sz="4" w:space="0"/>
              <w:right w:val="single" w:color="auto" w:sz="4" w:space="0"/>
            </w:tcBorders>
            <w:shd w:val="clear" w:color="auto" w:fill="auto"/>
            <w:vAlign w:val="center"/>
          </w:tcPr>
          <w:p w14:paraId="69E1E6C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0.25</w:t>
            </w:r>
          </w:p>
        </w:tc>
        <w:tc>
          <w:tcPr>
            <w:tcW w:w="2227"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4971E7B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bidi="zh-CN"/>
              </w:rPr>
              <w:t>定期由有资质单位处置</w:t>
            </w:r>
          </w:p>
        </w:tc>
        <w:tc>
          <w:tcPr>
            <w:tcW w:w="1736" w:type="dxa"/>
            <w:tcBorders>
              <w:top w:val="single" w:color="auto" w:sz="4" w:space="0"/>
              <w:left w:val="single" w:color="auto" w:sz="4" w:space="0"/>
              <w:bottom w:val="single" w:color="auto" w:sz="4" w:space="0"/>
              <w:right w:val="single" w:color="auto" w:sz="4" w:space="0"/>
            </w:tcBorders>
            <w:shd w:val="clear" w:color="auto" w:fill="auto"/>
            <w:vAlign w:val="center"/>
          </w:tcPr>
          <w:p w14:paraId="57B4386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rPr>
              <w:t>《危险废物贮存污染控制标准》（</w:t>
            </w:r>
            <w:r>
              <w:rPr>
                <w:rFonts w:hint="default" w:ascii="Times New Roman" w:hAnsi="Times New Roman" w:eastAsia="宋体" w:cs="Times New Roman"/>
                <w:color w:val="FF0000"/>
                <w:kern w:val="0"/>
                <w:sz w:val="21"/>
                <w:szCs w:val="21"/>
                <w:highlight w:val="none"/>
                <w:lang w:eastAsia="zh-CN"/>
              </w:rPr>
              <w:t>GB18597-2023</w:t>
            </w:r>
            <w:r>
              <w:rPr>
                <w:rFonts w:hint="default" w:ascii="Times New Roman" w:hAnsi="Times New Roman" w:eastAsia="宋体" w:cs="Times New Roman"/>
                <w:color w:val="FF0000"/>
                <w:kern w:val="0"/>
                <w:sz w:val="21"/>
                <w:szCs w:val="21"/>
                <w:highlight w:val="none"/>
              </w:rPr>
              <w:t>）</w:t>
            </w:r>
          </w:p>
        </w:tc>
        <w:tc>
          <w:tcPr>
            <w:tcW w:w="814" w:type="dxa"/>
            <w:tcBorders>
              <w:top w:val="single" w:color="auto" w:sz="4" w:space="0"/>
              <w:left w:val="single" w:color="auto" w:sz="4" w:space="0"/>
              <w:bottom w:val="single" w:color="auto" w:sz="4" w:space="0"/>
              <w:right w:val="single" w:color="auto" w:sz="4" w:space="0"/>
            </w:tcBorders>
            <w:vAlign w:val="center"/>
          </w:tcPr>
          <w:p w14:paraId="2AB0C1E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rPr>
              <w:t>妥善处置</w:t>
            </w:r>
          </w:p>
        </w:tc>
      </w:tr>
      <w:tr w14:paraId="352FEB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D884EE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541" w:type="dxa"/>
            <w:tcBorders>
              <w:top w:val="single" w:color="auto" w:sz="4" w:space="0"/>
              <w:left w:val="single" w:color="auto" w:sz="4" w:space="0"/>
              <w:bottom w:val="single" w:color="auto" w:sz="4" w:space="0"/>
              <w:right w:val="single" w:color="auto" w:sz="4" w:space="0"/>
            </w:tcBorders>
            <w:shd w:val="clear" w:color="auto" w:fill="auto"/>
            <w:vAlign w:val="center"/>
          </w:tcPr>
          <w:p w14:paraId="7136478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5</w:t>
            </w:r>
          </w:p>
        </w:tc>
        <w:tc>
          <w:tcPr>
            <w:tcW w:w="1481" w:type="dxa"/>
            <w:tcBorders>
              <w:top w:val="single" w:color="auto" w:sz="4" w:space="0"/>
              <w:left w:val="single" w:color="auto" w:sz="4" w:space="0"/>
              <w:bottom w:val="single" w:color="auto" w:sz="4" w:space="0"/>
              <w:right w:val="single" w:color="auto" w:sz="4" w:space="0"/>
            </w:tcBorders>
            <w:shd w:val="clear" w:color="auto" w:fill="auto"/>
            <w:vAlign w:val="center"/>
          </w:tcPr>
          <w:p w14:paraId="4940A13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生活垃圾</w:t>
            </w:r>
          </w:p>
        </w:tc>
        <w:tc>
          <w:tcPr>
            <w:tcW w:w="1185" w:type="dxa"/>
            <w:tcBorders>
              <w:top w:val="single" w:color="auto" w:sz="4" w:space="0"/>
              <w:left w:val="single" w:color="auto" w:sz="4" w:space="0"/>
              <w:bottom w:val="single" w:color="auto" w:sz="4" w:space="0"/>
              <w:right w:val="single" w:color="auto" w:sz="4" w:space="0"/>
            </w:tcBorders>
            <w:shd w:val="clear" w:color="auto" w:fill="auto"/>
            <w:vAlign w:val="center"/>
          </w:tcPr>
          <w:p w14:paraId="2CD34D4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生活垃圾</w:t>
            </w:r>
          </w:p>
        </w:tc>
        <w:tc>
          <w:tcPr>
            <w:tcW w:w="2775" w:type="dxa"/>
            <w:tcBorders>
              <w:top w:val="single" w:color="auto" w:sz="4" w:space="0"/>
              <w:left w:val="single" w:color="auto" w:sz="4" w:space="0"/>
              <w:bottom w:val="single" w:color="auto" w:sz="4" w:space="0"/>
              <w:right w:val="single" w:color="auto" w:sz="4" w:space="0"/>
            </w:tcBorders>
            <w:shd w:val="clear" w:color="auto" w:fill="auto"/>
            <w:vAlign w:val="center"/>
          </w:tcPr>
          <w:p w14:paraId="37E7448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场区垃圾桶分类收集</w:t>
            </w:r>
          </w:p>
        </w:tc>
        <w:tc>
          <w:tcPr>
            <w:tcW w:w="1313" w:type="dxa"/>
            <w:tcBorders>
              <w:top w:val="single" w:color="auto" w:sz="4" w:space="0"/>
              <w:left w:val="single" w:color="auto" w:sz="4" w:space="0"/>
              <w:bottom w:val="single" w:color="auto" w:sz="4" w:space="0"/>
              <w:right w:val="single" w:color="auto" w:sz="4" w:space="0"/>
            </w:tcBorders>
            <w:shd w:val="clear" w:color="auto" w:fill="auto"/>
            <w:vAlign w:val="center"/>
          </w:tcPr>
          <w:p w14:paraId="1DB7563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1057" w:type="dxa"/>
            <w:tcBorders>
              <w:top w:val="single" w:color="auto" w:sz="4" w:space="0"/>
              <w:left w:val="single" w:color="auto" w:sz="4" w:space="0"/>
              <w:bottom w:val="single" w:color="auto" w:sz="4" w:space="0"/>
              <w:right w:val="single" w:color="auto" w:sz="4" w:space="0"/>
            </w:tcBorders>
            <w:shd w:val="clear" w:color="auto" w:fill="auto"/>
            <w:vAlign w:val="center"/>
          </w:tcPr>
          <w:p w14:paraId="519BCEF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9.125</w:t>
            </w:r>
          </w:p>
        </w:tc>
        <w:tc>
          <w:tcPr>
            <w:tcW w:w="2227"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31593B9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清运到环卫部门指定的地点集中处理</w:t>
            </w:r>
          </w:p>
        </w:tc>
        <w:tc>
          <w:tcPr>
            <w:tcW w:w="1736" w:type="dxa"/>
            <w:tcBorders>
              <w:top w:val="single" w:color="auto" w:sz="4" w:space="0"/>
              <w:left w:val="single" w:color="auto" w:sz="4" w:space="0"/>
              <w:bottom w:val="single" w:color="auto" w:sz="4" w:space="0"/>
              <w:right w:val="single" w:color="auto" w:sz="4" w:space="0"/>
            </w:tcBorders>
            <w:shd w:val="clear" w:color="auto" w:fill="auto"/>
            <w:vAlign w:val="center"/>
          </w:tcPr>
          <w:p w14:paraId="54CA88C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814" w:type="dxa"/>
            <w:tcBorders>
              <w:top w:val="single" w:color="auto" w:sz="4" w:space="0"/>
              <w:left w:val="single" w:color="auto" w:sz="4" w:space="0"/>
              <w:bottom w:val="single" w:color="auto" w:sz="4" w:space="0"/>
              <w:right w:val="single" w:color="auto" w:sz="4" w:space="0"/>
            </w:tcBorders>
            <w:vAlign w:val="center"/>
          </w:tcPr>
          <w:p w14:paraId="01B8C41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eastAsia="zh-CN"/>
              </w:rPr>
              <w:t>妥善处置</w:t>
            </w:r>
          </w:p>
        </w:tc>
      </w:tr>
    </w:tbl>
    <w:p w14:paraId="3254F64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p>
    <w:p w14:paraId="15C3452F">
      <w:pPr>
        <w:pStyle w:val="5"/>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sectPr>
          <w:pgSz w:w="16838" w:h="11906" w:orient="landscape"/>
          <w:pgMar w:top="1440" w:right="1800" w:bottom="1440" w:left="1800" w:header="851" w:footer="1134" w:gutter="0"/>
          <w:pgBorders>
            <w:top w:val="none" w:sz="0" w:space="0"/>
            <w:left w:val="none" w:sz="0" w:space="0"/>
            <w:bottom w:val="none" w:sz="0" w:space="0"/>
            <w:right w:val="none" w:sz="0" w:space="0"/>
          </w:pgBorders>
          <w:pgNumType w:fmt="decimal"/>
          <w:cols w:space="425" w:num="1"/>
          <w:docGrid w:linePitch="326" w:charSpace="0"/>
        </w:sectPr>
      </w:pPr>
    </w:p>
    <w:p w14:paraId="201E7D81">
      <w:pPr>
        <w:pStyle w:val="2"/>
        <w:pageBreakBefore w:val="0"/>
        <w:widowControl w:val="0"/>
        <w:kinsoku/>
        <w:wordWrap/>
        <w:overflowPunct/>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bookmarkStart w:id="286" w:name="_Toc8419"/>
      <w:r>
        <w:rPr>
          <w:rFonts w:hint="default" w:ascii="Times New Roman" w:hAnsi="Times New Roman" w:eastAsia="宋体" w:cs="Times New Roman"/>
          <w:color w:val="auto"/>
          <w:highlight w:val="none"/>
        </w:rPr>
        <w:t>4环境现状调查及评价</w:t>
      </w:r>
      <w:bookmarkEnd w:id="286"/>
    </w:p>
    <w:p w14:paraId="68DF271E">
      <w:pPr>
        <w:pStyle w:val="3"/>
        <w:pageBreakBefore w:val="0"/>
        <w:widowControl w:val="0"/>
        <w:kinsoku/>
        <w:wordWrap/>
        <w:overflowPunct/>
        <w:autoSpaceDN/>
        <w:bidi w:val="0"/>
        <w:adjustRightInd/>
        <w:snapToGrid w:val="0"/>
        <w:spacing w:before="0" w:after="0" w:line="360" w:lineRule="auto"/>
        <w:ind w:left="0" w:leftChars="0" w:right="0" w:rightChars="0"/>
        <w:textAlignment w:val="auto"/>
        <w:outlineLvl w:val="0"/>
        <w:rPr>
          <w:rFonts w:hint="default" w:ascii="Times New Roman" w:hAnsi="Times New Roman" w:eastAsia="宋体" w:cs="Times New Roman"/>
          <w:color w:val="auto"/>
          <w:highlight w:val="none"/>
        </w:rPr>
      </w:pPr>
      <w:bookmarkStart w:id="287" w:name="_Toc30454"/>
      <w:r>
        <w:rPr>
          <w:rFonts w:hint="default" w:ascii="Times New Roman" w:hAnsi="Times New Roman" w:eastAsia="宋体" w:cs="Times New Roman"/>
          <w:color w:val="auto"/>
          <w:highlight w:val="none"/>
        </w:rPr>
        <w:t>4.1自然环境现状调查与评价</w:t>
      </w:r>
      <w:bookmarkEnd w:id="287"/>
    </w:p>
    <w:p w14:paraId="7B78C89C">
      <w:pPr>
        <w:pStyle w:val="5"/>
        <w:pageBreakBefore w:val="0"/>
        <w:widowControl w:val="0"/>
        <w:kinsoku/>
        <w:wordWrap/>
        <w:overflowPunct/>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288" w:name="_Toc18180"/>
      <w:r>
        <w:rPr>
          <w:rFonts w:hint="default" w:ascii="Times New Roman" w:hAnsi="Times New Roman" w:eastAsia="宋体" w:cs="Times New Roman"/>
          <w:color w:val="auto"/>
          <w:highlight w:val="none"/>
        </w:rPr>
        <w:t>4.1.1地理位置</w:t>
      </w:r>
      <w:bookmarkEnd w:id="288"/>
    </w:p>
    <w:p w14:paraId="0398DF57">
      <w:pPr>
        <w:pageBreakBefore w:val="0"/>
        <w:widowControl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乌拉特前旗位于内蒙古自治区西部，巴彦淖尔市东南部，黄河北岸，河套平原东端。地理位置在东经108°11′～109°54′、北纬40°28′～41°16′。东与包头毗邻，西与五原县相连，南至黄河与鄂尔多斯市杭锦旗和达拉特旗隔河相望，北与乌拉特中旗接壤。旗政府所在地乌拉山镇，距呼和浩特市288km，距巴彦淖尔市市政府所在地临河区142km。</w:t>
      </w:r>
    </w:p>
    <w:p w14:paraId="32196055">
      <w:pPr>
        <w:pStyle w:val="5"/>
        <w:pageBreakBefore w:val="0"/>
        <w:widowControl w:val="0"/>
        <w:kinsoku/>
        <w:wordWrap/>
        <w:overflowPunct/>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289" w:name="_Toc25397"/>
      <w:r>
        <w:rPr>
          <w:rFonts w:hint="default" w:ascii="Times New Roman" w:hAnsi="Times New Roman" w:eastAsia="宋体" w:cs="Times New Roman"/>
          <w:color w:val="auto"/>
          <w:highlight w:val="none"/>
        </w:rPr>
        <w:t>4.1.2</w:t>
      </w:r>
      <w:r>
        <w:rPr>
          <w:rFonts w:hint="default" w:ascii="Times New Roman" w:hAnsi="Times New Roman" w:eastAsia="宋体" w:cs="Times New Roman"/>
          <w:color w:val="auto"/>
          <w:szCs w:val="22"/>
          <w:highlight w:val="none"/>
        </w:rPr>
        <w:t>地形地貌</w:t>
      </w:r>
      <w:bookmarkEnd w:id="289"/>
    </w:p>
    <w:p w14:paraId="1D09DD0C">
      <w:pPr>
        <w:pageBreakBefore w:val="0"/>
        <w:widowControl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乌拉特前旗属于黄河流域区，为第四系冲洪冲积层，没有断裂带等不良地质状况。表层为粘性土层，厚度4</w:t>
      </w:r>
      <w:r>
        <w:rPr>
          <w:rFonts w:hint="default" w:ascii="Times New Roman" w:hAnsi="Times New Roman" w:eastAsia="宋体" w:cs="Times New Roman"/>
          <w:color w:val="auto"/>
          <w:kern w:val="0"/>
          <w:highlight w:val="none"/>
          <w:lang w:eastAsia="zh-CN"/>
        </w:rPr>
        <w:t>～</w:t>
      </w:r>
      <w:r>
        <w:rPr>
          <w:rFonts w:hint="default" w:ascii="Times New Roman" w:hAnsi="Times New Roman" w:eastAsia="宋体" w:cs="Times New Roman"/>
          <w:color w:val="auto"/>
          <w:kern w:val="0"/>
          <w:highlight w:val="none"/>
        </w:rPr>
        <w:t>15m，由砂壤土、壤土和粘土组成。下部厚层细砂夹薄</w:t>
      </w:r>
      <w:r>
        <w:rPr>
          <w:rFonts w:hint="default" w:ascii="Times New Roman" w:hAnsi="Times New Roman" w:eastAsia="宋体" w:cs="Times New Roman"/>
          <w:color w:val="auto"/>
          <w:kern w:val="0"/>
          <w:highlight w:val="none"/>
          <w:lang w:eastAsia="zh-CN"/>
        </w:rPr>
        <w:t>黏土</w:t>
      </w:r>
      <w:r>
        <w:rPr>
          <w:rFonts w:hint="default" w:ascii="Times New Roman" w:hAnsi="Times New Roman" w:eastAsia="宋体" w:cs="Times New Roman"/>
          <w:color w:val="auto"/>
          <w:kern w:val="0"/>
          <w:highlight w:val="none"/>
        </w:rPr>
        <w:t>层，厚度约50m，砂层中含有砾石层。流域区的土壤类型为盐化灌淤土，占全旗总面积的64.3</w:t>
      </w:r>
      <w:r>
        <w:rPr>
          <w:rFonts w:hint="default" w:ascii="Times New Roman" w:hAnsi="Times New Roman" w:eastAsia="宋体" w:cs="Times New Roman"/>
          <w:color w:val="auto"/>
          <w:kern w:val="0"/>
          <w:highlight w:val="none"/>
          <w:lang w:eastAsia="zh-CN"/>
        </w:rPr>
        <w:t>%</w:t>
      </w:r>
      <w:r>
        <w:rPr>
          <w:rFonts w:hint="default" w:ascii="Times New Roman" w:hAnsi="Times New Roman" w:eastAsia="宋体" w:cs="Times New Roman"/>
          <w:color w:val="auto"/>
          <w:kern w:val="0"/>
          <w:highlight w:val="none"/>
        </w:rPr>
        <w:t>，荒地为盐土，占总面积的35.7%。土壤表层质地为红泥土，黄灌区土壤的pH值为7.7。乌拉特前旗地形属内蒙古高原的一部分，东北部为丘陵山区、西部、南部为黄河冲积平原（西部为河套平原，南部为三湖河平原），平原区海拔1007m。全旗地势在1000</w:t>
      </w:r>
      <w:r>
        <w:rPr>
          <w:rFonts w:hint="default" w:ascii="Times New Roman" w:hAnsi="Times New Roman" w:eastAsia="宋体" w:cs="Times New Roman"/>
          <w:color w:val="auto"/>
          <w:kern w:val="0"/>
          <w:highlight w:val="none"/>
          <w:lang w:eastAsia="zh-CN"/>
        </w:rPr>
        <w:t>～</w:t>
      </w:r>
      <w:r>
        <w:rPr>
          <w:rFonts w:hint="default" w:ascii="Times New Roman" w:hAnsi="Times New Roman" w:eastAsia="宋体" w:cs="Times New Roman"/>
          <w:color w:val="auto"/>
          <w:kern w:val="0"/>
          <w:highlight w:val="none"/>
        </w:rPr>
        <w:t>2400m之间，东北高，西南低。乌拉特前旗地形可概括为“三山两川一面海，千里平原两道滩”。属阴山山脉的乌拉山、查石太白山、白音查干山位于旗东北，其主峰海拔高度达2322m，三山交错形成了不同台面的山麓阶地，称之为小佘太川、明安川；西部和东南部是三湖平原和河套平原的一部分，为黄河冲积平原地势东南低西北高，海拔在1007</w:t>
      </w:r>
      <w:r>
        <w:rPr>
          <w:rFonts w:hint="default" w:ascii="Times New Roman" w:hAnsi="Times New Roman" w:eastAsia="宋体" w:cs="Times New Roman"/>
          <w:color w:val="auto"/>
          <w:kern w:val="0"/>
          <w:highlight w:val="none"/>
          <w:lang w:eastAsia="zh-CN"/>
        </w:rPr>
        <w:t>～</w:t>
      </w:r>
      <w:r>
        <w:rPr>
          <w:rFonts w:hint="default" w:ascii="Times New Roman" w:hAnsi="Times New Roman" w:eastAsia="宋体" w:cs="Times New Roman"/>
          <w:color w:val="auto"/>
          <w:kern w:val="0"/>
          <w:highlight w:val="none"/>
        </w:rPr>
        <w:t>1026m之间；中部是全国八大淡水湖之一的乌梁素海。</w:t>
      </w:r>
    </w:p>
    <w:p w14:paraId="2806CC7C">
      <w:pPr>
        <w:pStyle w:val="5"/>
        <w:pageBreakBefore w:val="0"/>
        <w:widowControl w:val="0"/>
        <w:kinsoku/>
        <w:wordWrap/>
        <w:overflowPunct/>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szCs w:val="22"/>
          <w:highlight w:val="none"/>
        </w:rPr>
      </w:pPr>
      <w:bookmarkStart w:id="290" w:name="_Toc8196"/>
      <w:r>
        <w:rPr>
          <w:rFonts w:hint="default" w:ascii="Times New Roman" w:hAnsi="Times New Roman" w:eastAsia="宋体" w:cs="Times New Roman"/>
          <w:color w:val="auto"/>
          <w:highlight w:val="none"/>
        </w:rPr>
        <w:t>4.1.3</w:t>
      </w:r>
      <w:r>
        <w:rPr>
          <w:rFonts w:hint="default" w:ascii="Times New Roman" w:hAnsi="Times New Roman" w:eastAsia="宋体" w:cs="Times New Roman"/>
          <w:color w:val="auto"/>
          <w:szCs w:val="22"/>
          <w:highlight w:val="none"/>
        </w:rPr>
        <w:t>气候特征</w:t>
      </w:r>
      <w:bookmarkEnd w:id="290"/>
    </w:p>
    <w:p w14:paraId="14ADA5C4">
      <w:pPr>
        <w:pageBreakBefore w:val="0"/>
        <w:widowControl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bookmarkStart w:id="291" w:name="_Toc27598546"/>
      <w:r>
        <w:rPr>
          <w:rFonts w:hint="default" w:ascii="Times New Roman" w:hAnsi="Times New Roman" w:eastAsia="宋体" w:cs="Times New Roman"/>
          <w:color w:val="auto"/>
          <w:sz w:val="24"/>
          <w:highlight w:val="none"/>
        </w:rPr>
        <w:t>乌拉特前旗属中温带大陆多风干旱气候区，冬寒而长，夏热而短，昼夜温差大，光照充分；春季风沙较大；雨热同季，对农作物生长十分有利。年平均气温8.7℃，年均日照3251.6小时，积温</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大于10℃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3200小时，无霜期110-145天，年降雨量200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500mm，年平均降水量为219.7mm，最大降水量为</w:t>
      </w:r>
      <w:r>
        <w:rPr>
          <w:rFonts w:hint="default"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rPr>
        <w:t>月，极端日降水量达109.6mm，蒸发量大，年平均蒸发量为2343.0mm；1月平均气温零下10℃左右，7月平均气温24℃左右，</w:t>
      </w:r>
      <w:r>
        <w:rPr>
          <w:rFonts w:hint="default" w:ascii="Times New Roman" w:hAnsi="Times New Roman" w:eastAsia="宋体" w:cs="Times New Roman"/>
          <w:color w:val="0000FF"/>
          <w:sz w:val="24"/>
          <w:highlight w:val="none"/>
          <w:lang w:val="en-US" w:eastAsia="zh-CN"/>
        </w:rPr>
        <w:t>历史</w:t>
      </w:r>
      <w:r>
        <w:rPr>
          <w:rFonts w:hint="default" w:ascii="Times New Roman" w:hAnsi="Times New Roman" w:eastAsia="宋体" w:cs="Times New Roman"/>
          <w:color w:val="0000FF"/>
          <w:sz w:val="24"/>
          <w:highlight w:val="none"/>
        </w:rPr>
        <w:t>气温最高为</w:t>
      </w:r>
      <w:r>
        <w:rPr>
          <w:rFonts w:hint="default" w:ascii="Times New Roman" w:hAnsi="Times New Roman" w:eastAsia="宋体" w:cs="Times New Roman"/>
          <w:color w:val="0000FF"/>
          <w:sz w:val="24"/>
          <w:highlight w:val="none"/>
          <w:lang w:val="en-US" w:eastAsia="zh-CN"/>
        </w:rPr>
        <w:t>40.0</w:t>
      </w:r>
      <w:r>
        <w:rPr>
          <w:rFonts w:hint="default" w:ascii="Times New Roman" w:hAnsi="Times New Roman" w:eastAsia="宋体" w:cs="Times New Roman"/>
          <w:color w:val="0000FF"/>
          <w:sz w:val="24"/>
          <w:highlight w:val="none"/>
        </w:rPr>
        <w:t>℃，最低气温-</w:t>
      </w:r>
      <w:r>
        <w:rPr>
          <w:rFonts w:hint="default" w:ascii="Times New Roman" w:hAnsi="Times New Roman" w:eastAsia="宋体" w:cs="Times New Roman"/>
          <w:color w:val="0000FF"/>
          <w:sz w:val="24"/>
          <w:highlight w:val="none"/>
          <w:lang w:val="en-US" w:eastAsia="zh-CN"/>
        </w:rPr>
        <w:t>30.5</w:t>
      </w:r>
      <w:r>
        <w:rPr>
          <w:rFonts w:hint="default" w:ascii="Times New Roman" w:hAnsi="Times New Roman" w:eastAsia="宋体" w:cs="Times New Roman"/>
          <w:color w:val="0000FF"/>
          <w:sz w:val="24"/>
          <w:highlight w:val="none"/>
        </w:rPr>
        <w:t>℃；</w:t>
      </w:r>
      <w:r>
        <w:rPr>
          <w:rFonts w:hint="default" w:ascii="Times New Roman" w:hAnsi="Times New Roman" w:eastAsia="宋体" w:cs="Times New Roman"/>
          <w:color w:val="auto"/>
          <w:sz w:val="24"/>
          <w:highlight w:val="none"/>
        </w:rPr>
        <w:t>土壤最大冻结深度217cm，年最大积雪深度为1.6m。一年中风向随季节变换明显，该地区年主导风向为SSE风，其出现频率为16.3%，年平均风速3.0m/s</w:t>
      </w:r>
      <w:r>
        <w:rPr>
          <w:rFonts w:hint="default" w:ascii="Times New Roman" w:hAnsi="Times New Roman" w:eastAsia="宋体" w:cs="Times New Roman"/>
          <w:color w:val="auto"/>
          <w:highlight w:val="none"/>
        </w:rPr>
        <w:t>。</w:t>
      </w:r>
    </w:p>
    <w:bookmarkEnd w:id="291"/>
    <w:p w14:paraId="7866F1B0">
      <w:pPr>
        <w:pStyle w:val="5"/>
        <w:pageBreakBefore w:val="0"/>
        <w:widowControl w:val="0"/>
        <w:kinsoku/>
        <w:wordWrap/>
        <w:overflowPunct/>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lang w:eastAsia="zh-CN"/>
        </w:rPr>
      </w:pPr>
      <w:bookmarkStart w:id="292" w:name="_Toc528328470"/>
      <w:bookmarkStart w:id="293" w:name="_Toc12566"/>
      <w:bookmarkStart w:id="294" w:name="_Toc10451"/>
      <w:bookmarkStart w:id="295" w:name="_Toc7386"/>
      <w:bookmarkStart w:id="296" w:name="_Toc11014"/>
      <w:bookmarkStart w:id="297" w:name="_Toc22427"/>
      <w:bookmarkStart w:id="298" w:name="_Toc21032"/>
      <w:r>
        <w:rPr>
          <w:rFonts w:hint="default" w:ascii="Times New Roman" w:hAnsi="Times New Roman" w:eastAsia="宋体" w:cs="Times New Roman"/>
          <w:color w:val="auto"/>
          <w:highlight w:val="none"/>
        </w:rPr>
        <w:t>4.1.</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水文</w:t>
      </w:r>
      <w:bookmarkEnd w:id="292"/>
      <w:bookmarkEnd w:id="293"/>
      <w:bookmarkEnd w:id="294"/>
      <w:bookmarkEnd w:id="295"/>
      <w:bookmarkEnd w:id="296"/>
      <w:bookmarkEnd w:id="297"/>
      <w:r>
        <w:rPr>
          <w:rFonts w:hint="default" w:ascii="Times New Roman" w:hAnsi="Times New Roman" w:eastAsia="宋体" w:cs="Times New Roman"/>
          <w:color w:val="auto"/>
          <w:highlight w:val="none"/>
          <w:lang w:eastAsia="zh-CN"/>
        </w:rPr>
        <w:t>地质</w:t>
      </w:r>
      <w:bookmarkEnd w:id="298"/>
    </w:p>
    <w:p w14:paraId="7865AF72">
      <w:pPr>
        <w:pageBreakBefore w:val="0"/>
        <w:widowControl w:val="0"/>
        <w:kinsoku/>
        <w:wordWrap/>
        <w:overflowPunct/>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①地表水</w:t>
      </w:r>
    </w:p>
    <w:p w14:paraId="689238C2">
      <w:pPr>
        <w:pageBreakBefore w:val="0"/>
        <w:widowControl w:val="0"/>
        <w:kinsoku/>
        <w:wordWrap/>
        <w:overflowPunct/>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highlight w:val="none"/>
          <w:lang w:val="zh-CN"/>
        </w:rPr>
      </w:pPr>
      <w:r>
        <w:rPr>
          <w:rFonts w:hint="default" w:ascii="Times New Roman" w:hAnsi="Times New Roman" w:eastAsia="宋体" w:cs="Times New Roman"/>
          <w:color w:val="auto"/>
          <w:kern w:val="0"/>
          <w:sz w:val="24"/>
          <w:highlight w:val="none"/>
          <w:lang w:val="zh-CN"/>
        </w:rPr>
        <w:t>总排干是河套灌区排水系统的主体工程，是乌梁素海的主要补给源，其前身是乌加河古道。1967年总排干沟开挖初步完成，乌加河古道正式废除，到1985年，总排干沟配套工程全部完成，确定由总排干主干段、乌梁素海、出口退水渠三部分组成，全长260.38km。</w:t>
      </w:r>
    </w:p>
    <w:p w14:paraId="49CED641">
      <w:pPr>
        <w:pageBreakBefore w:val="0"/>
        <w:widowControl w:val="0"/>
        <w:kinsoku/>
        <w:wordWrap/>
        <w:overflowPunct/>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highlight w:val="none"/>
          <w:lang w:val="zh-CN"/>
        </w:rPr>
      </w:pPr>
      <w:r>
        <w:rPr>
          <w:rFonts w:hint="default" w:ascii="Times New Roman" w:hAnsi="Times New Roman" w:eastAsia="宋体" w:cs="Times New Roman"/>
          <w:color w:val="auto"/>
          <w:kern w:val="0"/>
          <w:sz w:val="24"/>
          <w:highlight w:val="none"/>
          <w:lang w:val="zh-CN"/>
        </w:rPr>
        <w:t>乌梁素海是内蒙古自治区黄河流域内最大的淡水湖泊，地处内蒙古河套平原东端乌拉特前旗境内，面积293km</w:t>
      </w:r>
      <w:r>
        <w:rPr>
          <w:rFonts w:hint="default" w:ascii="Times New Roman" w:hAnsi="Times New Roman" w:eastAsia="宋体" w:cs="Times New Roman"/>
          <w:color w:val="auto"/>
          <w:kern w:val="0"/>
          <w:sz w:val="24"/>
          <w:highlight w:val="none"/>
          <w:vertAlign w:val="superscript"/>
          <w:lang w:val="zh-CN"/>
        </w:rPr>
        <w:t>2</w:t>
      </w:r>
      <w:r>
        <w:rPr>
          <w:rFonts w:hint="default" w:ascii="Times New Roman" w:hAnsi="Times New Roman" w:eastAsia="宋体" w:cs="Times New Roman"/>
          <w:color w:val="auto"/>
          <w:kern w:val="0"/>
          <w:sz w:val="24"/>
          <w:highlight w:val="none"/>
          <w:lang w:val="zh-CN"/>
        </w:rPr>
        <w:t>，是黄河流域最大、地球上同一纬度最大的自然湿地，也是全球范围内半荒漠地区极为少见的高生态效益湿地，在我国湿地、荒漠及动物物种三大系统保护中均居于重要地位。</w:t>
      </w:r>
    </w:p>
    <w:p w14:paraId="7ADDC225">
      <w:pPr>
        <w:pageBreakBefore w:val="0"/>
        <w:widowControl w:val="0"/>
        <w:kinsoku/>
        <w:wordWrap/>
        <w:overflowPunct/>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highlight w:val="none"/>
          <w:lang w:val="zh-CN"/>
        </w:rPr>
      </w:pPr>
      <w:r>
        <w:rPr>
          <w:rFonts w:hint="default" w:ascii="Times New Roman" w:hAnsi="Times New Roman" w:eastAsia="宋体" w:cs="Times New Roman"/>
          <w:color w:val="auto"/>
          <w:kern w:val="0"/>
          <w:sz w:val="24"/>
          <w:highlight w:val="none"/>
          <w:lang w:val="zh-CN"/>
        </w:rPr>
        <w:t>乌梁素海的湖水来源在21世纪60年代以前，主要是河套灌区各大干渠的灌溉余水（也即黄河水）和山洪补给水，水质好。</w:t>
      </w:r>
      <w:r>
        <w:rPr>
          <w:rFonts w:hint="default" w:ascii="Times New Roman" w:hAnsi="Times New Roman" w:eastAsia="宋体" w:cs="Times New Roman"/>
          <w:color w:val="auto"/>
          <w:kern w:val="0"/>
          <w:sz w:val="24"/>
          <w:highlight w:val="none"/>
          <w:lang w:val="zh-CN"/>
        </w:rPr>
        <w:t>60年代</w:t>
      </w:r>
      <w:r>
        <w:rPr>
          <w:rFonts w:hint="default" w:ascii="Times New Roman" w:hAnsi="Times New Roman" w:eastAsia="宋体" w:cs="Times New Roman"/>
          <w:color w:val="auto"/>
          <w:kern w:val="0"/>
          <w:sz w:val="24"/>
          <w:highlight w:val="none"/>
          <w:lang w:val="zh-CN"/>
        </w:rPr>
        <w:t>以后随着三盛公水利枢纽工程的建成使用和灌区农田排水工程的建设、农药化肥的大量使用，湖水来源逐渐由灌溉余水转变为农田排水和灌溉淋滤水，水质也由含盐较低和营养物质不太丰富的黄河水转变为含盐量高，营养盐丰富的农田排水和灌溉淋滤水。</w:t>
      </w:r>
    </w:p>
    <w:p w14:paraId="2A36C56D">
      <w:pPr>
        <w:pageBreakBefore w:val="0"/>
        <w:widowControl w:val="0"/>
        <w:kinsoku/>
        <w:wordWrap/>
        <w:overflowPunct/>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②地下水</w:t>
      </w:r>
    </w:p>
    <w:p w14:paraId="3C67E50D">
      <w:pPr>
        <w:pageBreakBefore w:val="0"/>
        <w:widowControl w:val="0"/>
        <w:kinsoku/>
        <w:wordWrap/>
        <w:overflowPunct/>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highlight w:val="none"/>
          <w:lang w:val="zh-CN"/>
        </w:rPr>
      </w:pPr>
      <w:r>
        <w:rPr>
          <w:rFonts w:hint="default" w:ascii="Times New Roman" w:hAnsi="Times New Roman" w:eastAsia="宋体" w:cs="Times New Roman"/>
          <w:color w:val="auto"/>
          <w:kern w:val="0"/>
          <w:sz w:val="24"/>
          <w:highlight w:val="none"/>
          <w:lang w:val="zh-CN"/>
        </w:rPr>
        <w:t>境内地下水分为两大部分，一是黄灌区浅层潜水，二是山旱区地下水。根据水利部门初步测算，全旗浅层地下水储水量总计约6.46亿m</w:t>
      </w:r>
      <w:r>
        <w:rPr>
          <w:rFonts w:hint="default" w:ascii="Times New Roman" w:hAnsi="Times New Roman" w:eastAsia="宋体" w:cs="Times New Roman"/>
          <w:color w:val="auto"/>
          <w:kern w:val="0"/>
          <w:sz w:val="24"/>
          <w:highlight w:val="none"/>
          <w:vertAlign w:val="superscript"/>
          <w:lang w:val="zh-CN"/>
        </w:rPr>
        <w:t>3</w:t>
      </w:r>
      <w:r>
        <w:rPr>
          <w:rFonts w:hint="default" w:ascii="Times New Roman" w:hAnsi="Times New Roman" w:eastAsia="宋体" w:cs="Times New Roman"/>
          <w:color w:val="auto"/>
          <w:kern w:val="0"/>
          <w:sz w:val="24"/>
          <w:highlight w:val="none"/>
          <w:lang w:val="zh-CN"/>
        </w:rPr>
        <w:t>，其中山旱区年储水量约1.5亿m</w:t>
      </w:r>
      <w:r>
        <w:rPr>
          <w:rFonts w:hint="default" w:ascii="Times New Roman" w:hAnsi="Times New Roman" w:eastAsia="宋体" w:cs="Times New Roman"/>
          <w:color w:val="auto"/>
          <w:kern w:val="0"/>
          <w:sz w:val="24"/>
          <w:highlight w:val="none"/>
          <w:vertAlign w:val="superscript"/>
          <w:lang w:val="zh-CN"/>
        </w:rPr>
        <w:t>3</w:t>
      </w:r>
      <w:r>
        <w:rPr>
          <w:rFonts w:hint="default" w:ascii="Times New Roman" w:hAnsi="Times New Roman" w:eastAsia="宋体" w:cs="Times New Roman"/>
          <w:color w:val="auto"/>
          <w:kern w:val="0"/>
          <w:sz w:val="24"/>
          <w:highlight w:val="none"/>
          <w:lang w:val="zh-CN"/>
        </w:rPr>
        <w:t>。境内水资源因地质地貌影响，分布不均匀，水质也有较大差别。在乌拉山、白音查干山和查石太山的山沟及冲积扇前地带，饮水较为困难。</w:t>
      </w:r>
    </w:p>
    <w:p w14:paraId="215DB8F8">
      <w:pPr>
        <w:pageBreakBefore w:val="0"/>
        <w:widowControl w:val="0"/>
        <w:kinsoku/>
        <w:wordWrap/>
        <w:overflowPunct/>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highlight w:val="none"/>
          <w:lang w:val="zh-CN"/>
        </w:rPr>
      </w:pPr>
      <w:r>
        <w:rPr>
          <w:rFonts w:hint="default" w:ascii="Times New Roman" w:hAnsi="Times New Roman" w:eastAsia="宋体" w:cs="Times New Roman"/>
          <w:color w:val="auto"/>
          <w:kern w:val="0"/>
          <w:sz w:val="24"/>
          <w:highlight w:val="none"/>
          <w:lang w:val="zh-CN"/>
        </w:rPr>
        <w:t>（1）松散岩类孔隙水</w:t>
      </w:r>
    </w:p>
    <w:p w14:paraId="4E8C538F">
      <w:pPr>
        <w:pageBreakBefore w:val="0"/>
        <w:widowControl w:val="0"/>
        <w:kinsoku/>
        <w:wordWrap/>
        <w:overflowPunct/>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highlight w:val="none"/>
          <w:lang w:val="zh-CN"/>
        </w:rPr>
      </w:pPr>
      <w:r>
        <w:rPr>
          <w:rFonts w:hint="default" w:ascii="Times New Roman" w:hAnsi="Times New Roman" w:eastAsia="宋体" w:cs="Times New Roman"/>
          <w:color w:val="auto"/>
          <w:kern w:val="0"/>
          <w:sz w:val="24"/>
          <w:highlight w:val="none"/>
          <w:lang w:val="zh-CN"/>
        </w:rPr>
        <w:t>广泛分布于第四系残坡积层中，一般无良好连续的含水层，由于地形切割致使土层分布不均，厚度变化较大，富水性差，故该类地下水无统一水位，仅为不连续分布的上层滞水，大气降水是该类地下水的主要补给来源，其水量随降雨多寡而变，该类地下水具循环浅、径流短、交替快、水量小的特点。</w:t>
      </w:r>
    </w:p>
    <w:p w14:paraId="650D2D43">
      <w:pPr>
        <w:pageBreakBefore w:val="0"/>
        <w:widowControl w:val="0"/>
        <w:kinsoku/>
        <w:wordWrap/>
        <w:overflowPunct/>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highlight w:val="none"/>
          <w:lang w:val="zh-CN"/>
        </w:rPr>
      </w:pPr>
      <w:r>
        <w:rPr>
          <w:rFonts w:hint="default" w:ascii="Times New Roman" w:hAnsi="Times New Roman" w:eastAsia="宋体" w:cs="Times New Roman"/>
          <w:color w:val="auto"/>
          <w:kern w:val="0"/>
          <w:sz w:val="24"/>
          <w:highlight w:val="none"/>
          <w:lang w:val="zh-CN"/>
        </w:rPr>
        <w:t>2）基岩裂隙水</w:t>
      </w:r>
    </w:p>
    <w:p w14:paraId="68EF4A94">
      <w:pPr>
        <w:pageBreakBefore w:val="0"/>
        <w:widowControl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00B050"/>
          <w:kern w:val="0"/>
          <w:sz w:val="24"/>
          <w:highlight w:val="none"/>
          <w:lang w:val="en-US" w:eastAsia="zh-CN"/>
        </w:rPr>
        <w:t>场</w:t>
      </w:r>
      <w:r>
        <w:rPr>
          <w:rFonts w:hint="default" w:ascii="Times New Roman" w:hAnsi="Times New Roman" w:eastAsia="宋体" w:cs="Times New Roman"/>
          <w:color w:val="00B050"/>
          <w:kern w:val="0"/>
          <w:sz w:val="24"/>
          <w:highlight w:val="none"/>
          <w:lang w:val="zh-CN"/>
        </w:rPr>
        <w:t>区</w:t>
      </w:r>
      <w:r>
        <w:rPr>
          <w:rFonts w:hint="default" w:ascii="Times New Roman" w:hAnsi="Times New Roman" w:eastAsia="宋体" w:cs="Times New Roman"/>
          <w:color w:val="auto"/>
          <w:kern w:val="0"/>
          <w:sz w:val="24"/>
          <w:highlight w:val="none"/>
          <w:lang w:val="zh-CN"/>
        </w:rPr>
        <w:t>内主要分布基岩为透辉片麻岩，中厚层状，裂隙不发育，岩体风化程度较差，仅在浅层赋存少量裂隙水，其动态受降水补给明显，雨季水量增大，枯水季节变小或断流。</w:t>
      </w:r>
      <w:r>
        <w:rPr>
          <w:rFonts w:hint="default" w:ascii="Times New Roman" w:hAnsi="Times New Roman" w:eastAsia="宋体" w:cs="Times New Roman"/>
          <w:color w:val="00B050"/>
          <w:kern w:val="0"/>
          <w:sz w:val="24"/>
          <w:highlight w:val="none"/>
          <w:lang w:val="en-US" w:eastAsia="zh-CN"/>
        </w:rPr>
        <w:t>场</w:t>
      </w:r>
      <w:r>
        <w:rPr>
          <w:rFonts w:hint="default" w:ascii="Times New Roman" w:hAnsi="Times New Roman" w:eastAsia="宋体" w:cs="Times New Roman"/>
          <w:color w:val="00B050"/>
          <w:kern w:val="0"/>
          <w:sz w:val="24"/>
          <w:highlight w:val="none"/>
          <w:lang w:val="zh-CN"/>
        </w:rPr>
        <w:t>区</w:t>
      </w:r>
      <w:r>
        <w:rPr>
          <w:rFonts w:hint="default" w:ascii="Times New Roman" w:hAnsi="Times New Roman" w:eastAsia="宋体" w:cs="Times New Roman"/>
          <w:color w:val="auto"/>
          <w:kern w:val="0"/>
          <w:sz w:val="24"/>
          <w:highlight w:val="none"/>
          <w:lang w:val="zh-CN"/>
        </w:rPr>
        <w:t>内构造裂隙不发育，不存在含水意义的含水岩（土）层和构造，水文地质简单</w:t>
      </w:r>
      <w:r>
        <w:rPr>
          <w:rFonts w:hint="default" w:ascii="Times New Roman" w:hAnsi="Times New Roman" w:eastAsia="宋体" w:cs="Times New Roman"/>
          <w:color w:val="auto"/>
          <w:highlight w:val="none"/>
        </w:rPr>
        <w:t>。</w:t>
      </w:r>
    </w:p>
    <w:p w14:paraId="126FB293">
      <w:pPr>
        <w:pStyle w:val="5"/>
        <w:pageBreakBefore w:val="0"/>
        <w:widowControl w:val="0"/>
        <w:kinsoku/>
        <w:wordWrap/>
        <w:overflowPunct/>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lang w:eastAsia="zh-CN"/>
        </w:rPr>
      </w:pPr>
      <w:bookmarkStart w:id="299" w:name="_Toc4241"/>
      <w:bookmarkStart w:id="300" w:name="_Toc4343"/>
      <w:bookmarkStart w:id="301" w:name="_Toc276105879"/>
      <w:bookmarkStart w:id="302" w:name="_Toc3373"/>
      <w:bookmarkStart w:id="303" w:name="_Toc528328471"/>
      <w:bookmarkStart w:id="304" w:name="_Toc18365"/>
      <w:bookmarkStart w:id="305" w:name="_Toc28193"/>
      <w:bookmarkStart w:id="306" w:name="_Toc276333587"/>
      <w:bookmarkStart w:id="307" w:name="_Toc27638"/>
      <w:r>
        <w:rPr>
          <w:rFonts w:hint="default" w:ascii="Times New Roman" w:hAnsi="Times New Roman" w:eastAsia="宋体" w:cs="Times New Roman"/>
          <w:color w:val="auto"/>
          <w:highlight w:val="none"/>
        </w:rPr>
        <w:t>4.1.</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土壤</w:t>
      </w:r>
      <w:bookmarkEnd w:id="299"/>
      <w:bookmarkEnd w:id="300"/>
      <w:bookmarkEnd w:id="301"/>
      <w:bookmarkEnd w:id="302"/>
      <w:bookmarkEnd w:id="303"/>
      <w:bookmarkEnd w:id="304"/>
      <w:bookmarkEnd w:id="305"/>
      <w:bookmarkEnd w:id="306"/>
      <w:r>
        <w:rPr>
          <w:rFonts w:hint="default" w:ascii="Times New Roman" w:hAnsi="Times New Roman" w:eastAsia="宋体" w:cs="Times New Roman"/>
          <w:color w:val="auto"/>
          <w:highlight w:val="none"/>
          <w:lang w:eastAsia="zh-CN"/>
        </w:rPr>
        <w:t>资源</w:t>
      </w:r>
      <w:bookmarkEnd w:id="307"/>
    </w:p>
    <w:p w14:paraId="049700BB">
      <w:pPr>
        <w:pageBreakBefore w:val="0"/>
        <w:widowControl w:val="0"/>
        <w:kinsoku/>
        <w:wordWrap/>
        <w:overflowPunct/>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bookmarkStart w:id="308" w:name="_Toc148690295"/>
      <w:r>
        <w:rPr>
          <w:rFonts w:hint="default" w:ascii="Times New Roman" w:hAnsi="Times New Roman" w:eastAsia="宋体" w:cs="Times New Roman"/>
          <w:color w:val="auto"/>
          <w:highlight w:val="none"/>
        </w:rPr>
        <w:t>乌拉特前旗总面积7475.22km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，其中平原占三分之二，山地和川地面积约三分之一。全旗农民人均耕地0.53hm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，有种植草地1.67万hm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。用于工、农业发展的土地资源丰富。</w:t>
      </w:r>
    </w:p>
    <w:p w14:paraId="43C91C08">
      <w:pPr>
        <w:pageBreakBefore w:val="0"/>
        <w:widowControl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土壤普查，乌拉特前旗境内土壤共有6个土类，18个亚类，49个土属，395个土种。分别为灌淤土、草甸土、盐土、风沙土、栗钙土和灰褐土。乌拉特前旗境内土壤盐渍化比较严重，并有逐年发展的趋势，与地下水位及矿化度相关。</w:t>
      </w:r>
    </w:p>
    <w:p w14:paraId="1148F07A">
      <w:pPr>
        <w:pStyle w:val="5"/>
        <w:pageBreakBefore w:val="0"/>
        <w:widowControl w:val="0"/>
        <w:kinsoku/>
        <w:wordWrap/>
        <w:overflowPunct/>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lang w:eastAsia="zh-CN"/>
        </w:rPr>
      </w:pPr>
      <w:bookmarkStart w:id="309" w:name="_Toc8422"/>
      <w:bookmarkStart w:id="310" w:name="_Toc4954"/>
      <w:bookmarkStart w:id="311" w:name="_Toc5035"/>
      <w:bookmarkStart w:id="312" w:name="_Toc11981"/>
      <w:bookmarkStart w:id="313" w:name="_Toc528328472"/>
      <w:bookmarkStart w:id="314" w:name="_Toc18023"/>
      <w:bookmarkStart w:id="315" w:name="_Toc4108"/>
      <w:r>
        <w:rPr>
          <w:rFonts w:hint="default" w:ascii="Times New Roman" w:hAnsi="Times New Roman" w:eastAsia="宋体" w:cs="Times New Roman"/>
          <w:color w:val="auto"/>
          <w:highlight w:val="none"/>
        </w:rPr>
        <w:t>4.1.</w:t>
      </w:r>
      <w:r>
        <w:rPr>
          <w:rFonts w:hint="default" w:ascii="Times New Roman" w:hAnsi="Times New Roman" w:eastAsia="宋体" w:cs="Times New Roman"/>
          <w:color w:val="auto"/>
          <w:highlight w:val="none"/>
          <w:lang w:val="en-US" w:eastAsia="zh-CN"/>
        </w:rPr>
        <w:t>6</w:t>
      </w:r>
      <w:bookmarkEnd w:id="309"/>
      <w:bookmarkEnd w:id="310"/>
      <w:bookmarkEnd w:id="311"/>
      <w:bookmarkEnd w:id="312"/>
      <w:bookmarkEnd w:id="313"/>
      <w:bookmarkEnd w:id="314"/>
      <w:r>
        <w:rPr>
          <w:rFonts w:hint="default" w:ascii="Times New Roman" w:hAnsi="Times New Roman" w:eastAsia="宋体" w:cs="Times New Roman"/>
          <w:color w:val="auto"/>
          <w:highlight w:val="none"/>
          <w:lang w:val="en-US" w:eastAsia="zh-CN"/>
        </w:rPr>
        <w:t>植物资源</w:t>
      </w:r>
      <w:bookmarkEnd w:id="315"/>
    </w:p>
    <w:p w14:paraId="3A7DB80B">
      <w:pPr>
        <w:pStyle w:val="153"/>
        <w:pageBreakBefore w:val="0"/>
        <w:widowControl w:val="0"/>
        <w:kinsoku/>
        <w:wordWrap/>
        <w:overflowPunct/>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乌拉特前旗因地形地貌复杂，土壤类型多样，小气候差异明显，导致植物群落分布有显著的地带性和区域性。</w:t>
      </w:r>
    </w:p>
    <w:p w14:paraId="22DA5578">
      <w:pPr>
        <w:pStyle w:val="153"/>
        <w:pageBreakBefore w:val="0"/>
        <w:widowControl w:val="0"/>
        <w:kinsoku/>
        <w:wordWrap/>
        <w:overflowPunct/>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垂直分布：乌拉山系旱生森林型植被，在古代有茂密的原始森林，近代已为天然次生植被所代替，海拔1700m以上，以山杨、白桦、油松、侧柏等乔木为主，植被覆盖度为</w:t>
      </w:r>
      <w:r>
        <w:rPr>
          <w:rFonts w:hint="default" w:ascii="Times New Roman" w:hAnsi="Times New Roman" w:eastAsia="宋体" w:cs="Times New Roman"/>
          <w:color w:val="auto"/>
          <w:highlight w:val="none"/>
          <w:lang w:eastAsia="zh-CN"/>
        </w:rPr>
        <w:t>70%</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85%</w:t>
      </w:r>
      <w:r>
        <w:rPr>
          <w:rFonts w:hint="default" w:ascii="Times New Roman" w:hAnsi="Times New Roman" w:eastAsia="宋体" w:cs="Times New Roman"/>
          <w:color w:val="auto"/>
          <w:highlight w:val="none"/>
        </w:rPr>
        <w:t>，海拔1700m以下，以灌木与草本植物为主，植被盖度为</w:t>
      </w:r>
      <w:r>
        <w:rPr>
          <w:rFonts w:hint="default" w:ascii="Times New Roman" w:hAnsi="Times New Roman" w:eastAsia="宋体" w:cs="Times New Roman"/>
          <w:color w:val="auto"/>
          <w:highlight w:val="none"/>
          <w:lang w:eastAsia="zh-CN"/>
        </w:rPr>
        <w:t>50%</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70%</w:t>
      </w:r>
      <w:r>
        <w:rPr>
          <w:rFonts w:hint="default" w:ascii="Times New Roman" w:hAnsi="Times New Roman" w:eastAsia="宋体" w:cs="Times New Roman"/>
          <w:color w:val="auto"/>
          <w:highlight w:val="none"/>
        </w:rPr>
        <w:t>，海拔1200</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1400m的洪积扇地带，主要植被为草本植物和灌木群落，在山脚边或沟谷出口处有山榆、酸枣等乔木伴生，植被盖度为</w:t>
      </w:r>
      <w:r>
        <w:rPr>
          <w:rFonts w:hint="default" w:ascii="Times New Roman" w:hAnsi="Times New Roman" w:eastAsia="宋体" w:cs="Times New Roman"/>
          <w:color w:val="auto"/>
          <w:highlight w:val="none"/>
          <w:lang w:eastAsia="zh-CN"/>
        </w:rPr>
        <w:t>35%</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auto"/>
          <w:highlight w:val="none"/>
          <w:lang w:eastAsia="zh-CN"/>
        </w:rPr>
        <w:t>90%</w:t>
      </w:r>
      <w:r>
        <w:rPr>
          <w:rFonts w:hint="default" w:ascii="Times New Roman" w:hAnsi="Times New Roman" w:eastAsia="宋体" w:cs="Times New Roman"/>
          <w:color w:val="auto"/>
          <w:highlight w:val="none"/>
        </w:rPr>
        <w:t>。色尔腾山区，在古代也有原始森林植被，在干旱寒冷的气候条件影响下，目前已变为植被稀疏的水土流失区，仅在查石太山的深山区</w:t>
      </w:r>
      <w:r>
        <w:rPr>
          <w:rFonts w:hint="default" w:ascii="Times New Roman" w:hAnsi="Times New Roman" w:eastAsia="宋体" w:cs="Times New Roman"/>
          <w:color w:val="auto"/>
          <w:highlight w:val="none"/>
          <w:lang w:eastAsia="zh-CN"/>
        </w:rPr>
        <w:t>有效面积</w:t>
      </w:r>
      <w:r>
        <w:rPr>
          <w:rFonts w:hint="default" w:ascii="Times New Roman" w:hAnsi="Times New Roman" w:eastAsia="宋体" w:cs="Times New Roman"/>
          <w:color w:val="auto"/>
          <w:highlight w:val="none"/>
        </w:rPr>
        <w:t>藻木疏林和草丛互生。</w:t>
      </w:r>
    </w:p>
    <w:p w14:paraId="10E649ED">
      <w:pPr>
        <w:pageBreakBefore w:val="0"/>
        <w:widowControl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地域分布：后山干旱地区，由东向西，雨量递减，植物群落有明显的方向性，生有干旱、半干旱草原植被。草群覆盖度</w:t>
      </w:r>
      <w:r>
        <w:rPr>
          <w:rFonts w:hint="default" w:ascii="Times New Roman" w:hAnsi="Times New Roman" w:eastAsia="宋体" w:cs="Times New Roman"/>
          <w:color w:val="auto"/>
          <w:highlight w:val="none"/>
          <w:lang w:eastAsia="zh-CN"/>
        </w:rPr>
        <w:t>30%</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70%</w:t>
      </w:r>
      <w:r>
        <w:rPr>
          <w:rFonts w:hint="default" w:ascii="Times New Roman" w:hAnsi="Times New Roman" w:eastAsia="宋体" w:cs="Times New Roman"/>
          <w:color w:val="auto"/>
          <w:highlight w:val="none"/>
        </w:rPr>
        <w:t>，有灌溉条件的灌淤土区，为农作物的多种杂草所覆盖</w:t>
      </w:r>
      <w:r>
        <w:rPr>
          <w:rFonts w:hint="default" w:ascii="Times New Roman" w:hAnsi="Times New Roman" w:eastAsia="宋体" w:cs="Times New Roman"/>
          <w:color w:val="auto"/>
          <w:highlight w:val="none"/>
          <w:lang w:eastAsia="zh-CN"/>
        </w:rPr>
        <w:t>。</w:t>
      </w:r>
    </w:p>
    <w:p w14:paraId="29276F80">
      <w:pPr>
        <w:pStyle w:val="5"/>
        <w:pageBreakBefore w:val="0"/>
        <w:widowControl w:val="0"/>
        <w:kinsoku/>
        <w:wordWrap/>
        <w:overflowPunct/>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lang w:eastAsia="zh-CN"/>
        </w:rPr>
      </w:pPr>
      <w:bookmarkStart w:id="316" w:name="_Toc2234"/>
      <w:r>
        <w:rPr>
          <w:rFonts w:hint="default" w:ascii="Times New Roman" w:hAnsi="Times New Roman" w:eastAsia="宋体" w:cs="Times New Roman"/>
          <w:color w:val="auto"/>
          <w:highlight w:val="none"/>
        </w:rPr>
        <w:t>4.1.</w:t>
      </w:r>
      <w:r>
        <w:rPr>
          <w:rFonts w:hint="default" w:ascii="Times New Roman" w:hAnsi="Times New Roman" w:eastAsia="宋体" w:cs="Times New Roman"/>
          <w:color w:val="auto"/>
          <w:highlight w:val="none"/>
          <w:lang w:val="en-US" w:eastAsia="zh-CN"/>
        </w:rPr>
        <w:t>7动物资源</w:t>
      </w:r>
      <w:bookmarkEnd w:id="316"/>
    </w:p>
    <w:p w14:paraId="2CAEC61E">
      <w:pPr>
        <w:pageBreakBefore w:val="0"/>
        <w:widowControl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rPr>
        <w:t>因自然环境变化，境内野生动物种类数量变化很大。通过现场调查、走访当地群众以及收集已有资料，统计出评价区常见的野生动物。其中，哺乳动物主要有：蒙古兔、跳鼠；鸟类有野鸭、布谷鸟、家燕、喜鹊、乌鸦、石鸡、雉鸡、麻雀等。</w:t>
      </w:r>
    </w:p>
    <w:bookmarkEnd w:id="308"/>
    <w:p w14:paraId="12FF93D0">
      <w:pPr>
        <w:pStyle w:val="3"/>
        <w:pageBreakBefore w:val="0"/>
        <w:widowControl w:val="0"/>
        <w:kinsoku/>
        <w:wordWrap/>
        <w:overflowPunct/>
        <w:autoSpaceDN/>
        <w:bidi w:val="0"/>
        <w:adjustRightInd/>
        <w:snapToGrid w:val="0"/>
        <w:spacing w:before="0" w:after="0" w:line="360" w:lineRule="auto"/>
        <w:ind w:left="0" w:leftChars="0" w:right="0" w:rightChars="0"/>
        <w:textAlignment w:val="auto"/>
        <w:outlineLvl w:val="0"/>
        <w:rPr>
          <w:rFonts w:hint="default" w:ascii="Times New Roman" w:hAnsi="Times New Roman" w:eastAsia="宋体" w:cs="Times New Roman"/>
          <w:color w:val="auto"/>
          <w:highlight w:val="none"/>
        </w:rPr>
      </w:pPr>
      <w:bookmarkStart w:id="317" w:name="_Toc908"/>
      <w:r>
        <w:rPr>
          <w:rFonts w:hint="default" w:ascii="Times New Roman" w:hAnsi="Times New Roman" w:eastAsia="宋体" w:cs="Times New Roman"/>
          <w:color w:val="auto"/>
          <w:highlight w:val="none"/>
        </w:rPr>
        <w:t>4.2环境质量现状调查与评价</w:t>
      </w:r>
      <w:bookmarkEnd w:id="317"/>
    </w:p>
    <w:p w14:paraId="03CD21EE">
      <w:pPr>
        <w:pStyle w:val="5"/>
        <w:pageBreakBefore w:val="0"/>
        <w:widowControl w:val="0"/>
        <w:kinsoku/>
        <w:wordWrap/>
        <w:overflowPunct/>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318" w:name="_Toc26993"/>
      <w:r>
        <w:rPr>
          <w:rFonts w:hint="default" w:ascii="Times New Roman" w:hAnsi="Times New Roman" w:eastAsia="宋体" w:cs="Times New Roman"/>
          <w:color w:val="auto"/>
          <w:highlight w:val="none"/>
        </w:rPr>
        <w:t>4.2.1环境空气质量现状</w:t>
      </w:r>
      <w:bookmarkEnd w:id="318"/>
    </w:p>
    <w:p w14:paraId="720FCC14">
      <w:pPr>
        <w:pStyle w:val="6"/>
        <w:pageBreakBefore w:val="0"/>
        <w:widowControl w:val="0"/>
        <w:kinsoku/>
        <w:wordWrap/>
        <w:overflowPunct/>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4.2.1.1区域空气环境达标区判定</w:t>
      </w:r>
    </w:p>
    <w:p w14:paraId="1E9F8E11">
      <w:pPr>
        <w:keepNext w:val="0"/>
        <w:keepLines w:val="0"/>
        <w:pageBreakBefore w:val="0"/>
        <w:widowControl w:val="0"/>
        <w:suppressLineNumbers w:val="0"/>
        <w:kinsoku/>
        <w:wordWrap/>
        <w:overflowPunct/>
        <w:topLinePunct w:val="0"/>
        <w:autoSpaceDE/>
        <w:autoSpaceDN/>
        <w:bidi w:val="0"/>
        <w:adjustRightInd/>
        <w:snapToGrid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bookmarkStart w:id="319" w:name="_Toc312653499"/>
      <w:bookmarkStart w:id="320" w:name="_Toc326843504"/>
      <w:bookmarkStart w:id="321" w:name="_Toc300647740"/>
      <w:bookmarkStart w:id="322" w:name="_Toc346715577"/>
      <w:bookmarkStart w:id="323" w:name="_Toc304627265"/>
      <w:r>
        <w:rPr>
          <w:rFonts w:hint="default" w:ascii="Times New Roman" w:hAnsi="Times New Roman" w:eastAsia="宋体" w:cs="Times New Roman"/>
          <w:color w:val="auto"/>
          <w:kern w:val="0"/>
          <w:sz w:val="24"/>
          <w:szCs w:val="24"/>
          <w:highlight w:val="none"/>
        </w:rPr>
        <w:t>根据《</w:t>
      </w:r>
      <w:r>
        <w:rPr>
          <w:rFonts w:hint="default" w:ascii="Times New Roman" w:hAnsi="Times New Roman" w:eastAsia="宋体" w:cs="Times New Roman"/>
          <w:color w:val="auto"/>
          <w:kern w:val="0"/>
          <w:sz w:val="24"/>
          <w:szCs w:val="24"/>
          <w:highlight w:val="none"/>
          <w:lang w:eastAsia="zh-CN"/>
        </w:rPr>
        <w:t>环境影响评价技术导则</w:t>
      </w:r>
      <w:r>
        <w:rPr>
          <w:rFonts w:hint="default" w:ascii="Times New Roman" w:hAnsi="Times New Roman" w:eastAsia="宋体" w:cs="Times New Roman"/>
          <w:color w:val="auto"/>
          <w:kern w:val="0"/>
          <w:sz w:val="24"/>
          <w:szCs w:val="24"/>
          <w:highlight w:val="none"/>
        </w:rPr>
        <w:t>大气环境》（HJ2.2-2018）中6.4.1.1中的内容“城市环境空气质量达标评价指标为SO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、NO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、PM</w:t>
      </w:r>
      <w:r>
        <w:rPr>
          <w:rFonts w:hint="default" w:ascii="Times New Roman" w:hAnsi="Times New Roman" w:eastAsia="宋体" w:cs="Times New Roman"/>
          <w:color w:val="auto"/>
          <w:kern w:val="0"/>
          <w:sz w:val="24"/>
          <w:szCs w:val="24"/>
          <w:highlight w:val="none"/>
          <w:vertAlign w:val="subscript"/>
        </w:rPr>
        <w:t>10</w:t>
      </w:r>
      <w:r>
        <w:rPr>
          <w:rFonts w:hint="default" w:ascii="Times New Roman" w:hAnsi="Times New Roman" w:eastAsia="宋体" w:cs="Times New Roman"/>
          <w:color w:val="auto"/>
          <w:kern w:val="0"/>
          <w:sz w:val="24"/>
          <w:szCs w:val="24"/>
          <w:highlight w:val="none"/>
        </w:rPr>
        <w:t>、PM</w:t>
      </w:r>
      <w:r>
        <w:rPr>
          <w:rFonts w:hint="default" w:ascii="Times New Roman" w:hAnsi="Times New Roman" w:eastAsia="宋体" w:cs="Times New Roman"/>
          <w:color w:val="auto"/>
          <w:kern w:val="0"/>
          <w:sz w:val="24"/>
          <w:szCs w:val="24"/>
          <w:highlight w:val="none"/>
          <w:vertAlign w:val="subscript"/>
        </w:rPr>
        <w:t>2.5</w:t>
      </w:r>
      <w:r>
        <w:rPr>
          <w:rFonts w:hint="default" w:ascii="Times New Roman" w:hAnsi="Times New Roman" w:eastAsia="宋体" w:cs="Times New Roman"/>
          <w:color w:val="auto"/>
          <w:kern w:val="0"/>
          <w:sz w:val="24"/>
          <w:szCs w:val="24"/>
          <w:highlight w:val="none"/>
        </w:rPr>
        <w:t>、CO和O</w:t>
      </w:r>
      <w:r>
        <w:rPr>
          <w:rFonts w:hint="default" w:ascii="Times New Roman" w:hAnsi="Times New Roman" w:eastAsia="宋体" w:cs="Times New Roman"/>
          <w:color w:val="auto"/>
          <w:kern w:val="0"/>
          <w:sz w:val="24"/>
          <w:szCs w:val="24"/>
          <w:highlight w:val="none"/>
          <w:vertAlign w:val="subscript"/>
        </w:rPr>
        <w:t>3</w:t>
      </w:r>
      <w:r>
        <w:rPr>
          <w:rFonts w:hint="default" w:ascii="Times New Roman" w:hAnsi="Times New Roman" w:eastAsia="宋体" w:cs="Times New Roman"/>
          <w:color w:val="auto"/>
          <w:kern w:val="0"/>
          <w:sz w:val="24"/>
          <w:szCs w:val="24"/>
          <w:highlight w:val="none"/>
        </w:rPr>
        <w:t>，六项污染物全部达标即为城市环境空气质量达标”。</w:t>
      </w:r>
    </w:p>
    <w:p w14:paraId="48F49271">
      <w:pPr>
        <w:pageBreakBefore w:val="0"/>
        <w:widowControl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kern w:val="0"/>
          <w:sz w:val="24"/>
          <w:szCs w:val="24"/>
          <w:highlight w:val="none"/>
        </w:rPr>
        <w:t>本项目环境质量现状数据来源于</w:t>
      </w:r>
      <w:r>
        <w:rPr>
          <w:rFonts w:hint="default" w:ascii="Times New Roman" w:hAnsi="Times New Roman" w:eastAsia="宋体" w:cs="Times New Roman"/>
          <w:color w:val="FF0000"/>
          <w:kern w:val="0"/>
          <w:sz w:val="24"/>
          <w:szCs w:val="24"/>
          <w:highlight w:val="none"/>
          <w:lang w:eastAsia="zh-CN"/>
        </w:rPr>
        <w:t>《</w:t>
      </w:r>
      <w:r>
        <w:rPr>
          <w:rFonts w:hint="default" w:ascii="Times New Roman" w:hAnsi="Times New Roman" w:eastAsia="宋体" w:cs="Times New Roman"/>
          <w:color w:val="FF0000"/>
          <w:kern w:val="0"/>
          <w:sz w:val="24"/>
          <w:szCs w:val="24"/>
          <w:highlight w:val="none"/>
          <w:lang w:eastAsia="zh-CN"/>
        </w:rPr>
        <w:t>巴彦淖尔市环境质量状况公报（2022年）</w:t>
      </w:r>
      <w:r>
        <w:rPr>
          <w:rFonts w:hint="default" w:ascii="Times New Roman" w:hAnsi="Times New Roman" w:eastAsia="宋体" w:cs="Times New Roman"/>
          <w:color w:val="FF0000"/>
          <w:kern w:val="0"/>
          <w:sz w:val="24"/>
          <w:szCs w:val="24"/>
          <w:highlight w:val="none"/>
          <w:lang w:eastAsia="zh-CN"/>
        </w:rPr>
        <w:t>》</w:t>
      </w:r>
      <w:r>
        <w:rPr>
          <w:rFonts w:hint="default" w:ascii="Times New Roman" w:hAnsi="Times New Roman" w:eastAsia="宋体" w:cs="Times New Roman"/>
          <w:color w:val="FF0000"/>
          <w:kern w:val="0"/>
          <w:sz w:val="24"/>
          <w:szCs w:val="24"/>
          <w:highlight w:val="none"/>
        </w:rPr>
        <w:t>中的内容，内蒙古巴彦淖尔市</w:t>
      </w:r>
      <w:r>
        <w:rPr>
          <w:rFonts w:hint="default" w:ascii="Times New Roman" w:hAnsi="Times New Roman" w:eastAsia="宋体" w:cs="Times New Roman"/>
          <w:color w:val="FF0000"/>
          <w:kern w:val="0"/>
          <w:sz w:val="24"/>
          <w:szCs w:val="24"/>
          <w:highlight w:val="none"/>
          <w:lang w:eastAsia="zh-CN"/>
        </w:rPr>
        <w:t>乌拉特前旗</w:t>
      </w:r>
      <w:r>
        <w:rPr>
          <w:rFonts w:hint="default" w:ascii="Times New Roman" w:hAnsi="Times New Roman" w:eastAsia="宋体" w:cs="Times New Roman"/>
          <w:color w:val="FF0000"/>
          <w:kern w:val="0"/>
          <w:sz w:val="24"/>
          <w:szCs w:val="24"/>
          <w:highlight w:val="none"/>
        </w:rPr>
        <w:t>20</w:t>
      </w:r>
      <w:r>
        <w:rPr>
          <w:rFonts w:hint="default" w:ascii="Times New Roman" w:hAnsi="Times New Roman" w:eastAsia="宋体" w:cs="Times New Roman"/>
          <w:color w:val="FF0000"/>
          <w:kern w:val="0"/>
          <w:sz w:val="24"/>
          <w:szCs w:val="24"/>
          <w:highlight w:val="none"/>
          <w:lang w:val="en-US" w:eastAsia="zh-CN"/>
        </w:rPr>
        <w:t>2</w:t>
      </w:r>
      <w:r>
        <w:rPr>
          <w:rFonts w:hint="default" w:ascii="Times New Roman" w:hAnsi="Times New Roman" w:eastAsia="宋体" w:cs="Times New Roman"/>
          <w:color w:val="FF0000"/>
          <w:kern w:val="0"/>
          <w:sz w:val="24"/>
          <w:szCs w:val="24"/>
          <w:highlight w:val="none"/>
          <w:lang w:val="en-US" w:eastAsia="zh-CN"/>
        </w:rPr>
        <w:t>2</w:t>
      </w:r>
      <w:r>
        <w:rPr>
          <w:rFonts w:hint="default" w:ascii="Times New Roman" w:hAnsi="Times New Roman" w:eastAsia="宋体" w:cs="Times New Roman"/>
          <w:color w:val="FF0000"/>
          <w:kern w:val="0"/>
          <w:sz w:val="24"/>
          <w:szCs w:val="24"/>
          <w:highlight w:val="none"/>
        </w:rPr>
        <w:t>年六项污染物</w:t>
      </w:r>
      <w:r>
        <w:rPr>
          <w:rFonts w:hint="default" w:ascii="Times New Roman" w:hAnsi="Times New Roman" w:eastAsia="宋体" w:cs="Times New Roman"/>
          <w:color w:val="FF0000"/>
          <w:kern w:val="0"/>
          <w:sz w:val="24"/>
          <w:szCs w:val="24"/>
          <w:highlight w:val="none"/>
          <w:lang w:eastAsia="zh-CN"/>
        </w:rPr>
        <w:t>环境质量数据见下表</w:t>
      </w:r>
      <w:r>
        <w:rPr>
          <w:rFonts w:hint="default" w:ascii="Times New Roman" w:hAnsi="Times New Roman" w:eastAsia="宋体" w:cs="Times New Roman"/>
          <w:color w:val="FF0000"/>
          <w:highlight w:val="none"/>
        </w:rPr>
        <w:t>。</w:t>
      </w:r>
    </w:p>
    <w:p w14:paraId="7A9955F2">
      <w:pPr>
        <w:pageBreakBefore w:val="0"/>
        <w:widowControl w:val="0"/>
        <w:kinsoku/>
        <w:wordWrap/>
        <w:overflowPunct/>
        <w:autoSpaceDN/>
        <w:bidi w:val="0"/>
        <w:adjustRightInd/>
        <w:snapToGrid w:val="0"/>
        <w:spacing w:line="360" w:lineRule="auto"/>
        <w:ind w:left="0" w:leftChars="0" w:right="0" w:rightChars="0" w:firstLine="482"/>
        <w:jc w:val="center"/>
        <w:textAlignment w:val="auto"/>
        <w:rPr>
          <w:rFonts w:hint="default" w:ascii="Times New Roman" w:hAnsi="Times New Roman" w:eastAsia="宋体" w:cs="Times New Roman"/>
          <w:b/>
          <w:color w:val="FF0000"/>
          <w:highlight w:val="none"/>
        </w:rPr>
      </w:pPr>
      <w:r>
        <w:rPr>
          <w:rFonts w:hint="default" w:ascii="Times New Roman" w:hAnsi="Times New Roman" w:eastAsia="宋体" w:cs="Times New Roman"/>
          <w:b/>
          <w:color w:val="FF0000"/>
          <w:highlight w:val="none"/>
        </w:rPr>
        <w:t>表4.2-1区域空气质量现状评价表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0" w:type="dxa"/>
          <w:bottom w:w="0" w:type="dxa"/>
          <w:right w:w="0" w:type="dxa"/>
        </w:tblCellMar>
      </w:tblPr>
      <w:tblGrid>
        <w:gridCol w:w="795"/>
        <w:gridCol w:w="2447"/>
        <w:gridCol w:w="1287"/>
        <w:gridCol w:w="1334"/>
        <w:gridCol w:w="1332"/>
        <w:gridCol w:w="1082"/>
      </w:tblGrid>
      <w:tr w14:paraId="1793F2E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795" w:type="dxa"/>
            <w:tcBorders>
              <w:top w:val="single" w:color="auto" w:sz="4" w:space="0"/>
              <w:left w:val="single" w:color="auto" w:sz="4" w:space="0"/>
              <w:bottom w:val="single" w:color="auto" w:sz="4" w:space="0"/>
              <w:right w:val="single" w:color="auto" w:sz="4" w:space="0"/>
            </w:tcBorders>
            <w:vAlign w:val="center"/>
          </w:tcPr>
          <w:p w14:paraId="3114791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污染物</w:t>
            </w:r>
          </w:p>
        </w:tc>
        <w:tc>
          <w:tcPr>
            <w:tcW w:w="2447" w:type="dxa"/>
            <w:tcBorders>
              <w:top w:val="single" w:color="auto" w:sz="4" w:space="0"/>
              <w:left w:val="single" w:color="auto" w:sz="4" w:space="0"/>
              <w:bottom w:val="single" w:color="auto" w:sz="4" w:space="0"/>
              <w:right w:val="single" w:color="auto" w:sz="4" w:space="0"/>
            </w:tcBorders>
            <w:vAlign w:val="center"/>
          </w:tcPr>
          <w:p w14:paraId="46C16CA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年评价指标</w:t>
            </w:r>
          </w:p>
        </w:tc>
        <w:tc>
          <w:tcPr>
            <w:tcW w:w="1287" w:type="dxa"/>
            <w:tcBorders>
              <w:top w:val="single" w:color="auto" w:sz="4" w:space="0"/>
              <w:left w:val="single" w:color="auto" w:sz="4" w:space="0"/>
              <w:bottom w:val="single" w:color="auto" w:sz="4" w:space="0"/>
              <w:right w:val="single" w:color="auto" w:sz="4" w:space="0"/>
            </w:tcBorders>
            <w:vAlign w:val="center"/>
          </w:tcPr>
          <w:p w14:paraId="2EDBBF0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现状浓度</w:t>
            </w:r>
          </w:p>
          <w:p w14:paraId="022821C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（μg/m</w:t>
            </w:r>
            <w:r>
              <w:rPr>
                <w:rFonts w:hint="default" w:ascii="Times New Roman" w:hAnsi="Times New Roman" w:eastAsia="宋体" w:cs="Times New Roman"/>
                <w:color w:val="FF0000"/>
                <w:sz w:val="21"/>
                <w:szCs w:val="21"/>
                <w:highlight w:val="none"/>
                <w:vertAlign w:val="superscript"/>
              </w:rPr>
              <w:t>3</w:t>
            </w:r>
            <w:r>
              <w:rPr>
                <w:rFonts w:hint="default" w:ascii="Times New Roman" w:hAnsi="Times New Roman" w:eastAsia="宋体" w:cs="Times New Roman"/>
                <w:color w:val="FF0000"/>
                <w:sz w:val="21"/>
                <w:szCs w:val="21"/>
                <w:highlight w:val="none"/>
              </w:rPr>
              <w:t>）</w:t>
            </w:r>
          </w:p>
        </w:tc>
        <w:tc>
          <w:tcPr>
            <w:tcW w:w="1334" w:type="dxa"/>
            <w:tcBorders>
              <w:top w:val="single" w:color="auto" w:sz="4" w:space="0"/>
              <w:left w:val="single" w:color="auto" w:sz="4" w:space="0"/>
              <w:bottom w:val="single" w:color="auto" w:sz="4" w:space="0"/>
              <w:right w:val="single" w:color="auto" w:sz="4" w:space="0"/>
            </w:tcBorders>
            <w:vAlign w:val="center"/>
          </w:tcPr>
          <w:p w14:paraId="5A7101D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标准值</w:t>
            </w:r>
          </w:p>
          <w:p w14:paraId="114670F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（μg/m</w:t>
            </w:r>
            <w:r>
              <w:rPr>
                <w:rFonts w:hint="default" w:ascii="Times New Roman" w:hAnsi="Times New Roman" w:eastAsia="宋体" w:cs="Times New Roman"/>
                <w:color w:val="FF0000"/>
                <w:sz w:val="21"/>
                <w:szCs w:val="21"/>
                <w:highlight w:val="none"/>
                <w:vertAlign w:val="superscript"/>
              </w:rPr>
              <w:t>3</w:t>
            </w:r>
            <w:r>
              <w:rPr>
                <w:rFonts w:hint="default" w:ascii="Times New Roman" w:hAnsi="Times New Roman" w:eastAsia="宋体" w:cs="Times New Roman"/>
                <w:color w:val="FF0000"/>
                <w:sz w:val="21"/>
                <w:szCs w:val="21"/>
                <w:highlight w:val="none"/>
              </w:rPr>
              <w:t>）</w:t>
            </w:r>
          </w:p>
        </w:tc>
        <w:tc>
          <w:tcPr>
            <w:tcW w:w="1332" w:type="dxa"/>
            <w:tcBorders>
              <w:top w:val="single" w:color="auto" w:sz="4" w:space="0"/>
              <w:left w:val="single" w:color="auto" w:sz="4" w:space="0"/>
              <w:bottom w:val="single" w:color="auto" w:sz="4" w:space="0"/>
              <w:right w:val="single" w:color="auto" w:sz="4" w:space="0"/>
            </w:tcBorders>
            <w:vAlign w:val="center"/>
          </w:tcPr>
          <w:p w14:paraId="2785B2C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占标率（%）</w:t>
            </w:r>
          </w:p>
        </w:tc>
        <w:tc>
          <w:tcPr>
            <w:tcW w:w="1082" w:type="dxa"/>
            <w:tcBorders>
              <w:top w:val="single" w:color="auto" w:sz="4" w:space="0"/>
              <w:left w:val="single" w:color="auto" w:sz="4" w:space="0"/>
              <w:bottom w:val="single" w:color="auto" w:sz="4" w:space="0"/>
              <w:right w:val="single" w:color="auto" w:sz="4" w:space="0"/>
            </w:tcBorders>
            <w:vAlign w:val="center"/>
          </w:tcPr>
          <w:p w14:paraId="5E4DBDA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达标情况</w:t>
            </w:r>
          </w:p>
        </w:tc>
      </w:tr>
      <w:tr w14:paraId="2A01637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795" w:type="dxa"/>
            <w:tcBorders>
              <w:top w:val="single" w:color="auto" w:sz="4" w:space="0"/>
              <w:left w:val="single" w:color="auto" w:sz="4" w:space="0"/>
              <w:bottom w:val="single" w:color="auto" w:sz="4" w:space="0"/>
              <w:right w:val="single" w:color="auto" w:sz="4" w:space="0"/>
            </w:tcBorders>
            <w:vAlign w:val="center"/>
          </w:tcPr>
          <w:p w14:paraId="125F8FE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SO</w:t>
            </w:r>
            <w:r>
              <w:rPr>
                <w:rFonts w:hint="default" w:ascii="Times New Roman" w:hAnsi="Times New Roman" w:eastAsia="宋体" w:cs="Times New Roman"/>
                <w:color w:val="FF0000"/>
                <w:sz w:val="21"/>
                <w:szCs w:val="21"/>
                <w:highlight w:val="none"/>
                <w:vertAlign w:val="subscript"/>
              </w:rPr>
              <w:t>2</w:t>
            </w:r>
          </w:p>
        </w:tc>
        <w:tc>
          <w:tcPr>
            <w:tcW w:w="2447" w:type="dxa"/>
            <w:tcBorders>
              <w:top w:val="single" w:color="auto" w:sz="4" w:space="0"/>
              <w:left w:val="single" w:color="auto" w:sz="4" w:space="0"/>
              <w:bottom w:val="single" w:color="auto" w:sz="4" w:space="0"/>
              <w:right w:val="single" w:color="auto" w:sz="4" w:space="0"/>
            </w:tcBorders>
            <w:vAlign w:val="center"/>
          </w:tcPr>
          <w:p w14:paraId="7B6E307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年平均质量浓度</w:t>
            </w:r>
          </w:p>
        </w:tc>
        <w:tc>
          <w:tcPr>
            <w:tcW w:w="1287" w:type="dxa"/>
            <w:tcBorders>
              <w:top w:val="single" w:color="auto" w:sz="4" w:space="0"/>
              <w:left w:val="single" w:color="auto" w:sz="4" w:space="0"/>
              <w:bottom w:val="single" w:color="auto" w:sz="4" w:space="0"/>
              <w:right w:val="single" w:color="auto" w:sz="4" w:space="0"/>
            </w:tcBorders>
            <w:vAlign w:val="center"/>
          </w:tcPr>
          <w:p w14:paraId="60A507F7">
            <w:pPr>
              <w:keepNext w:val="0"/>
              <w:keepLines w:val="0"/>
              <w:pageBreakBefore w:val="0"/>
              <w:widowControl w:val="0"/>
              <w:kinsoku/>
              <w:wordWrap/>
              <w:overflowPunct/>
              <w:autoSpaceDN/>
              <w:bidi w:val="0"/>
              <w:adjustRightIn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14</w:t>
            </w:r>
          </w:p>
        </w:tc>
        <w:tc>
          <w:tcPr>
            <w:tcW w:w="1334" w:type="dxa"/>
            <w:tcBorders>
              <w:top w:val="single" w:color="auto" w:sz="4" w:space="0"/>
              <w:left w:val="single" w:color="auto" w:sz="4" w:space="0"/>
              <w:bottom w:val="single" w:color="auto" w:sz="4" w:space="0"/>
              <w:right w:val="single" w:color="auto" w:sz="4" w:space="0"/>
            </w:tcBorders>
            <w:vAlign w:val="center"/>
          </w:tcPr>
          <w:p w14:paraId="5EEDC80D">
            <w:pPr>
              <w:keepNext w:val="0"/>
              <w:keepLines w:val="0"/>
              <w:pageBreakBefore w:val="0"/>
              <w:widowControl w:val="0"/>
              <w:kinsoku/>
              <w:wordWrap/>
              <w:overflowPunct/>
              <w:autoSpaceDN/>
              <w:bidi w:val="0"/>
              <w:adjustRightIn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60</w:t>
            </w:r>
          </w:p>
        </w:tc>
        <w:tc>
          <w:tcPr>
            <w:tcW w:w="1332" w:type="dxa"/>
            <w:tcBorders>
              <w:top w:val="single" w:color="auto" w:sz="4" w:space="0"/>
              <w:left w:val="single" w:color="auto" w:sz="4" w:space="0"/>
              <w:bottom w:val="single" w:color="auto" w:sz="4" w:space="0"/>
              <w:right w:val="single" w:color="auto" w:sz="4" w:space="0"/>
            </w:tcBorders>
            <w:vAlign w:val="center"/>
          </w:tcPr>
          <w:p w14:paraId="11490CB7">
            <w:pPr>
              <w:keepNext w:val="0"/>
              <w:keepLines w:val="0"/>
              <w:pageBreakBefore w:val="0"/>
              <w:widowControl w:val="0"/>
              <w:kinsoku/>
              <w:wordWrap/>
              <w:overflowPunct/>
              <w:autoSpaceDN/>
              <w:bidi w:val="0"/>
              <w:adjustRightIn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2</w:t>
            </w:r>
            <w:r>
              <w:rPr>
                <w:rFonts w:hint="default" w:ascii="Times New Roman" w:hAnsi="Times New Roman" w:eastAsia="宋体" w:cs="Times New Roman"/>
                <w:color w:val="FF0000"/>
                <w:sz w:val="21"/>
                <w:szCs w:val="21"/>
                <w:highlight w:val="none"/>
                <w:lang w:val="en-US" w:eastAsia="zh-CN"/>
              </w:rPr>
              <w:t>3.3</w:t>
            </w:r>
          </w:p>
        </w:tc>
        <w:tc>
          <w:tcPr>
            <w:tcW w:w="1082" w:type="dxa"/>
            <w:tcBorders>
              <w:top w:val="single" w:color="auto" w:sz="4" w:space="0"/>
              <w:left w:val="single" w:color="auto" w:sz="4" w:space="0"/>
              <w:bottom w:val="single" w:color="auto" w:sz="4" w:space="0"/>
              <w:right w:val="single" w:color="auto" w:sz="4" w:space="0"/>
            </w:tcBorders>
            <w:vAlign w:val="center"/>
          </w:tcPr>
          <w:p w14:paraId="7B79309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达标</w:t>
            </w:r>
          </w:p>
        </w:tc>
      </w:tr>
      <w:tr w14:paraId="58736D0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795" w:type="dxa"/>
            <w:tcBorders>
              <w:top w:val="single" w:color="auto" w:sz="4" w:space="0"/>
              <w:left w:val="single" w:color="auto" w:sz="4" w:space="0"/>
              <w:bottom w:val="single" w:color="auto" w:sz="4" w:space="0"/>
              <w:right w:val="single" w:color="auto" w:sz="4" w:space="0"/>
            </w:tcBorders>
            <w:vAlign w:val="center"/>
          </w:tcPr>
          <w:p w14:paraId="36D7602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NO</w:t>
            </w:r>
            <w:r>
              <w:rPr>
                <w:rFonts w:hint="default" w:ascii="Times New Roman" w:hAnsi="Times New Roman" w:eastAsia="宋体" w:cs="Times New Roman"/>
                <w:color w:val="FF0000"/>
                <w:sz w:val="21"/>
                <w:szCs w:val="21"/>
                <w:highlight w:val="none"/>
                <w:vertAlign w:val="subscript"/>
              </w:rPr>
              <w:t>2</w:t>
            </w:r>
          </w:p>
        </w:tc>
        <w:tc>
          <w:tcPr>
            <w:tcW w:w="2447" w:type="dxa"/>
            <w:tcBorders>
              <w:top w:val="single" w:color="auto" w:sz="4" w:space="0"/>
              <w:left w:val="single" w:color="auto" w:sz="4" w:space="0"/>
              <w:bottom w:val="single" w:color="auto" w:sz="4" w:space="0"/>
              <w:right w:val="single" w:color="auto" w:sz="4" w:space="0"/>
            </w:tcBorders>
            <w:vAlign w:val="center"/>
          </w:tcPr>
          <w:p w14:paraId="57A85AE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年平均质量浓度</w:t>
            </w:r>
          </w:p>
        </w:tc>
        <w:tc>
          <w:tcPr>
            <w:tcW w:w="1287" w:type="dxa"/>
            <w:tcBorders>
              <w:top w:val="single" w:color="auto" w:sz="4" w:space="0"/>
              <w:left w:val="single" w:color="auto" w:sz="4" w:space="0"/>
              <w:bottom w:val="single" w:color="auto" w:sz="4" w:space="0"/>
              <w:right w:val="single" w:color="auto" w:sz="4" w:space="0"/>
            </w:tcBorders>
            <w:vAlign w:val="center"/>
          </w:tcPr>
          <w:p w14:paraId="50FA9031">
            <w:pPr>
              <w:keepNext w:val="0"/>
              <w:keepLines w:val="0"/>
              <w:pageBreakBefore w:val="0"/>
              <w:widowControl w:val="0"/>
              <w:kinsoku/>
              <w:wordWrap/>
              <w:overflowPunct/>
              <w:autoSpaceDN/>
              <w:bidi w:val="0"/>
              <w:adjustRightIn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17</w:t>
            </w:r>
          </w:p>
        </w:tc>
        <w:tc>
          <w:tcPr>
            <w:tcW w:w="1334" w:type="dxa"/>
            <w:tcBorders>
              <w:top w:val="single" w:color="auto" w:sz="4" w:space="0"/>
              <w:left w:val="single" w:color="auto" w:sz="4" w:space="0"/>
              <w:bottom w:val="single" w:color="auto" w:sz="4" w:space="0"/>
              <w:right w:val="single" w:color="auto" w:sz="4" w:space="0"/>
            </w:tcBorders>
            <w:vAlign w:val="center"/>
          </w:tcPr>
          <w:p w14:paraId="351E1190">
            <w:pPr>
              <w:keepNext w:val="0"/>
              <w:keepLines w:val="0"/>
              <w:pageBreakBefore w:val="0"/>
              <w:widowControl w:val="0"/>
              <w:kinsoku/>
              <w:wordWrap/>
              <w:overflowPunct/>
              <w:autoSpaceDN/>
              <w:bidi w:val="0"/>
              <w:adjustRightIn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40</w:t>
            </w:r>
          </w:p>
        </w:tc>
        <w:tc>
          <w:tcPr>
            <w:tcW w:w="1332" w:type="dxa"/>
            <w:tcBorders>
              <w:top w:val="single" w:color="auto" w:sz="4" w:space="0"/>
              <w:left w:val="single" w:color="auto" w:sz="4" w:space="0"/>
              <w:bottom w:val="single" w:color="auto" w:sz="4" w:space="0"/>
              <w:right w:val="single" w:color="auto" w:sz="4" w:space="0"/>
            </w:tcBorders>
            <w:vAlign w:val="center"/>
          </w:tcPr>
          <w:p w14:paraId="7F159FAC">
            <w:pPr>
              <w:keepNext w:val="0"/>
              <w:keepLines w:val="0"/>
              <w:pageBreakBefore w:val="0"/>
              <w:widowControl w:val="0"/>
              <w:kinsoku/>
              <w:wordWrap/>
              <w:overflowPunct/>
              <w:autoSpaceDN/>
              <w:bidi w:val="0"/>
              <w:adjustRightIn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42.5</w:t>
            </w:r>
          </w:p>
        </w:tc>
        <w:tc>
          <w:tcPr>
            <w:tcW w:w="1082" w:type="dxa"/>
            <w:tcBorders>
              <w:top w:val="single" w:color="auto" w:sz="4" w:space="0"/>
              <w:left w:val="single" w:color="auto" w:sz="4" w:space="0"/>
              <w:bottom w:val="single" w:color="auto" w:sz="4" w:space="0"/>
              <w:right w:val="single" w:color="auto" w:sz="4" w:space="0"/>
            </w:tcBorders>
            <w:vAlign w:val="center"/>
          </w:tcPr>
          <w:p w14:paraId="501016C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达标</w:t>
            </w:r>
          </w:p>
        </w:tc>
      </w:tr>
      <w:tr w14:paraId="4EB9919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795" w:type="dxa"/>
            <w:tcBorders>
              <w:top w:val="single" w:color="auto" w:sz="4" w:space="0"/>
              <w:left w:val="single" w:color="auto" w:sz="4" w:space="0"/>
              <w:bottom w:val="single" w:color="auto" w:sz="4" w:space="0"/>
              <w:right w:val="single" w:color="auto" w:sz="4" w:space="0"/>
            </w:tcBorders>
            <w:vAlign w:val="center"/>
          </w:tcPr>
          <w:p w14:paraId="613A671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PM</w:t>
            </w:r>
            <w:r>
              <w:rPr>
                <w:rFonts w:hint="default" w:ascii="Times New Roman" w:hAnsi="Times New Roman" w:eastAsia="宋体" w:cs="Times New Roman"/>
                <w:color w:val="FF0000"/>
                <w:sz w:val="21"/>
                <w:szCs w:val="21"/>
                <w:highlight w:val="none"/>
                <w:vertAlign w:val="subscript"/>
              </w:rPr>
              <w:t>10</w:t>
            </w:r>
          </w:p>
        </w:tc>
        <w:tc>
          <w:tcPr>
            <w:tcW w:w="2447" w:type="dxa"/>
            <w:tcBorders>
              <w:top w:val="single" w:color="auto" w:sz="4" w:space="0"/>
              <w:left w:val="single" w:color="auto" w:sz="4" w:space="0"/>
              <w:bottom w:val="single" w:color="auto" w:sz="4" w:space="0"/>
              <w:right w:val="single" w:color="auto" w:sz="4" w:space="0"/>
            </w:tcBorders>
            <w:vAlign w:val="center"/>
          </w:tcPr>
          <w:p w14:paraId="18C5F5F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年平均质量浓度</w:t>
            </w:r>
          </w:p>
        </w:tc>
        <w:tc>
          <w:tcPr>
            <w:tcW w:w="1287" w:type="dxa"/>
            <w:tcBorders>
              <w:top w:val="single" w:color="auto" w:sz="4" w:space="0"/>
              <w:left w:val="single" w:color="auto" w:sz="4" w:space="0"/>
              <w:bottom w:val="single" w:color="auto" w:sz="4" w:space="0"/>
              <w:right w:val="single" w:color="auto" w:sz="4" w:space="0"/>
            </w:tcBorders>
            <w:vAlign w:val="center"/>
          </w:tcPr>
          <w:p w14:paraId="5DFB9A37">
            <w:pPr>
              <w:keepNext w:val="0"/>
              <w:keepLines w:val="0"/>
              <w:pageBreakBefore w:val="0"/>
              <w:widowControl w:val="0"/>
              <w:kinsoku/>
              <w:wordWrap/>
              <w:overflowPunct/>
              <w:autoSpaceDN/>
              <w:bidi w:val="0"/>
              <w:adjustRightIn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41</w:t>
            </w:r>
          </w:p>
        </w:tc>
        <w:tc>
          <w:tcPr>
            <w:tcW w:w="1334" w:type="dxa"/>
            <w:tcBorders>
              <w:top w:val="single" w:color="auto" w:sz="4" w:space="0"/>
              <w:left w:val="single" w:color="auto" w:sz="4" w:space="0"/>
              <w:bottom w:val="single" w:color="auto" w:sz="4" w:space="0"/>
              <w:right w:val="single" w:color="auto" w:sz="4" w:space="0"/>
            </w:tcBorders>
            <w:vAlign w:val="center"/>
          </w:tcPr>
          <w:p w14:paraId="2352C71A">
            <w:pPr>
              <w:keepNext w:val="0"/>
              <w:keepLines w:val="0"/>
              <w:pageBreakBefore w:val="0"/>
              <w:widowControl w:val="0"/>
              <w:kinsoku/>
              <w:wordWrap/>
              <w:overflowPunct/>
              <w:autoSpaceDN/>
              <w:bidi w:val="0"/>
              <w:adjustRightIn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70</w:t>
            </w:r>
          </w:p>
        </w:tc>
        <w:tc>
          <w:tcPr>
            <w:tcW w:w="1332" w:type="dxa"/>
            <w:tcBorders>
              <w:top w:val="single" w:color="auto" w:sz="4" w:space="0"/>
              <w:left w:val="single" w:color="auto" w:sz="4" w:space="0"/>
              <w:bottom w:val="single" w:color="auto" w:sz="4" w:space="0"/>
              <w:right w:val="single" w:color="auto" w:sz="4" w:space="0"/>
            </w:tcBorders>
            <w:vAlign w:val="center"/>
          </w:tcPr>
          <w:p w14:paraId="705BA8A6">
            <w:pPr>
              <w:keepNext w:val="0"/>
              <w:keepLines w:val="0"/>
              <w:pageBreakBefore w:val="0"/>
              <w:widowControl w:val="0"/>
              <w:kinsoku/>
              <w:wordWrap/>
              <w:overflowPunct/>
              <w:autoSpaceDN/>
              <w:bidi w:val="0"/>
              <w:adjustRightIn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58.6</w:t>
            </w:r>
          </w:p>
        </w:tc>
        <w:tc>
          <w:tcPr>
            <w:tcW w:w="1082" w:type="dxa"/>
            <w:tcBorders>
              <w:top w:val="single" w:color="auto" w:sz="4" w:space="0"/>
              <w:left w:val="single" w:color="auto" w:sz="4" w:space="0"/>
              <w:bottom w:val="single" w:color="auto" w:sz="4" w:space="0"/>
              <w:right w:val="single" w:color="auto" w:sz="4" w:space="0"/>
            </w:tcBorders>
            <w:vAlign w:val="center"/>
          </w:tcPr>
          <w:p w14:paraId="417E76F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达标</w:t>
            </w:r>
          </w:p>
        </w:tc>
      </w:tr>
      <w:tr w14:paraId="6C579F5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795" w:type="dxa"/>
            <w:tcBorders>
              <w:top w:val="single" w:color="auto" w:sz="4" w:space="0"/>
              <w:left w:val="single" w:color="auto" w:sz="4" w:space="0"/>
              <w:bottom w:val="single" w:color="auto" w:sz="4" w:space="0"/>
              <w:right w:val="single" w:color="auto" w:sz="4" w:space="0"/>
            </w:tcBorders>
            <w:vAlign w:val="center"/>
          </w:tcPr>
          <w:p w14:paraId="1FC4130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PM</w:t>
            </w:r>
            <w:r>
              <w:rPr>
                <w:rFonts w:hint="default" w:ascii="Times New Roman" w:hAnsi="Times New Roman" w:eastAsia="宋体" w:cs="Times New Roman"/>
                <w:color w:val="FF0000"/>
                <w:sz w:val="21"/>
                <w:szCs w:val="21"/>
                <w:highlight w:val="none"/>
                <w:vertAlign w:val="subscript"/>
              </w:rPr>
              <w:t>2.5</w:t>
            </w:r>
          </w:p>
        </w:tc>
        <w:tc>
          <w:tcPr>
            <w:tcW w:w="2447" w:type="dxa"/>
            <w:tcBorders>
              <w:top w:val="single" w:color="auto" w:sz="4" w:space="0"/>
              <w:left w:val="single" w:color="auto" w:sz="4" w:space="0"/>
              <w:bottom w:val="single" w:color="auto" w:sz="4" w:space="0"/>
              <w:right w:val="single" w:color="auto" w:sz="4" w:space="0"/>
            </w:tcBorders>
            <w:vAlign w:val="center"/>
          </w:tcPr>
          <w:p w14:paraId="7E50FD1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年平均质量浓度</w:t>
            </w:r>
          </w:p>
        </w:tc>
        <w:tc>
          <w:tcPr>
            <w:tcW w:w="1287" w:type="dxa"/>
            <w:tcBorders>
              <w:top w:val="single" w:color="auto" w:sz="4" w:space="0"/>
              <w:left w:val="single" w:color="auto" w:sz="4" w:space="0"/>
              <w:bottom w:val="single" w:color="auto" w:sz="4" w:space="0"/>
              <w:right w:val="single" w:color="auto" w:sz="4" w:space="0"/>
            </w:tcBorders>
            <w:vAlign w:val="center"/>
          </w:tcPr>
          <w:p w14:paraId="76D60674">
            <w:pPr>
              <w:keepNext w:val="0"/>
              <w:keepLines w:val="0"/>
              <w:pageBreakBefore w:val="0"/>
              <w:widowControl w:val="0"/>
              <w:kinsoku/>
              <w:wordWrap/>
              <w:overflowPunct/>
              <w:autoSpaceDN/>
              <w:bidi w:val="0"/>
              <w:adjustRightIn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17</w:t>
            </w:r>
          </w:p>
        </w:tc>
        <w:tc>
          <w:tcPr>
            <w:tcW w:w="1334" w:type="dxa"/>
            <w:tcBorders>
              <w:top w:val="single" w:color="auto" w:sz="4" w:space="0"/>
              <w:left w:val="single" w:color="auto" w:sz="4" w:space="0"/>
              <w:bottom w:val="single" w:color="auto" w:sz="4" w:space="0"/>
              <w:right w:val="single" w:color="auto" w:sz="4" w:space="0"/>
            </w:tcBorders>
            <w:vAlign w:val="center"/>
          </w:tcPr>
          <w:p w14:paraId="3DEF435D">
            <w:pPr>
              <w:keepNext w:val="0"/>
              <w:keepLines w:val="0"/>
              <w:pageBreakBefore w:val="0"/>
              <w:widowControl w:val="0"/>
              <w:kinsoku/>
              <w:wordWrap/>
              <w:overflowPunct/>
              <w:autoSpaceDN/>
              <w:bidi w:val="0"/>
              <w:adjustRightIn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35</w:t>
            </w:r>
          </w:p>
        </w:tc>
        <w:tc>
          <w:tcPr>
            <w:tcW w:w="1332" w:type="dxa"/>
            <w:tcBorders>
              <w:top w:val="single" w:color="auto" w:sz="4" w:space="0"/>
              <w:left w:val="single" w:color="auto" w:sz="4" w:space="0"/>
              <w:bottom w:val="single" w:color="auto" w:sz="4" w:space="0"/>
              <w:right w:val="single" w:color="auto" w:sz="4" w:space="0"/>
            </w:tcBorders>
            <w:vAlign w:val="center"/>
          </w:tcPr>
          <w:p w14:paraId="5C3C215E">
            <w:pPr>
              <w:keepNext w:val="0"/>
              <w:keepLines w:val="0"/>
              <w:pageBreakBefore w:val="0"/>
              <w:widowControl w:val="0"/>
              <w:kinsoku/>
              <w:wordWrap/>
              <w:overflowPunct/>
              <w:autoSpaceDN/>
              <w:bidi w:val="0"/>
              <w:adjustRightIn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48.6</w:t>
            </w:r>
          </w:p>
        </w:tc>
        <w:tc>
          <w:tcPr>
            <w:tcW w:w="1082" w:type="dxa"/>
            <w:tcBorders>
              <w:top w:val="single" w:color="auto" w:sz="4" w:space="0"/>
              <w:left w:val="single" w:color="auto" w:sz="4" w:space="0"/>
              <w:bottom w:val="single" w:color="auto" w:sz="4" w:space="0"/>
              <w:right w:val="single" w:color="auto" w:sz="4" w:space="0"/>
            </w:tcBorders>
            <w:vAlign w:val="center"/>
          </w:tcPr>
          <w:p w14:paraId="5A42439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达标</w:t>
            </w:r>
          </w:p>
        </w:tc>
      </w:tr>
      <w:tr w14:paraId="1FF399A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795" w:type="dxa"/>
            <w:tcBorders>
              <w:top w:val="single" w:color="auto" w:sz="4" w:space="0"/>
              <w:left w:val="single" w:color="auto" w:sz="4" w:space="0"/>
              <w:bottom w:val="single" w:color="auto" w:sz="4" w:space="0"/>
              <w:right w:val="single" w:color="auto" w:sz="4" w:space="0"/>
            </w:tcBorders>
            <w:vAlign w:val="center"/>
          </w:tcPr>
          <w:p w14:paraId="105ACE1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O</w:t>
            </w:r>
            <w:r>
              <w:rPr>
                <w:rFonts w:hint="default" w:ascii="Times New Roman" w:hAnsi="Times New Roman" w:eastAsia="宋体" w:cs="Times New Roman"/>
                <w:color w:val="FF0000"/>
                <w:sz w:val="21"/>
                <w:szCs w:val="21"/>
                <w:highlight w:val="none"/>
                <w:vertAlign w:val="subscript"/>
              </w:rPr>
              <w:t>3</w:t>
            </w:r>
          </w:p>
        </w:tc>
        <w:tc>
          <w:tcPr>
            <w:tcW w:w="2447" w:type="dxa"/>
            <w:tcBorders>
              <w:top w:val="single" w:color="auto" w:sz="4" w:space="0"/>
              <w:left w:val="single" w:color="auto" w:sz="4" w:space="0"/>
              <w:bottom w:val="single" w:color="auto" w:sz="4" w:space="0"/>
              <w:right w:val="single" w:color="auto" w:sz="4" w:space="0"/>
            </w:tcBorders>
            <w:vAlign w:val="center"/>
          </w:tcPr>
          <w:p w14:paraId="2B10DF7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第90百分位数8小时平均</w:t>
            </w:r>
          </w:p>
        </w:tc>
        <w:tc>
          <w:tcPr>
            <w:tcW w:w="1287" w:type="dxa"/>
            <w:tcBorders>
              <w:top w:val="single" w:color="auto" w:sz="4" w:space="0"/>
              <w:left w:val="single" w:color="auto" w:sz="4" w:space="0"/>
              <w:bottom w:val="single" w:color="auto" w:sz="4" w:space="0"/>
              <w:right w:val="single" w:color="auto" w:sz="4" w:space="0"/>
            </w:tcBorders>
            <w:vAlign w:val="center"/>
          </w:tcPr>
          <w:p w14:paraId="2895ED63">
            <w:pPr>
              <w:keepNext w:val="0"/>
              <w:keepLines w:val="0"/>
              <w:pageBreakBefore w:val="0"/>
              <w:widowControl w:val="0"/>
              <w:kinsoku/>
              <w:wordWrap/>
              <w:overflowPunct/>
              <w:autoSpaceDN/>
              <w:bidi w:val="0"/>
              <w:adjustRightIn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14</w:t>
            </w:r>
            <w:r>
              <w:rPr>
                <w:rFonts w:hint="default" w:ascii="Times New Roman" w:hAnsi="Times New Roman" w:eastAsia="宋体" w:cs="Times New Roman"/>
                <w:color w:val="FF0000"/>
                <w:sz w:val="21"/>
                <w:szCs w:val="21"/>
                <w:highlight w:val="none"/>
                <w:lang w:val="en-US" w:eastAsia="zh-CN"/>
              </w:rPr>
              <w:t>2</w:t>
            </w:r>
          </w:p>
        </w:tc>
        <w:tc>
          <w:tcPr>
            <w:tcW w:w="1334" w:type="dxa"/>
            <w:tcBorders>
              <w:top w:val="single" w:color="auto" w:sz="4" w:space="0"/>
              <w:left w:val="single" w:color="auto" w:sz="4" w:space="0"/>
              <w:bottom w:val="single" w:color="auto" w:sz="4" w:space="0"/>
              <w:right w:val="single" w:color="auto" w:sz="4" w:space="0"/>
            </w:tcBorders>
            <w:vAlign w:val="center"/>
          </w:tcPr>
          <w:p w14:paraId="62573350">
            <w:pPr>
              <w:keepNext w:val="0"/>
              <w:keepLines w:val="0"/>
              <w:pageBreakBefore w:val="0"/>
              <w:widowControl w:val="0"/>
              <w:kinsoku/>
              <w:wordWrap/>
              <w:overflowPunct/>
              <w:autoSpaceDN/>
              <w:bidi w:val="0"/>
              <w:adjustRightIn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160</w:t>
            </w:r>
          </w:p>
        </w:tc>
        <w:tc>
          <w:tcPr>
            <w:tcW w:w="1332" w:type="dxa"/>
            <w:tcBorders>
              <w:top w:val="single" w:color="auto" w:sz="4" w:space="0"/>
              <w:left w:val="single" w:color="auto" w:sz="4" w:space="0"/>
              <w:bottom w:val="single" w:color="auto" w:sz="4" w:space="0"/>
              <w:right w:val="single" w:color="auto" w:sz="4" w:space="0"/>
            </w:tcBorders>
            <w:vAlign w:val="center"/>
          </w:tcPr>
          <w:p w14:paraId="3FC3E374">
            <w:pPr>
              <w:keepNext w:val="0"/>
              <w:keepLines w:val="0"/>
              <w:pageBreakBefore w:val="0"/>
              <w:widowControl w:val="0"/>
              <w:kinsoku/>
              <w:wordWrap/>
              <w:overflowPunct/>
              <w:autoSpaceDN/>
              <w:bidi w:val="0"/>
              <w:adjustRightIn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8</w:t>
            </w:r>
            <w:r>
              <w:rPr>
                <w:rFonts w:hint="default" w:ascii="Times New Roman" w:hAnsi="Times New Roman" w:eastAsia="宋体" w:cs="Times New Roman"/>
                <w:color w:val="FF0000"/>
                <w:sz w:val="21"/>
                <w:szCs w:val="21"/>
                <w:highlight w:val="none"/>
                <w:lang w:val="en-US" w:eastAsia="zh-CN"/>
              </w:rPr>
              <w:t>8.8</w:t>
            </w:r>
          </w:p>
        </w:tc>
        <w:tc>
          <w:tcPr>
            <w:tcW w:w="1082" w:type="dxa"/>
            <w:tcBorders>
              <w:top w:val="single" w:color="auto" w:sz="4" w:space="0"/>
              <w:left w:val="single" w:color="auto" w:sz="4" w:space="0"/>
              <w:bottom w:val="single" w:color="auto" w:sz="4" w:space="0"/>
              <w:right w:val="single" w:color="auto" w:sz="4" w:space="0"/>
            </w:tcBorders>
            <w:vAlign w:val="center"/>
          </w:tcPr>
          <w:p w14:paraId="43CCBDF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达标</w:t>
            </w:r>
          </w:p>
        </w:tc>
      </w:tr>
      <w:tr w14:paraId="658DC93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795" w:type="dxa"/>
            <w:tcBorders>
              <w:top w:val="single" w:color="auto" w:sz="4" w:space="0"/>
              <w:left w:val="single" w:color="auto" w:sz="4" w:space="0"/>
              <w:bottom w:val="single" w:color="auto" w:sz="4" w:space="0"/>
              <w:right w:val="single" w:color="auto" w:sz="4" w:space="0"/>
            </w:tcBorders>
            <w:vAlign w:val="center"/>
          </w:tcPr>
          <w:p w14:paraId="1B78D85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CO</w:t>
            </w:r>
          </w:p>
        </w:tc>
        <w:tc>
          <w:tcPr>
            <w:tcW w:w="2447" w:type="dxa"/>
            <w:tcBorders>
              <w:top w:val="single" w:color="auto" w:sz="4" w:space="0"/>
              <w:left w:val="single" w:color="auto" w:sz="4" w:space="0"/>
              <w:bottom w:val="single" w:color="auto" w:sz="4" w:space="0"/>
              <w:right w:val="single" w:color="auto" w:sz="4" w:space="0"/>
            </w:tcBorders>
            <w:vAlign w:val="center"/>
          </w:tcPr>
          <w:p w14:paraId="7C5689F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第95百分位数日平均</w:t>
            </w:r>
          </w:p>
        </w:tc>
        <w:tc>
          <w:tcPr>
            <w:tcW w:w="1287" w:type="dxa"/>
            <w:tcBorders>
              <w:top w:val="single" w:color="auto" w:sz="4" w:space="0"/>
              <w:left w:val="single" w:color="auto" w:sz="4" w:space="0"/>
              <w:bottom w:val="single" w:color="auto" w:sz="4" w:space="0"/>
              <w:right w:val="single" w:color="auto" w:sz="4" w:space="0"/>
            </w:tcBorders>
            <w:vAlign w:val="center"/>
          </w:tcPr>
          <w:p w14:paraId="5E5303E7">
            <w:pPr>
              <w:keepNext w:val="0"/>
              <w:keepLines w:val="0"/>
              <w:pageBreakBefore w:val="0"/>
              <w:widowControl w:val="0"/>
              <w:kinsoku/>
              <w:wordWrap/>
              <w:overflowPunct/>
              <w:autoSpaceDN/>
              <w:bidi w:val="0"/>
              <w:adjustRightIn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1200</w:t>
            </w:r>
          </w:p>
        </w:tc>
        <w:tc>
          <w:tcPr>
            <w:tcW w:w="1334" w:type="dxa"/>
            <w:tcBorders>
              <w:top w:val="single" w:color="auto" w:sz="4" w:space="0"/>
              <w:left w:val="single" w:color="auto" w:sz="4" w:space="0"/>
              <w:bottom w:val="single" w:color="auto" w:sz="4" w:space="0"/>
              <w:right w:val="single" w:color="auto" w:sz="4" w:space="0"/>
            </w:tcBorders>
            <w:vAlign w:val="center"/>
          </w:tcPr>
          <w:p w14:paraId="350DAA13">
            <w:pPr>
              <w:keepNext w:val="0"/>
              <w:keepLines w:val="0"/>
              <w:pageBreakBefore w:val="0"/>
              <w:widowControl w:val="0"/>
              <w:kinsoku/>
              <w:wordWrap/>
              <w:overflowPunct/>
              <w:autoSpaceDN/>
              <w:bidi w:val="0"/>
              <w:adjustRightIn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4000</w:t>
            </w:r>
          </w:p>
        </w:tc>
        <w:tc>
          <w:tcPr>
            <w:tcW w:w="1332" w:type="dxa"/>
            <w:tcBorders>
              <w:top w:val="single" w:color="auto" w:sz="4" w:space="0"/>
              <w:left w:val="single" w:color="auto" w:sz="4" w:space="0"/>
              <w:bottom w:val="single" w:color="auto" w:sz="4" w:space="0"/>
              <w:right w:val="single" w:color="auto" w:sz="4" w:space="0"/>
            </w:tcBorders>
            <w:vAlign w:val="center"/>
          </w:tcPr>
          <w:p w14:paraId="4B6BE1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30.0</w:t>
            </w:r>
          </w:p>
        </w:tc>
        <w:tc>
          <w:tcPr>
            <w:tcW w:w="1082" w:type="dxa"/>
            <w:tcBorders>
              <w:top w:val="single" w:color="auto" w:sz="4" w:space="0"/>
              <w:left w:val="single" w:color="auto" w:sz="4" w:space="0"/>
              <w:bottom w:val="single" w:color="auto" w:sz="4" w:space="0"/>
              <w:right w:val="single" w:color="auto" w:sz="4" w:space="0"/>
            </w:tcBorders>
            <w:vAlign w:val="center"/>
          </w:tcPr>
          <w:p w14:paraId="7FD6606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达标</w:t>
            </w:r>
          </w:p>
        </w:tc>
      </w:tr>
      <w:bookmarkEnd w:id="319"/>
      <w:bookmarkEnd w:id="320"/>
      <w:bookmarkEnd w:id="321"/>
      <w:bookmarkEnd w:id="322"/>
      <w:bookmarkEnd w:id="323"/>
    </w:tbl>
    <w:p w14:paraId="5E9638C4">
      <w:pPr>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FF0000"/>
          <w:sz w:val="24"/>
          <w:szCs w:val="24"/>
          <w:highlight w:val="none"/>
        </w:rPr>
        <w:t>从上表可以看出，</w:t>
      </w:r>
      <w:r>
        <w:rPr>
          <w:rFonts w:hint="default" w:ascii="Times New Roman" w:hAnsi="Times New Roman" w:eastAsia="宋体" w:cs="Times New Roman"/>
          <w:color w:val="FF0000"/>
          <w:kern w:val="0"/>
          <w:sz w:val="24"/>
          <w:szCs w:val="24"/>
          <w:highlight w:val="none"/>
          <w:lang w:eastAsia="zh-CN"/>
        </w:rPr>
        <w:t>巴彦淖尔市乌拉特前旗乌拉山镇</w:t>
      </w:r>
      <w:r>
        <w:rPr>
          <w:rFonts w:hint="default" w:ascii="Times New Roman" w:hAnsi="Times New Roman" w:eastAsia="宋体" w:cs="Times New Roman"/>
          <w:color w:val="FF0000"/>
          <w:kern w:val="0"/>
          <w:sz w:val="24"/>
          <w:szCs w:val="24"/>
          <w:highlight w:val="none"/>
          <w:lang w:val="en-US" w:eastAsia="zh-CN"/>
        </w:rPr>
        <w:t>202</w:t>
      </w:r>
      <w:r>
        <w:rPr>
          <w:rFonts w:hint="default" w:ascii="Times New Roman" w:hAnsi="Times New Roman" w:eastAsia="宋体" w:cs="Times New Roman"/>
          <w:color w:val="FF0000"/>
          <w:kern w:val="0"/>
          <w:sz w:val="24"/>
          <w:szCs w:val="24"/>
          <w:highlight w:val="none"/>
          <w:lang w:val="en-US" w:eastAsia="zh-CN"/>
        </w:rPr>
        <w:t>2</w:t>
      </w:r>
      <w:r>
        <w:rPr>
          <w:rFonts w:hint="default" w:ascii="Times New Roman" w:hAnsi="Times New Roman" w:eastAsia="宋体" w:cs="Times New Roman"/>
          <w:color w:val="FF0000"/>
          <w:kern w:val="0"/>
          <w:sz w:val="24"/>
          <w:szCs w:val="24"/>
          <w:highlight w:val="none"/>
          <w:lang w:val="en-US" w:eastAsia="zh-CN"/>
        </w:rPr>
        <w:t>年大气环境中6项</w:t>
      </w:r>
      <w:r>
        <w:rPr>
          <w:rFonts w:hint="default" w:ascii="Times New Roman" w:hAnsi="Times New Roman" w:eastAsia="宋体" w:cs="Times New Roman"/>
          <w:color w:val="FF0000"/>
          <w:kern w:val="0"/>
          <w:sz w:val="24"/>
          <w:szCs w:val="24"/>
          <w:highlight w:val="none"/>
        </w:rPr>
        <w:t>污染物</w:t>
      </w:r>
      <w:r>
        <w:rPr>
          <w:rFonts w:hint="default" w:ascii="Times New Roman" w:hAnsi="Times New Roman" w:eastAsia="宋体" w:cs="Times New Roman"/>
          <w:color w:val="FF0000"/>
          <w:kern w:val="0"/>
          <w:sz w:val="24"/>
          <w:szCs w:val="24"/>
          <w:highlight w:val="none"/>
          <w:lang w:eastAsia="zh-CN"/>
        </w:rPr>
        <w:t>中</w:t>
      </w:r>
      <w:r>
        <w:rPr>
          <w:rFonts w:hint="default" w:ascii="Times New Roman" w:hAnsi="Times New Roman" w:eastAsia="宋体" w:cs="Times New Roman"/>
          <w:color w:val="FF0000"/>
          <w:kern w:val="0"/>
          <w:sz w:val="24"/>
          <w:szCs w:val="24"/>
          <w:highlight w:val="none"/>
        </w:rPr>
        <w:t>SO</w:t>
      </w:r>
      <w:r>
        <w:rPr>
          <w:rFonts w:hint="default" w:ascii="Times New Roman" w:hAnsi="Times New Roman" w:eastAsia="宋体" w:cs="Times New Roman"/>
          <w:color w:val="FF0000"/>
          <w:kern w:val="0"/>
          <w:sz w:val="24"/>
          <w:szCs w:val="24"/>
          <w:highlight w:val="none"/>
          <w:vertAlign w:val="subscript"/>
        </w:rPr>
        <w:t>2</w:t>
      </w:r>
      <w:r>
        <w:rPr>
          <w:rFonts w:hint="default" w:ascii="Times New Roman" w:hAnsi="Times New Roman" w:eastAsia="宋体" w:cs="Times New Roman"/>
          <w:color w:val="FF0000"/>
          <w:kern w:val="0"/>
          <w:sz w:val="24"/>
          <w:szCs w:val="24"/>
          <w:highlight w:val="none"/>
        </w:rPr>
        <w:t>、NO</w:t>
      </w:r>
      <w:r>
        <w:rPr>
          <w:rFonts w:hint="default" w:ascii="Times New Roman" w:hAnsi="Times New Roman" w:eastAsia="宋体" w:cs="Times New Roman"/>
          <w:color w:val="FF0000"/>
          <w:kern w:val="0"/>
          <w:sz w:val="24"/>
          <w:szCs w:val="24"/>
          <w:highlight w:val="none"/>
          <w:vertAlign w:val="subscript"/>
        </w:rPr>
        <w:t>2</w:t>
      </w:r>
      <w:r>
        <w:rPr>
          <w:rFonts w:hint="default" w:ascii="Times New Roman" w:hAnsi="Times New Roman" w:eastAsia="宋体" w:cs="Times New Roman"/>
          <w:color w:val="FF0000"/>
          <w:kern w:val="0"/>
          <w:sz w:val="24"/>
          <w:szCs w:val="24"/>
          <w:highlight w:val="none"/>
        </w:rPr>
        <w:t>、PM</w:t>
      </w:r>
      <w:r>
        <w:rPr>
          <w:rFonts w:hint="default" w:ascii="Times New Roman" w:hAnsi="Times New Roman" w:eastAsia="宋体" w:cs="Times New Roman"/>
          <w:color w:val="FF0000"/>
          <w:kern w:val="0"/>
          <w:sz w:val="24"/>
          <w:szCs w:val="24"/>
          <w:highlight w:val="none"/>
          <w:vertAlign w:val="subscript"/>
        </w:rPr>
        <w:t>10</w:t>
      </w:r>
      <w:r>
        <w:rPr>
          <w:rFonts w:hint="default" w:ascii="Times New Roman" w:hAnsi="Times New Roman" w:eastAsia="宋体" w:cs="Times New Roman"/>
          <w:color w:val="FF0000"/>
          <w:kern w:val="0"/>
          <w:sz w:val="24"/>
          <w:szCs w:val="24"/>
          <w:highlight w:val="none"/>
        </w:rPr>
        <w:t>、PM</w:t>
      </w:r>
      <w:r>
        <w:rPr>
          <w:rFonts w:hint="default" w:ascii="Times New Roman" w:hAnsi="Times New Roman" w:eastAsia="宋体" w:cs="Times New Roman"/>
          <w:color w:val="FF0000"/>
          <w:kern w:val="0"/>
          <w:sz w:val="24"/>
          <w:szCs w:val="24"/>
          <w:highlight w:val="none"/>
          <w:vertAlign w:val="subscript"/>
        </w:rPr>
        <w:t>2.5</w:t>
      </w:r>
      <w:r>
        <w:rPr>
          <w:rFonts w:hint="default" w:ascii="Times New Roman" w:hAnsi="Times New Roman" w:eastAsia="宋体" w:cs="Times New Roman"/>
          <w:color w:val="FF0000"/>
          <w:kern w:val="0"/>
          <w:sz w:val="24"/>
          <w:szCs w:val="24"/>
          <w:highlight w:val="none"/>
        </w:rPr>
        <w:t>、CO和O</w:t>
      </w:r>
      <w:r>
        <w:rPr>
          <w:rFonts w:hint="default" w:ascii="Times New Roman" w:hAnsi="Times New Roman" w:eastAsia="宋体" w:cs="Times New Roman"/>
          <w:color w:val="FF0000"/>
          <w:kern w:val="0"/>
          <w:sz w:val="24"/>
          <w:szCs w:val="24"/>
          <w:highlight w:val="none"/>
          <w:vertAlign w:val="subscript"/>
        </w:rPr>
        <w:t>3</w:t>
      </w:r>
      <w:r>
        <w:rPr>
          <w:rFonts w:hint="default" w:ascii="Times New Roman" w:hAnsi="Times New Roman" w:eastAsia="宋体" w:cs="Times New Roman"/>
          <w:color w:val="FF0000"/>
          <w:kern w:val="0"/>
          <w:sz w:val="24"/>
          <w:szCs w:val="24"/>
          <w:highlight w:val="none"/>
        </w:rPr>
        <w:t>质量浓度</w:t>
      </w:r>
      <w:r>
        <w:rPr>
          <w:rFonts w:hint="default" w:ascii="Times New Roman" w:hAnsi="Times New Roman" w:eastAsia="宋体" w:cs="Times New Roman"/>
          <w:color w:val="FF0000"/>
          <w:kern w:val="0"/>
          <w:sz w:val="24"/>
          <w:szCs w:val="24"/>
          <w:highlight w:val="none"/>
          <w:lang w:eastAsia="zh-CN"/>
        </w:rPr>
        <w:t>均满足</w:t>
      </w:r>
      <w:r>
        <w:rPr>
          <w:rFonts w:hint="default" w:ascii="Times New Roman" w:hAnsi="Times New Roman" w:eastAsia="宋体" w:cs="Times New Roman"/>
          <w:color w:val="FF0000"/>
          <w:kern w:val="0"/>
          <w:sz w:val="24"/>
          <w:szCs w:val="24"/>
          <w:highlight w:val="none"/>
        </w:rPr>
        <w:t>《环境空气质量标准》（GB3095-2012）二级标准</w:t>
      </w:r>
      <w:r>
        <w:rPr>
          <w:rFonts w:hint="default" w:ascii="Times New Roman" w:hAnsi="Times New Roman" w:eastAsia="宋体" w:cs="Times New Roman"/>
          <w:color w:val="FF0000"/>
          <w:kern w:val="0"/>
          <w:sz w:val="24"/>
          <w:szCs w:val="24"/>
          <w:highlight w:val="none"/>
          <w:vertAlign w:val="baseline"/>
        </w:rPr>
        <w:t>限值</w:t>
      </w:r>
      <w:r>
        <w:rPr>
          <w:rFonts w:hint="default" w:ascii="Times New Roman" w:hAnsi="Times New Roman" w:eastAsia="宋体" w:cs="Times New Roman"/>
          <w:color w:val="FF0000"/>
          <w:kern w:val="0"/>
          <w:sz w:val="24"/>
          <w:szCs w:val="24"/>
          <w:highlight w:val="none"/>
          <w:lang w:eastAsia="zh-CN"/>
        </w:rPr>
        <w:t>，</w:t>
      </w:r>
      <w:r>
        <w:rPr>
          <w:rFonts w:hint="default" w:ascii="Times New Roman" w:hAnsi="Times New Roman" w:eastAsia="宋体" w:cs="Times New Roman"/>
          <w:color w:val="FF0000"/>
          <w:kern w:val="0"/>
          <w:sz w:val="24"/>
          <w:szCs w:val="24"/>
          <w:highlight w:val="none"/>
        </w:rPr>
        <w:t>由此可判断本项目所在地为达标区</w:t>
      </w:r>
      <w:r>
        <w:rPr>
          <w:rFonts w:hint="default" w:ascii="Times New Roman" w:hAnsi="Times New Roman" w:eastAsia="宋体" w:cs="Times New Roman"/>
          <w:color w:val="FF0000"/>
          <w:highlight w:val="none"/>
        </w:rPr>
        <w:t>。</w:t>
      </w:r>
    </w:p>
    <w:p w14:paraId="3C21FA96">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4.2.1.2其他污染物补充监测</w:t>
      </w:r>
    </w:p>
    <w:p w14:paraId="614EA8D1">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highlight w:val="none"/>
          <w:lang w:eastAsia="zh-CN"/>
        </w:rPr>
        <w:t>环境影响评价技术导则</w:t>
      </w:r>
      <w:r>
        <w:rPr>
          <w:rFonts w:hint="default" w:ascii="Times New Roman" w:hAnsi="Times New Roman" w:eastAsia="宋体" w:cs="Times New Roman"/>
          <w:color w:val="auto"/>
          <w:highlight w:val="none"/>
        </w:rPr>
        <w:t>大气环境》（HJ2.2-2018）6.3条要求，本次评价对其他污染物HN</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S、TSP进行补充监测。</w:t>
      </w:r>
    </w:p>
    <w:p w14:paraId="7B9F8C9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1、监测点位</w:t>
      </w:r>
    </w:p>
    <w:p w14:paraId="32ACED4C">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根据建设项目所在</w:t>
      </w:r>
      <w:r>
        <w:rPr>
          <w:rFonts w:hint="default" w:ascii="Times New Roman" w:hAnsi="Times New Roman" w:eastAsia="宋体" w:cs="Times New Roman"/>
          <w:color w:val="auto"/>
          <w:highlight w:val="none"/>
          <w:lang w:eastAsia="zh-CN"/>
        </w:rPr>
        <w:t>地</w:t>
      </w:r>
      <w:r>
        <w:rPr>
          <w:rFonts w:hint="default" w:ascii="Times New Roman" w:hAnsi="Times New Roman" w:eastAsia="宋体" w:cs="Times New Roman"/>
          <w:color w:val="auto"/>
          <w:highlight w:val="none"/>
        </w:rPr>
        <w:t>具体位置、当地气象、地形和环境功能等因素，按《</w:t>
      </w:r>
      <w:r>
        <w:rPr>
          <w:rFonts w:hint="default" w:ascii="Times New Roman" w:hAnsi="Times New Roman" w:eastAsia="宋体" w:cs="Times New Roman"/>
          <w:color w:val="auto"/>
          <w:highlight w:val="none"/>
          <w:lang w:eastAsia="zh-CN"/>
        </w:rPr>
        <w:t>环境影响评价技术导则</w:t>
      </w:r>
      <w:r>
        <w:rPr>
          <w:rFonts w:hint="default" w:ascii="Times New Roman" w:hAnsi="Times New Roman" w:eastAsia="宋体" w:cs="Times New Roman"/>
          <w:color w:val="auto"/>
          <w:highlight w:val="none"/>
        </w:rPr>
        <w:t>大气环境》（HJ2.2-2018）的要求，主要考虑建设项目厂址对周围敏感区域大气环境质量的影响，</w:t>
      </w:r>
      <w:r>
        <w:rPr>
          <w:rFonts w:hint="default" w:ascii="Times New Roman" w:hAnsi="Times New Roman" w:eastAsia="宋体" w:cs="Times New Roman"/>
          <w:color w:val="auto"/>
          <w:highlight w:val="none"/>
          <w:lang w:eastAsia="zh-CN"/>
        </w:rPr>
        <w:t>在拟建厂区内</w:t>
      </w:r>
      <w:r>
        <w:rPr>
          <w:rFonts w:hint="default" w:ascii="Times New Roman" w:hAnsi="Times New Roman" w:eastAsia="宋体" w:cs="Times New Roman"/>
          <w:color w:val="auto"/>
          <w:highlight w:val="none"/>
        </w:rPr>
        <w:t>设置1个监测点，详见表4.2-2，如图4.2-1所示。</w:t>
      </w:r>
    </w:p>
    <w:p w14:paraId="38C65120">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表4.2-2环境空气质量现状补充监测布点表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54"/>
        <w:gridCol w:w="1655"/>
        <w:gridCol w:w="1656"/>
        <w:gridCol w:w="1656"/>
        <w:gridCol w:w="1656"/>
      </w:tblGrid>
      <w:tr w14:paraId="1407DA1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00" w:type="dxa"/>
            <w:vMerge w:val="restart"/>
            <w:tcBorders>
              <w:top w:val="single" w:color="auto" w:sz="4" w:space="0"/>
              <w:left w:val="single" w:color="auto" w:sz="4" w:space="0"/>
              <w:bottom w:val="single" w:color="auto" w:sz="4" w:space="0"/>
              <w:right w:val="single" w:color="auto" w:sz="4" w:space="0"/>
            </w:tcBorders>
            <w:vAlign w:val="center"/>
          </w:tcPr>
          <w:p w14:paraId="33593B6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监测点位名称</w:t>
            </w:r>
          </w:p>
        </w:tc>
        <w:tc>
          <w:tcPr>
            <w:tcW w:w="1800" w:type="dxa"/>
            <w:vMerge w:val="restart"/>
            <w:tcBorders>
              <w:top w:val="single" w:color="auto" w:sz="4" w:space="0"/>
              <w:left w:val="single" w:color="auto" w:sz="4" w:space="0"/>
              <w:bottom w:val="single" w:color="auto" w:sz="4" w:space="0"/>
              <w:right w:val="single" w:color="auto" w:sz="4" w:space="0"/>
            </w:tcBorders>
            <w:vAlign w:val="center"/>
          </w:tcPr>
          <w:p w14:paraId="61636EB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监测因子</w:t>
            </w:r>
          </w:p>
        </w:tc>
        <w:tc>
          <w:tcPr>
            <w:tcW w:w="1801" w:type="dxa"/>
            <w:vMerge w:val="restart"/>
            <w:tcBorders>
              <w:top w:val="single" w:color="auto" w:sz="4" w:space="0"/>
              <w:left w:val="single" w:color="auto" w:sz="4" w:space="0"/>
              <w:bottom w:val="single" w:color="auto" w:sz="4" w:space="0"/>
              <w:right w:val="single" w:color="auto" w:sz="4" w:space="0"/>
            </w:tcBorders>
            <w:vAlign w:val="center"/>
          </w:tcPr>
          <w:p w14:paraId="6B9AE50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位置坐标</w:t>
            </w:r>
          </w:p>
        </w:tc>
        <w:tc>
          <w:tcPr>
            <w:tcW w:w="3602" w:type="dxa"/>
            <w:gridSpan w:val="2"/>
            <w:tcBorders>
              <w:top w:val="single" w:color="auto" w:sz="4" w:space="0"/>
              <w:left w:val="single" w:color="auto" w:sz="4" w:space="0"/>
              <w:bottom w:val="single" w:color="auto" w:sz="4" w:space="0"/>
              <w:right w:val="single" w:color="auto" w:sz="4" w:space="0"/>
            </w:tcBorders>
            <w:vAlign w:val="center"/>
          </w:tcPr>
          <w:p w14:paraId="32DA01E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相对于厂址</w:t>
            </w:r>
          </w:p>
        </w:tc>
      </w:tr>
      <w:tr w14:paraId="0F61303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00" w:type="dxa"/>
            <w:vMerge w:val="continue"/>
            <w:tcBorders>
              <w:top w:val="single" w:color="auto" w:sz="4" w:space="0"/>
              <w:left w:val="single" w:color="auto" w:sz="4" w:space="0"/>
              <w:bottom w:val="single" w:color="auto" w:sz="4" w:space="0"/>
              <w:right w:val="single" w:color="auto" w:sz="4" w:space="0"/>
            </w:tcBorders>
            <w:vAlign w:val="center"/>
          </w:tcPr>
          <w:p w14:paraId="5E8B908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800" w:type="dxa"/>
            <w:vMerge w:val="continue"/>
            <w:tcBorders>
              <w:top w:val="single" w:color="auto" w:sz="4" w:space="0"/>
              <w:left w:val="single" w:color="auto" w:sz="4" w:space="0"/>
              <w:bottom w:val="single" w:color="auto" w:sz="4" w:space="0"/>
              <w:right w:val="single" w:color="auto" w:sz="4" w:space="0"/>
            </w:tcBorders>
            <w:vAlign w:val="center"/>
          </w:tcPr>
          <w:p w14:paraId="0818E09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801" w:type="dxa"/>
            <w:vMerge w:val="continue"/>
            <w:tcBorders>
              <w:top w:val="single" w:color="auto" w:sz="4" w:space="0"/>
              <w:left w:val="single" w:color="auto" w:sz="4" w:space="0"/>
              <w:bottom w:val="single" w:color="auto" w:sz="4" w:space="0"/>
              <w:right w:val="single" w:color="auto" w:sz="4" w:space="0"/>
            </w:tcBorders>
            <w:vAlign w:val="center"/>
          </w:tcPr>
          <w:p w14:paraId="7CBDE32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801" w:type="dxa"/>
            <w:tcBorders>
              <w:top w:val="single" w:color="auto" w:sz="4" w:space="0"/>
              <w:left w:val="single" w:color="auto" w:sz="4" w:space="0"/>
              <w:bottom w:val="single" w:color="auto" w:sz="4" w:space="0"/>
              <w:right w:val="single" w:color="auto" w:sz="4" w:space="0"/>
            </w:tcBorders>
            <w:vAlign w:val="center"/>
          </w:tcPr>
          <w:p w14:paraId="157A175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方位</w:t>
            </w:r>
          </w:p>
        </w:tc>
        <w:tc>
          <w:tcPr>
            <w:tcW w:w="1801" w:type="dxa"/>
            <w:tcBorders>
              <w:top w:val="single" w:color="auto" w:sz="4" w:space="0"/>
              <w:left w:val="single" w:color="auto" w:sz="4" w:space="0"/>
              <w:bottom w:val="single" w:color="auto" w:sz="4" w:space="0"/>
              <w:right w:val="single" w:color="auto" w:sz="4" w:space="0"/>
            </w:tcBorders>
            <w:vAlign w:val="center"/>
          </w:tcPr>
          <w:p w14:paraId="7B23DB0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距离（km）</w:t>
            </w:r>
          </w:p>
        </w:tc>
      </w:tr>
      <w:tr w14:paraId="198513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00" w:type="dxa"/>
            <w:tcBorders>
              <w:top w:val="single" w:color="auto" w:sz="4" w:space="0"/>
              <w:left w:val="single" w:color="auto" w:sz="4" w:space="0"/>
              <w:bottom w:val="single" w:color="auto" w:sz="4" w:space="0"/>
              <w:right w:val="single" w:color="auto" w:sz="4" w:space="0"/>
            </w:tcBorders>
            <w:vAlign w:val="center"/>
          </w:tcPr>
          <w:p w14:paraId="08AFE22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800" w:type="dxa"/>
            <w:tcBorders>
              <w:top w:val="single" w:color="auto" w:sz="4" w:space="0"/>
              <w:left w:val="single" w:color="auto" w:sz="4" w:space="0"/>
              <w:bottom w:val="single" w:color="auto" w:sz="4" w:space="0"/>
              <w:right w:val="single" w:color="auto" w:sz="4" w:space="0"/>
            </w:tcBorders>
            <w:vAlign w:val="center"/>
          </w:tcPr>
          <w:p w14:paraId="420BE37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HN</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S、TSP</w:t>
            </w:r>
          </w:p>
        </w:tc>
        <w:tc>
          <w:tcPr>
            <w:tcW w:w="1801" w:type="dxa"/>
            <w:tcBorders>
              <w:top w:val="single" w:color="auto" w:sz="4" w:space="0"/>
              <w:left w:val="single" w:color="auto" w:sz="4" w:space="0"/>
              <w:bottom w:val="single" w:color="auto" w:sz="4" w:space="0"/>
              <w:right w:val="single" w:color="auto" w:sz="4" w:space="0"/>
            </w:tcBorders>
            <w:vAlign w:val="center"/>
          </w:tcPr>
          <w:p w14:paraId="0B8D855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E108°55′59.44″</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N41°7′8.89″</w:t>
            </w:r>
          </w:p>
        </w:tc>
        <w:tc>
          <w:tcPr>
            <w:tcW w:w="1801" w:type="dxa"/>
            <w:tcBorders>
              <w:top w:val="single" w:color="auto" w:sz="4" w:space="0"/>
              <w:left w:val="single" w:color="auto" w:sz="4" w:space="0"/>
              <w:bottom w:val="single" w:color="auto" w:sz="4" w:space="0"/>
              <w:right w:val="single" w:color="auto" w:sz="4" w:space="0"/>
            </w:tcBorders>
            <w:vAlign w:val="center"/>
          </w:tcPr>
          <w:p w14:paraId="4800727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厂区内</w:t>
            </w:r>
          </w:p>
        </w:tc>
        <w:tc>
          <w:tcPr>
            <w:tcW w:w="1801" w:type="dxa"/>
            <w:tcBorders>
              <w:top w:val="single" w:color="auto" w:sz="4" w:space="0"/>
              <w:left w:val="single" w:color="auto" w:sz="4" w:space="0"/>
              <w:bottom w:val="single" w:color="auto" w:sz="4" w:space="0"/>
              <w:right w:val="single" w:color="auto" w:sz="4" w:space="0"/>
            </w:tcBorders>
            <w:vAlign w:val="center"/>
          </w:tcPr>
          <w:p w14:paraId="4770715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r>
    </w:tbl>
    <w:p w14:paraId="4B02EE3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2、监测项目</w:t>
      </w:r>
    </w:p>
    <w:p w14:paraId="1232D4CE">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其他污染物：HN</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S、TSP</w:t>
      </w:r>
    </w:p>
    <w:p w14:paraId="2E13F12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同步观测风速、风向、气温、气压等常规气象参数。</w:t>
      </w:r>
    </w:p>
    <w:p w14:paraId="392E883F">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3、监测时间和监测频率</w:t>
      </w:r>
    </w:p>
    <w:p w14:paraId="1F2686AE">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H</w:t>
      </w:r>
      <w:r>
        <w:rPr>
          <w:rFonts w:hint="default" w:ascii="Times New Roman" w:hAnsi="Times New Roman" w:eastAsia="宋体" w:cs="Times New Roman"/>
          <w:color w:val="auto"/>
          <w:szCs w:val="24"/>
          <w:highlight w:val="none"/>
          <w:vertAlign w:val="subscript"/>
        </w:rPr>
        <w:t>2</w:t>
      </w:r>
      <w:r>
        <w:rPr>
          <w:rFonts w:hint="default" w:ascii="Times New Roman" w:hAnsi="Times New Roman" w:eastAsia="宋体" w:cs="Times New Roman"/>
          <w:color w:val="auto"/>
          <w:szCs w:val="24"/>
          <w:highlight w:val="none"/>
        </w:rPr>
        <w:t>S、NH</w:t>
      </w:r>
      <w:r>
        <w:rPr>
          <w:rFonts w:hint="default" w:ascii="Times New Roman" w:hAnsi="Times New Roman" w:eastAsia="宋体" w:cs="Times New Roman"/>
          <w:color w:val="auto"/>
          <w:szCs w:val="24"/>
          <w:highlight w:val="none"/>
          <w:vertAlign w:val="subscript"/>
        </w:rPr>
        <w:t>3</w:t>
      </w:r>
      <w:r>
        <w:rPr>
          <w:rFonts w:hint="default" w:ascii="Times New Roman" w:hAnsi="Times New Roman" w:eastAsia="宋体" w:cs="Times New Roman"/>
          <w:color w:val="auto"/>
          <w:szCs w:val="24"/>
          <w:highlight w:val="none"/>
        </w:rPr>
        <w:t>测小时均值，每天监测4次，每小时至少有45min的采样时间。</w:t>
      </w:r>
    </w:p>
    <w:p w14:paraId="24CC178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TSP</w:t>
      </w:r>
      <w:r>
        <w:rPr>
          <w:rFonts w:hint="default" w:ascii="Times New Roman" w:hAnsi="Times New Roman" w:eastAsia="宋体" w:cs="Times New Roman"/>
          <w:color w:val="auto"/>
          <w:szCs w:val="24"/>
          <w:highlight w:val="none"/>
        </w:rPr>
        <w:t>测</w:t>
      </w:r>
      <w:r>
        <w:rPr>
          <w:rFonts w:hint="default" w:ascii="Times New Roman" w:hAnsi="Times New Roman" w:eastAsia="宋体" w:cs="Times New Roman"/>
          <w:color w:val="auto"/>
          <w:szCs w:val="24"/>
          <w:highlight w:val="none"/>
          <w:lang w:val="en-US" w:eastAsia="zh-CN"/>
        </w:rPr>
        <w:t>24</w:t>
      </w:r>
      <w:r>
        <w:rPr>
          <w:rFonts w:hint="default" w:ascii="Times New Roman" w:hAnsi="Times New Roman" w:eastAsia="宋体" w:cs="Times New Roman"/>
          <w:color w:val="auto"/>
          <w:szCs w:val="24"/>
          <w:highlight w:val="none"/>
        </w:rPr>
        <w:t>小时均值，每天监测</w:t>
      </w:r>
      <w:r>
        <w:rPr>
          <w:rFonts w:hint="default" w:ascii="Times New Roman" w:hAnsi="Times New Roman" w:eastAsia="宋体" w:cs="Times New Roman"/>
          <w:color w:val="auto"/>
          <w:szCs w:val="24"/>
          <w:highlight w:val="none"/>
          <w:lang w:val="en-US" w:eastAsia="zh-CN"/>
        </w:rPr>
        <w:t>1</w:t>
      </w:r>
      <w:r>
        <w:rPr>
          <w:rFonts w:hint="default" w:ascii="Times New Roman" w:hAnsi="Times New Roman" w:eastAsia="宋体" w:cs="Times New Roman"/>
          <w:color w:val="auto"/>
          <w:szCs w:val="24"/>
          <w:highlight w:val="none"/>
        </w:rPr>
        <w:t>次，每</w:t>
      </w:r>
      <w:r>
        <w:rPr>
          <w:rFonts w:hint="default" w:ascii="Times New Roman" w:hAnsi="Times New Roman" w:eastAsia="宋体" w:cs="Times New Roman"/>
          <w:color w:val="auto"/>
          <w:szCs w:val="24"/>
          <w:highlight w:val="none"/>
          <w:lang w:eastAsia="zh-CN"/>
        </w:rPr>
        <w:t>天</w:t>
      </w:r>
      <w:r>
        <w:rPr>
          <w:rFonts w:hint="default" w:ascii="Times New Roman" w:hAnsi="Times New Roman" w:eastAsia="宋体" w:cs="Times New Roman"/>
          <w:color w:val="auto"/>
          <w:szCs w:val="24"/>
          <w:highlight w:val="none"/>
        </w:rPr>
        <w:t>至少有</w:t>
      </w:r>
      <w:r>
        <w:rPr>
          <w:rFonts w:hint="default" w:ascii="Times New Roman" w:hAnsi="Times New Roman" w:eastAsia="宋体" w:cs="Times New Roman"/>
          <w:color w:val="auto"/>
          <w:szCs w:val="24"/>
          <w:highlight w:val="none"/>
          <w:lang w:val="en-US" w:eastAsia="zh-CN"/>
        </w:rPr>
        <w:t>20h</w:t>
      </w:r>
      <w:r>
        <w:rPr>
          <w:rFonts w:hint="default" w:ascii="Times New Roman" w:hAnsi="Times New Roman" w:eastAsia="宋体" w:cs="Times New Roman"/>
          <w:color w:val="auto"/>
          <w:szCs w:val="24"/>
          <w:highlight w:val="none"/>
        </w:rPr>
        <w:t>的采样时间</w:t>
      </w:r>
      <w:r>
        <w:rPr>
          <w:rFonts w:hint="default" w:ascii="Times New Roman" w:hAnsi="Times New Roman" w:eastAsia="宋体" w:cs="Times New Roman"/>
          <w:color w:val="auto"/>
          <w:szCs w:val="24"/>
          <w:highlight w:val="none"/>
          <w:lang w:eastAsia="zh-CN"/>
        </w:rPr>
        <w:t>。</w:t>
      </w:r>
    </w:p>
    <w:p w14:paraId="6A6CF91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202</w:t>
      </w:r>
      <w:r>
        <w:rPr>
          <w:rFonts w:hint="default" w:ascii="Times New Roman" w:hAnsi="Times New Roman" w:eastAsia="宋体" w:cs="Times New Roman"/>
          <w:color w:val="auto"/>
          <w:szCs w:val="24"/>
          <w:highlight w:val="none"/>
          <w:lang w:val="en-US" w:eastAsia="zh-CN"/>
        </w:rPr>
        <w:t>2</w:t>
      </w:r>
      <w:r>
        <w:rPr>
          <w:rFonts w:hint="default" w:ascii="Times New Roman" w:hAnsi="Times New Roman" w:eastAsia="宋体" w:cs="Times New Roman"/>
          <w:color w:val="auto"/>
          <w:szCs w:val="24"/>
          <w:highlight w:val="none"/>
        </w:rPr>
        <w:t>年</w:t>
      </w:r>
      <w:r>
        <w:rPr>
          <w:rFonts w:hint="default" w:ascii="Times New Roman" w:hAnsi="Times New Roman" w:eastAsia="宋体" w:cs="Times New Roman"/>
          <w:color w:val="auto"/>
          <w:szCs w:val="24"/>
          <w:highlight w:val="none"/>
          <w:lang w:val="en-US" w:eastAsia="zh-CN"/>
        </w:rPr>
        <w:t>12</w:t>
      </w:r>
      <w:r>
        <w:rPr>
          <w:rFonts w:hint="default" w:ascii="Times New Roman" w:hAnsi="Times New Roman" w:eastAsia="宋体" w:cs="Times New Roman"/>
          <w:color w:val="auto"/>
          <w:szCs w:val="24"/>
          <w:highlight w:val="none"/>
        </w:rPr>
        <w:t>月</w:t>
      </w:r>
      <w:r>
        <w:rPr>
          <w:rFonts w:hint="default" w:ascii="Times New Roman" w:hAnsi="Times New Roman" w:eastAsia="宋体" w:cs="Times New Roman"/>
          <w:color w:val="auto"/>
          <w:szCs w:val="24"/>
          <w:highlight w:val="none"/>
          <w:lang w:val="en-US" w:eastAsia="zh-CN"/>
        </w:rPr>
        <w:t>3</w:t>
      </w:r>
      <w:r>
        <w:rPr>
          <w:rFonts w:hint="default" w:ascii="Times New Roman" w:hAnsi="Times New Roman" w:eastAsia="宋体" w:cs="Times New Roman"/>
          <w:color w:val="auto"/>
          <w:szCs w:val="24"/>
          <w:highlight w:val="none"/>
        </w:rPr>
        <w:t>日至</w:t>
      </w:r>
      <w:r>
        <w:rPr>
          <w:rFonts w:hint="default" w:ascii="Times New Roman" w:hAnsi="Times New Roman" w:eastAsia="宋体" w:cs="Times New Roman"/>
          <w:color w:val="auto"/>
          <w:szCs w:val="24"/>
          <w:highlight w:val="none"/>
          <w:lang w:val="en-US" w:eastAsia="zh-CN"/>
        </w:rPr>
        <w:t>12</w:t>
      </w:r>
      <w:r>
        <w:rPr>
          <w:rFonts w:hint="default" w:ascii="Times New Roman" w:hAnsi="Times New Roman" w:eastAsia="宋体" w:cs="Times New Roman"/>
          <w:color w:val="auto"/>
          <w:szCs w:val="24"/>
          <w:highlight w:val="none"/>
        </w:rPr>
        <w:t>月</w:t>
      </w:r>
      <w:r>
        <w:rPr>
          <w:rFonts w:hint="default" w:ascii="Times New Roman" w:hAnsi="Times New Roman" w:eastAsia="宋体" w:cs="Times New Roman"/>
          <w:color w:val="auto"/>
          <w:szCs w:val="24"/>
          <w:highlight w:val="none"/>
          <w:lang w:val="en-US" w:eastAsia="zh-CN"/>
        </w:rPr>
        <w:t>9</w:t>
      </w:r>
      <w:r>
        <w:rPr>
          <w:rFonts w:hint="default" w:ascii="Times New Roman" w:hAnsi="Times New Roman" w:eastAsia="宋体" w:cs="Times New Roman"/>
          <w:color w:val="auto"/>
          <w:szCs w:val="24"/>
          <w:highlight w:val="none"/>
        </w:rPr>
        <w:t>日连续监测7天，监测单位为内蒙古华智鼎环保科技有限公司。</w:t>
      </w:r>
    </w:p>
    <w:p w14:paraId="6DA9C078">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4、分析方法</w:t>
      </w:r>
    </w:p>
    <w:p w14:paraId="375F5807">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szCs w:val="24"/>
          <w:highlight w:val="none"/>
        </w:rPr>
      </w:pPr>
      <w:bookmarkStart w:id="324" w:name="_Toc346715579"/>
      <w:r>
        <w:rPr>
          <w:rFonts w:hint="default" w:ascii="Times New Roman" w:hAnsi="Times New Roman" w:eastAsia="宋体" w:cs="Times New Roman"/>
          <w:color w:val="auto"/>
          <w:szCs w:val="24"/>
          <w:highlight w:val="none"/>
        </w:rPr>
        <w:t>分析方法按照国家环境保护总局颁布的《环境空气质量标准》（GB3095-2012）及《空气和废气监测分析方法》进行，具体分析方法及最低检出限见下表。</w:t>
      </w:r>
    </w:p>
    <w:p w14:paraId="6509E5D1">
      <w:pPr>
        <w:pStyle w:val="7"/>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表4.2-3环境空气质量监测分析方法</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31"/>
        <w:gridCol w:w="2078"/>
        <w:gridCol w:w="1656"/>
        <w:gridCol w:w="1875"/>
        <w:gridCol w:w="1437"/>
      </w:tblGrid>
      <w:tr w14:paraId="695A8A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4" w:type="dxa"/>
            <w:tcBorders>
              <w:top w:val="single" w:color="auto" w:sz="4" w:space="0"/>
              <w:left w:val="single" w:color="auto" w:sz="4" w:space="0"/>
            </w:tcBorders>
            <w:vAlign w:val="center"/>
          </w:tcPr>
          <w:p w14:paraId="5E3883D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rPr>
              <w:t>检测项目</w:t>
            </w:r>
          </w:p>
        </w:tc>
        <w:tc>
          <w:tcPr>
            <w:tcW w:w="2266" w:type="dxa"/>
            <w:tcBorders>
              <w:top w:val="single" w:color="auto" w:sz="4" w:space="0"/>
            </w:tcBorders>
            <w:vAlign w:val="center"/>
          </w:tcPr>
          <w:p w14:paraId="64AD986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b/>
                <w:bCs/>
                <w:color w:val="auto"/>
                <w:sz w:val="21"/>
                <w:szCs w:val="21"/>
                <w:highlight w:val="none"/>
              </w:rPr>
              <w:t>分析方法及来源</w:t>
            </w:r>
          </w:p>
        </w:tc>
        <w:tc>
          <w:tcPr>
            <w:tcW w:w="1801" w:type="dxa"/>
            <w:tcBorders>
              <w:top w:val="single" w:color="auto" w:sz="4" w:space="0"/>
            </w:tcBorders>
            <w:vAlign w:val="center"/>
          </w:tcPr>
          <w:p w14:paraId="01C6BE6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rPr>
              <w:t>检出限</w:t>
            </w:r>
          </w:p>
        </w:tc>
        <w:tc>
          <w:tcPr>
            <w:tcW w:w="2042" w:type="dxa"/>
            <w:tcBorders>
              <w:top w:val="single" w:color="auto" w:sz="4" w:space="0"/>
            </w:tcBorders>
            <w:vAlign w:val="center"/>
          </w:tcPr>
          <w:p w14:paraId="0136B01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rPr>
              <w:t>仪器设备名称/型号</w:t>
            </w:r>
          </w:p>
        </w:tc>
        <w:tc>
          <w:tcPr>
            <w:tcW w:w="1560" w:type="dxa"/>
            <w:tcBorders>
              <w:top w:val="single" w:color="auto" w:sz="4" w:space="0"/>
              <w:right w:val="single" w:color="auto" w:sz="4" w:space="0"/>
            </w:tcBorders>
            <w:vAlign w:val="center"/>
          </w:tcPr>
          <w:p w14:paraId="20BC6BD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rPr>
              <w:t>仪器管理编号</w:t>
            </w:r>
          </w:p>
        </w:tc>
      </w:tr>
      <w:tr w14:paraId="5C26C7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4" w:type="dxa"/>
            <w:vMerge w:val="restart"/>
            <w:tcBorders>
              <w:left w:val="single" w:color="auto" w:sz="4" w:space="0"/>
            </w:tcBorders>
            <w:vAlign w:val="center"/>
          </w:tcPr>
          <w:p w14:paraId="5C6D8CB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总悬浮颗粒物</w:t>
            </w:r>
          </w:p>
          <w:p w14:paraId="41906DF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2266" w:type="dxa"/>
            <w:vMerge w:val="restart"/>
            <w:vAlign w:val="center"/>
          </w:tcPr>
          <w:p w14:paraId="2A2C774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《环境空气总悬浮颗粒物的测定重量法》（GB/T15432-1995）</w:t>
            </w:r>
          </w:p>
        </w:tc>
        <w:tc>
          <w:tcPr>
            <w:tcW w:w="1801" w:type="dxa"/>
            <w:vAlign w:val="center"/>
          </w:tcPr>
          <w:p w14:paraId="630860A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0.001mg/m</w:t>
            </w:r>
            <w:r>
              <w:rPr>
                <w:rFonts w:hint="default" w:ascii="Times New Roman" w:hAnsi="Times New Roman" w:eastAsia="宋体" w:cs="Times New Roman"/>
                <w:color w:val="auto"/>
                <w:sz w:val="21"/>
                <w:szCs w:val="21"/>
                <w:highlight w:val="none"/>
                <w:vertAlign w:val="superscript"/>
              </w:rPr>
              <w:t>3</w:t>
            </w:r>
          </w:p>
        </w:tc>
        <w:tc>
          <w:tcPr>
            <w:tcW w:w="2042" w:type="dxa"/>
            <w:vMerge w:val="restart"/>
            <w:vAlign w:val="center"/>
          </w:tcPr>
          <w:p w14:paraId="00DE3DD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电子天平（十万分之一）/AUW120D</w:t>
            </w:r>
          </w:p>
          <w:p w14:paraId="2A0A939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综合大气采样器/XA-100</w:t>
            </w:r>
          </w:p>
        </w:tc>
        <w:tc>
          <w:tcPr>
            <w:tcW w:w="1560" w:type="dxa"/>
            <w:tcBorders>
              <w:right w:val="single" w:color="auto" w:sz="4" w:space="0"/>
            </w:tcBorders>
            <w:vAlign w:val="center"/>
          </w:tcPr>
          <w:p w14:paraId="68562DF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HZD-013-A</w:t>
            </w:r>
          </w:p>
        </w:tc>
      </w:tr>
      <w:tr w14:paraId="21ADD2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4" w:type="dxa"/>
            <w:vMerge w:val="continue"/>
            <w:tcBorders>
              <w:left w:val="single" w:color="auto" w:sz="4" w:space="0"/>
            </w:tcBorders>
            <w:vAlign w:val="center"/>
          </w:tcPr>
          <w:p w14:paraId="720CA9D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6" w:type="dxa"/>
            <w:vMerge w:val="continue"/>
            <w:vAlign w:val="center"/>
          </w:tcPr>
          <w:p w14:paraId="5104C25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801" w:type="dxa"/>
            <w:vAlign w:val="center"/>
          </w:tcPr>
          <w:p w14:paraId="049C519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综合大气采样器/XA-100</w:t>
            </w:r>
          </w:p>
        </w:tc>
        <w:tc>
          <w:tcPr>
            <w:tcW w:w="2042" w:type="dxa"/>
            <w:vMerge w:val="continue"/>
            <w:vAlign w:val="center"/>
          </w:tcPr>
          <w:p w14:paraId="03CA6B8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560" w:type="dxa"/>
            <w:tcBorders>
              <w:right w:val="single" w:color="auto" w:sz="4" w:space="0"/>
            </w:tcBorders>
            <w:vAlign w:val="center"/>
          </w:tcPr>
          <w:p w14:paraId="6FC72E2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HZD-056-</w:t>
            </w:r>
            <w:r>
              <w:rPr>
                <w:rFonts w:hint="default" w:ascii="Times New Roman" w:hAnsi="Times New Roman" w:eastAsia="宋体" w:cs="Times New Roman"/>
                <w:color w:val="auto"/>
                <w:sz w:val="21"/>
                <w:szCs w:val="21"/>
                <w:highlight w:val="none"/>
                <w:lang w:val="en-US" w:eastAsia="zh-CN"/>
              </w:rPr>
              <w:t>I</w:t>
            </w:r>
          </w:p>
        </w:tc>
      </w:tr>
      <w:tr w14:paraId="5C0A6F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4" w:type="dxa"/>
            <w:vMerge w:val="restart"/>
            <w:tcBorders>
              <w:left w:val="single" w:color="auto" w:sz="4" w:space="0"/>
            </w:tcBorders>
            <w:vAlign w:val="center"/>
          </w:tcPr>
          <w:p w14:paraId="779E356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氨</w:t>
            </w:r>
          </w:p>
          <w:p w14:paraId="44EC16D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6" w:type="dxa"/>
            <w:vMerge w:val="restart"/>
            <w:vAlign w:val="center"/>
          </w:tcPr>
          <w:p w14:paraId="0A93B92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《环境空气和废气氨的测定纳氏试剂分光光度法》（HJ533-2009）</w:t>
            </w:r>
          </w:p>
        </w:tc>
        <w:tc>
          <w:tcPr>
            <w:tcW w:w="1801" w:type="dxa"/>
            <w:vAlign w:val="center"/>
          </w:tcPr>
          <w:p w14:paraId="35BA5C8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0.01mg/m</w:t>
            </w:r>
            <w:r>
              <w:rPr>
                <w:rFonts w:hint="default" w:ascii="Times New Roman" w:hAnsi="Times New Roman" w:eastAsia="宋体" w:cs="Times New Roman"/>
                <w:color w:val="auto"/>
                <w:sz w:val="21"/>
                <w:szCs w:val="21"/>
                <w:highlight w:val="none"/>
                <w:vertAlign w:val="superscript"/>
              </w:rPr>
              <w:t>3</w:t>
            </w:r>
          </w:p>
        </w:tc>
        <w:tc>
          <w:tcPr>
            <w:tcW w:w="2042" w:type="dxa"/>
            <w:vMerge w:val="restart"/>
            <w:vAlign w:val="center"/>
          </w:tcPr>
          <w:p w14:paraId="3841A7F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可见光分光度计/7230G</w:t>
            </w:r>
          </w:p>
          <w:p w14:paraId="695788D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综合大气采样器/XA-100</w:t>
            </w:r>
          </w:p>
        </w:tc>
        <w:tc>
          <w:tcPr>
            <w:tcW w:w="1560" w:type="dxa"/>
            <w:tcBorders>
              <w:right w:val="single" w:color="auto" w:sz="4" w:space="0"/>
            </w:tcBorders>
            <w:vAlign w:val="center"/>
          </w:tcPr>
          <w:p w14:paraId="02CBAA2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HZD-022-B</w:t>
            </w:r>
          </w:p>
        </w:tc>
      </w:tr>
      <w:tr w14:paraId="500EE3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4" w:type="dxa"/>
            <w:vMerge w:val="continue"/>
            <w:tcBorders>
              <w:left w:val="single" w:color="auto" w:sz="4" w:space="0"/>
            </w:tcBorders>
            <w:vAlign w:val="center"/>
          </w:tcPr>
          <w:p w14:paraId="0D2AA09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6" w:type="dxa"/>
            <w:vMerge w:val="continue"/>
            <w:vAlign w:val="center"/>
          </w:tcPr>
          <w:p w14:paraId="10B87F6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801" w:type="dxa"/>
            <w:vAlign w:val="center"/>
          </w:tcPr>
          <w:p w14:paraId="2D4867A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综合大气采样器/XA-100</w:t>
            </w:r>
          </w:p>
        </w:tc>
        <w:tc>
          <w:tcPr>
            <w:tcW w:w="2042" w:type="dxa"/>
            <w:vMerge w:val="continue"/>
            <w:vAlign w:val="center"/>
          </w:tcPr>
          <w:p w14:paraId="4734B27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560" w:type="dxa"/>
            <w:tcBorders>
              <w:right w:val="single" w:color="auto" w:sz="4" w:space="0"/>
            </w:tcBorders>
            <w:vAlign w:val="center"/>
          </w:tcPr>
          <w:p w14:paraId="68AC384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HZD-056-</w:t>
            </w:r>
            <w:r>
              <w:rPr>
                <w:rFonts w:hint="default" w:ascii="Times New Roman" w:hAnsi="Times New Roman" w:eastAsia="宋体" w:cs="Times New Roman"/>
                <w:color w:val="auto"/>
                <w:sz w:val="21"/>
                <w:szCs w:val="21"/>
                <w:highlight w:val="none"/>
                <w:lang w:val="en-US" w:eastAsia="zh-CN"/>
              </w:rPr>
              <w:t>I</w:t>
            </w:r>
          </w:p>
        </w:tc>
      </w:tr>
      <w:bookmarkEnd w:id="324"/>
      <w:tr w14:paraId="76871F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4" w:type="dxa"/>
            <w:vMerge w:val="restart"/>
            <w:tcBorders>
              <w:left w:val="single" w:color="auto" w:sz="4" w:space="0"/>
            </w:tcBorders>
            <w:vAlign w:val="center"/>
          </w:tcPr>
          <w:p w14:paraId="0E8979C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硫化氢</w:t>
            </w:r>
          </w:p>
          <w:p w14:paraId="5232333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2266" w:type="dxa"/>
            <w:vMerge w:val="restart"/>
            <w:vAlign w:val="center"/>
          </w:tcPr>
          <w:p w14:paraId="2A4B978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《空气和废气监测分析方法》（第四版）硫化氢第三篇第一章十一（二）亚甲基蓝分光光度法（B）</w:t>
            </w:r>
          </w:p>
        </w:tc>
        <w:tc>
          <w:tcPr>
            <w:tcW w:w="1801" w:type="dxa"/>
            <w:vAlign w:val="center"/>
          </w:tcPr>
          <w:p w14:paraId="25DC1D4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0.001mg/m</w:t>
            </w:r>
            <w:r>
              <w:rPr>
                <w:rFonts w:hint="default" w:ascii="Times New Roman" w:hAnsi="Times New Roman" w:eastAsia="宋体" w:cs="Times New Roman"/>
                <w:color w:val="auto"/>
                <w:sz w:val="21"/>
                <w:szCs w:val="21"/>
                <w:highlight w:val="none"/>
                <w:vertAlign w:val="superscript"/>
              </w:rPr>
              <w:t>3</w:t>
            </w:r>
          </w:p>
        </w:tc>
        <w:tc>
          <w:tcPr>
            <w:tcW w:w="2042" w:type="dxa"/>
            <w:vMerge w:val="restart"/>
            <w:vAlign w:val="center"/>
          </w:tcPr>
          <w:p w14:paraId="17004E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可见光分光度计/7230G</w:t>
            </w:r>
          </w:p>
          <w:p w14:paraId="2635AE5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综合大气采样器/XA-100</w:t>
            </w:r>
          </w:p>
        </w:tc>
        <w:tc>
          <w:tcPr>
            <w:tcW w:w="1560" w:type="dxa"/>
            <w:tcBorders>
              <w:right w:val="single" w:color="auto" w:sz="4" w:space="0"/>
            </w:tcBorders>
            <w:vAlign w:val="center"/>
          </w:tcPr>
          <w:p w14:paraId="6978623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HZD-022-B</w:t>
            </w:r>
          </w:p>
        </w:tc>
      </w:tr>
      <w:tr w14:paraId="3ACE20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4" w:type="dxa"/>
            <w:vMerge w:val="continue"/>
            <w:tcBorders>
              <w:left w:val="single" w:color="auto" w:sz="4" w:space="0"/>
              <w:bottom w:val="single" w:color="auto" w:sz="4" w:space="0"/>
            </w:tcBorders>
            <w:vAlign w:val="center"/>
          </w:tcPr>
          <w:p w14:paraId="55B5676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6" w:type="dxa"/>
            <w:vMerge w:val="continue"/>
            <w:tcBorders>
              <w:bottom w:val="single" w:color="auto" w:sz="4" w:space="0"/>
            </w:tcBorders>
            <w:vAlign w:val="center"/>
          </w:tcPr>
          <w:p w14:paraId="0180483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801" w:type="dxa"/>
            <w:tcBorders>
              <w:bottom w:val="single" w:color="auto" w:sz="4" w:space="0"/>
            </w:tcBorders>
            <w:vAlign w:val="center"/>
          </w:tcPr>
          <w:p w14:paraId="423D7A5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综合大气采样器/XA-100</w:t>
            </w:r>
          </w:p>
        </w:tc>
        <w:tc>
          <w:tcPr>
            <w:tcW w:w="2042" w:type="dxa"/>
            <w:vMerge w:val="continue"/>
            <w:tcBorders>
              <w:bottom w:val="single" w:color="auto" w:sz="4" w:space="0"/>
            </w:tcBorders>
            <w:vAlign w:val="center"/>
          </w:tcPr>
          <w:p w14:paraId="195AB6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560" w:type="dxa"/>
            <w:tcBorders>
              <w:bottom w:val="single" w:color="auto" w:sz="4" w:space="0"/>
              <w:right w:val="single" w:color="auto" w:sz="4" w:space="0"/>
            </w:tcBorders>
            <w:vAlign w:val="center"/>
          </w:tcPr>
          <w:p w14:paraId="6E4A5DE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HZD-056-</w:t>
            </w:r>
            <w:r>
              <w:rPr>
                <w:rFonts w:hint="default" w:ascii="Times New Roman" w:hAnsi="Times New Roman" w:eastAsia="宋体" w:cs="Times New Roman"/>
                <w:color w:val="auto"/>
                <w:sz w:val="21"/>
                <w:szCs w:val="21"/>
                <w:highlight w:val="none"/>
                <w:lang w:val="en-US" w:eastAsia="zh-CN"/>
              </w:rPr>
              <w:t>I</w:t>
            </w:r>
          </w:p>
        </w:tc>
      </w:tr>
    </w:tbl>
    <w:p w14:paraId="3187F45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5、环境空气质量现状评价</w:t>
      </w:r>
    </w:p>
    <w:p w14:paraId="4CFC0F9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（1）评价标准</w:t>
      </w:r>
    </w:p>
    <w:p w14:paraId="1B66CD9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TSP执行《环境空气质量标准》（GB3095-2012）中的二级标准，HN</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S执行《</w:t>
      </w:r>
      <w:r>
        <w:rPr>
          <w:rFonts w:hint="default" w:ascii="Times New Roman" w:hAnsi="Times New Roman" w:eastAsia="宋体" w:cs="Times New Roman"/>
          <w:color w:val="auto"/>
          <w:highlight w:val="none"/>
          <w:lang w:eastAsia="zh-CN"/>
        </w:rPr>
        <w:t>环境影响评价技术导则</w:t>
      </w:r>
      <w:r>
        <w:rPr>
          <w:rFonts w:hint="default" w:ascii="Times New Roman" w:hAnsi="Times New Roman" w:eastAsia="宋体" w:cs="Times New Roman"/>
          <w:color w:val="auto"/>
          <w:highlight w:val="none"/>
        </w:rPr>
        <w:t>大气环境》（HJ2.2-2018）附录D。</w:t>
      </w:r>
    </w:p>
    <w:p w14:paraId="1B0B7FB4">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（2）评价方法</w:t>
      </w:r>
    </w:p>
    <w:p w14:paraId="5C820F3A">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大气环境现状评价采用单因子指数法。单因子指数法公式如下：</w:t>
      </w:r>
    </w:p>
    <w:p w14:paraId="37E94858">
      <w:pPr>
        <w:pageBreakBefore w:val="0"/>
        <w:kinsoku/>
        <w:wordWrap/>
        <w:bidi w:val="0"/>
        <w:snapToGrid w:val="0"/>
        <w:spacing w:line="360" w:lineRule="auto"/>
        <w:ind w:left="0" w:leftChars="0" w:right="0" w:rightChars="0"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Pi=C</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/C</w:t>
      </w:r>
      <w:r>
        <w:rPr>
          <w:rFonts w:hint="default" w:ascii="Times New Roman" w:hAnsi="Times New Roman" w:eastAsia="宋体" w:cs="Times New Roman"/>
          <w:color w:val="auto"/>
          <w:highlight w:val="none"/>
          <w:vertAlign w:val="subscript"/>
        </w:rPr>
        <w:t>0i</w:t>
      </w:r>
    </w:p>
    <w:p w14:paraId="05057511">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p>
    <w:p w14:paraId="61F2BEB4">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—i污染物的单因子指数；</w:t>
      </w:r>
    </w:p>
    <w:p w14:paraId="67780554">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—i污染物的浓度，mg/m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p w14:paraId="337EA2AF">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w:t>
      </w:r>
      <w:r>
        <w:rPr>
          <w:rFonts w:hint="default" w:ascii="Times New Roman" w:hAnsi="Times New Roman" w:eastAsia="宋体" w:cs="Times New Roman"/>
          <w:color w:val="auto"/>
          <w:highlight w:val="none"/>
          <w:vertAlign w:val="subscript"/>
        </w:rPr>
        <w:t>0i</w:t>
      </w:r>
      <w:r>
        <w:rPr>
          <w:rFonts w:hint="default" w:ascii="Times New Roman" w:hAnsi="Times New Roman" w:eastAsia="宋体" w:cs="Times New Roman"/>
          <w:color w:val="auto"/>
          <w:highlight w:val="none"/>
        </w:rPr>
        <w:t>—i污染物的评价标准，mg/m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p w14:paraId="0ABF5C73">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6、监测结果及评价结果</w:t>
      </w:r>
    </w:p>
    <w:p w14:paraId="4215A96A">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（1）气象条件</w:t>
      </w:r>
    </w:p>
    <w:p w14:paraId="79F9ACBB">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监测期间气象条件见下表。</w:t>
      </w:r>
    </w:p>
    <w:p w14:paraId="3FE88916">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snapToGrid w:val="0"/>
          <w:color w:val="auto"/>
          <w:sz w:val="24"/>
          <w:szCs w:val="24"/>
          <w:highlight w:val="none"/>
        </w:rPr>
        <w:t>表4.2-4</w:t>
      </w:r>
      <w:r>
        <w:rPr>
          <w:rFonts w:hint="default" w:ascii="Times New Roman" w:hAnsi="Times New Roman" w:eastAsia="宋体" w:cs="Times New Roman"/>
          <w:color w:val="auto"/>
          <w:sz w:val="24"/>
          <w:szCs w:val="24"/>
          <w:highlight w:val="none"/>
        </w:rPr>
        <w:t>监测期间气象参数一览表</w:t>
      </w:r>
    </w:p>
    <w:tbl>
      <w:tblPr>
        <w:tblStyle w:val="40"/>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5"/>
        <w:gridCol w:w="1659"/>
        <w:gridCol w:w="1077"/>
        <w:gridCol w:w="1109"/>
        <w:gridCol w:w="1459"/>
        <w:gridCol w:w="884"/>
        <w:gridCol w:w="1164"/>
      </w:tblGrid>
      <w:tr w14:paraId="5A2A7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noWrap w:val="0"/>
            <w:vAlign w:val="center"/>
          </w:tcPr>
          <w:p w14:paraId="6B81EA06">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采样日期</w:t>
            </w:r>
          </w:p>
        </w:tc>
        <w:tc>
          <w:tcPr>
            <w:tcW w:w="2268" w:type="dxa"/>
            <w:noWrap w:val="0"/>
            <w:vAlign w:val="center"/>
          </w:tcPr>
          <w:p w14:paraId="5F59DFC7">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采样时间</w:t>
            </w:r>
          </w:p>
        </w:tc>
        <w:tc>
          <w:tcPr>
            <w:tcW w:w="1440" w:type="dxa"/>
            <w:noWrap w:val="0"/>
            <w:vAlign w:val="center"/>
          </w:tcPr>
          <w:p w14:paraId="5E89D9D7">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平均气温</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w:t>
            </w:r>
            <w:r>
              <w:rPr>
                <w:rFonts w:hint="default" w:ascii="Times New Roman" w:hAnsi="Times New Roman" w:eastAsia="宋体" w:cs="Times New Roman"/>
                <w:b/>
                <w:bCs/>
                <w:color w:val="auto"/>
                <w:sz w:val="21"/>
                <w:szCs w:val="21"/>
                <w:highlight w:val="none"/>
                <w:lang w:eastAsia="zh-CN"/>
              </w:rPr>
              <w:t>）</w:t>
            </w:r>
          </w:p>
        </w:tc>
        <w:tc>
          <w:tcPr>
            <w:tcW w:w="1485" w:type="dxa"/>
            <w:noWrap w:val="0"/>
            <w:vAlign w:val="center"/>
          </w:tcPr>
          <w:p w14:paraId="727FD6C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大气压（kPa）</w:t>
            </w:r>
          </w:p>
        </w:tc>
        <w:tc>
          <w:tcPr>
            <w:tcW w:w="1984" w:type="dxa"/>
            <w:noWrap w:val="0"/>
            <w:vAlign w:val="center"/>
          </w:tcPr>
          <w:p w14:paraId="63736CB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风向（度）</w:t>
            </w:r>
          </w:p>
        </w:tc>
        <w:tc>
          <w:tcPr>
            <w:tcW w:w="1165" w:type="dxa"/>
            <w:noWrap w:val="0"/>
            <w:vAlign w:val="center"/>
          </w:tcPr>
          <w:p w14:paraId="535354A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风速</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m/s</w:t>
            </w:r>
            <w:r>
              <w:rPr>
                <w:rFonts w:hint="default" w:ascii="Times New Roman" w:hAnsi="Times New Roman" w:eastAsia="宋体" w:cs="Times New Roman"/>
                <w:b/>
                <w:bCs/>
                <w:color w:val="auto"/>
                <w:sz w:val="21"/>
                <w:szCs w:val="21"/>
                <w:highlight w:val="none"/>
                <w:lang w:eastAsia="zh-CN"/>
              </w:rPr>
              <w:t>）</w:t>
            </w:r>
          </w:p>
        </w:tc>
        <w:tc>
          <w:tcPr>
            <w:tcW w:w="1563" w:type="dxa"/>
            <w:noWrap w:val="0"/>
            <w:vAlign w:val="center"/>
          </w:tcPr>
          <w:p w14:paraId="11D40AB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天气状况</w:t>
            </w:r>
          </w:p>
        </w:tc>
      </w:tr>
      <w:tr w14:paraId="0D2E6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restart"/>
            <w:noWrap w:val="0"/>
            <w:vAlign w:val="center"/>
          </w:tcPr>
          <w:p w14:paraId="6A2AD70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2022-</w:t>
            </w:r>
            <w:r>
              <w:rPr>
                <w:rFonts w:hint="default" w:ascii="Times New Roman" w:hAnsi="Times New Roman" w:eastAsia="宋体" w:cs="Times New Roman"/>
                <w:color w:val="auto"/>
                <w:sz w:val="21"/>
                <w:szCs w:val="21"/>
                <w:highlight w:val="none"/>
                <w:lang w:val="en-US" w:eastAsia="zh-CN"/>
              </w:rPr>
              <w:t>12</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03</w:t>
            </w:r>
          </w:p>
        </w:tc>
        <w:tc>
          <w:tcPr>
            <w:tcW w:w="2268" w:type="dxa"/>
            <w:noWrap w:val="0"/>
            <w:vAlign w:val="center"/>
          </w:tcPr>
          <w:p w14:paraId="2EDAC14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00-03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12305586">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-11.9</w:t>
            </w:r>
          </w:p>
        </w:tc>
        <w:tc>
          <w:tcPr>
            <w:tcW w:w="1485" w:type="dxa"/>
            <w:noWrap w:val="0"/>
            <w:vAlign w:val="center"/>
          </w:tcPr>
          <w:p w14:paraId="38B2F99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86.93</w:t>
            </w:r>
          </w:p>
        </w:tc>
        <w:tc>
          <w:tcPr>
            <w:tcW w:w="1984" w:type="dxa"/>
            <w:noWrap w:val="0"/>
            <w:vAlign w:val="center"/>
          </w:tcPr>
          <w:p w14:paraId="53AC13F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西北风315°</w:t>
            </w:r>
          </w:p>
        </w:tc>
        <w:tc>
          <w:tcPr>
            <w:tcW w:w="1165" w:type="dxa"/>
            <w:noWrap w:val="0"/>
            <w:vAlign w:val="center"/>
          </w:tcPr>
          <w:p w14:paraId="6E3863B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w:t>
            </w:r>
          </w:p>
        </w:tc>
        <w:tc>
          <w:tcPr>
            <w:tcW w:w="1563" w:type="dxa"/>
            <w:noWrap w:val="0"/>
            <w:vAlign w:val="center"/>
          </w:tcPr>
          <w:p w14:paraId="40877E1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6C6EF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3B1AE8D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691DA8B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00-09</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7D65D2D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-10.8</w:t>
            </w:r>
          </w:p>
        </w:tc>
        <w:tc>
          <w:tcPr>
            <w:tcW w:w="1485" w:type="dxa"/>
            <w:noWrap w:val="0"/>
            <w:vAlign w:val="center"/>
          </w:tcPr>
          <w:p w14:paraId="644508C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86.72</w:t>
            </w:r>
          </w:p>
        </w:tc>
        <w:tc>
          <w:tcPr>
            <w:tcW w:w="1984" w:type="dxa"/>
            <w:noWrap w:val="0"/>
            <w:vAlign w:val="center"/>
          </w:tcPr>
          <w:p w14:paraId="4F3706A7">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西北风330°</w:t>
            </w:r>
          </w:p>
        </w:tc>
        <w:tc>
          <w:tcPr>
            <w:tcW w:w="1165" w:type="dxa"/>
            <w:noWrap w:val="0"/>
            <w:vAlign w:val="center"/>
          </w:tcPr>
          <w:p w14:paraId="54B1307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w:t>
            </w:r>
          </w:p>
        </w:tc>
        <w:tc>
          <w:tcPr>
            <w:tcW w:w="1563" w:type="dxa"/>
            <w:noWrap w:val="0"/>
            <w:vAlign w:val="center"/>
          </w:tcPr>
          <w:p w14:paraId="2CD43DA0">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3B869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23CAEFD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1061C4A1">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00-15</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3B78834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w:t>
            </w:r>
          </w:p>
        </w:tc>
        <w:tc>
          <w:tcPr>
            <w:tcW w:w="1485" w:type="dxa"/>
            <w:noWrap w:val="0"/>
            <w:vAlign w:val="center"/>
          </w:tcPr>
          <w:p w14:paraId="4307469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86.64</w:t>
            </w:r>
          </w:p>
        </w:tc>
        <w:tc>
          <w:tcPr>
            <w:tcW w:w="1984" w:type="dxa"/>
            <w:noWrap w:val="0"/>
            <w:vAlign w:val="center"/>
          </w:tcPr>
          <w:p w14:paraId="7AF24E9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西北风320°</w:t>
            </w:r>
          </w:p>
        </w:tc>
        <w:tc>
          <w:tcPr>
            <w:tcW w:w="1165" w:type="dxa"/>
            <w:noWrap w:val="0"/>
            <w:vAlign w:val="center"/>
          </w:tcPr>
          <w:p w14:paraId="076B50D1">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w:t>
            </w:r>
          </w:p>
        </w:tc>
        <w:tc>
          <w:tcPr>
            <w:tcW w:w="1563" w:type="dxa"/>
            <w:noWrap w:val="0"/>
            <w:vAlign w:val="center"/>
          </w:tcPr>
          <w:p w14:paraId="59C7FA37">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7DE79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336E66D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6AB8EBD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00-21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6574CB9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w:t>
            </w:r>
          </w:p>
        </w:tc>
        <w:tc>
          <w:tcPr>
            <w:tcW w:w="1485" w:type="dxa"/>
            <w:noWrap w:val="0"/>
            <w:vAlign w:val="center"/>
          </w:tcPr>
          <w:p w14:paraId="2CAFC24B">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86.88</w:t>
            </w:r>
          </w:p>
        </w:tc>
        <w:tc>
          <w:tcPr>
            <w:tcW w:w="1984" w:type="dxa"/>
            <w:noWrap w:val="0"/>
            <w:vAlign w:val="center"/>
          </w:tcPr>
          <w:p w14:paraId="3CB30A7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西北风330°</w:t>
            </w:r>
          </w:p>
        </w:tc>
        <w:tc>
          <w:tcPr>
            <w:tcW w:w="1165" w:type="dxa"/>
            <w:noWrap w:val="0"/>
            <w:vAlign w:val="center"/>
          </w:tcPr>
          <w:p w14:paraId="00C3B99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c>
          <w:tcPr>
            <w:tcW w:w="1563" w:type="dxa"/>
            <w:noWrap w:val="0"/>
            <w:vAlign w:val="center"/>
          </w:tcPr>
          <w:p w14:paraId="119A1B3F">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7096E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37A1FD94">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7892669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08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13</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次日</w:t>
            </w: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13</w:t>
            </w:r>
          </w:p>
        </w:tc>
        <w:tc>
          <w:tcPr>
            <w:tcW w:w="1440" w:type="dxa"/>
            <w:noWrap w:val="0"/>
            <w:vAlign w:val="center"/>
          </w:tcPr>
          <w:p w14:paraId="7BD6DD8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-8.5</w:t>
            </w:r>
          </w:p>
        </w:tc>
        <w:tc>
          <w:tcPr>
            <w:tcW w:w="1485" w:type="dxa"/>
            <w:noWrap w:val="0"/>
            <w:vAlign w:val="center"/>
          </w:tcPr>
          <w:p w14:paraId="704CEA0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86.82</w:t>
            </w:r>
          </w:p>
        </w:tc>
        <w:tc>
          <w:tcPr>
            <w:tcW w:w="1984" w:type="dxa"/>
            <w:noWrap w:val="0"/>
            <w:vAlign w:val="center"/>
          </w:tcPr>
          <w:p w14:paraId="4F1E725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西北风325°</w:t>
            </w:r>
          </w:p>
        </w:tc>
        <w:tc>
          <w:tcPr>
            <w:tcW w:w="1165" w:type="dxa"/>
            <w:noWrap w:val="0"/>
            <w:vAlign w:val="center"/>
          </w:tcPr>
          <w:p w14:paraId="1015362F">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w:t>
            </w:r>
          </w:p>
        </w:tc>
        <w:tc>
          <w:tcPr>
            <w:tcW w:w="1563" w:type="dxa"/>
            <w:noWrap w:val="0"/>
            <w:vAlign w:val="center"/>
          </w:tcPr>
          <w:p w14:paraId="3C67D44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0C5A0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restart"/>
            <w:noWrap w:val="0"/>
            <w:vAlign w:val="center"/>
          </w:tcPr>
          <w:p w14:paraId="7B75265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2022-</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04</w:t>
            </w:r>
          </w:p>
        </w:tc>
        <w:tc>
          <w:tcPr>
            <w:tcW w:w="2268" w:type="dxa"/>
            <w:noWrap w:val="0"/>
            <w:vAlign w:val="center"/>
          </w:tcPr>
          <w:p w14:paraId="2765F46F">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00-03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21C75604">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-9.8</w:t>
            </w:r>
          </w:p>
        </w:tc>
        <w:tc>
          <w:tcPr>
            <w:tcW w:w="1485" w:type="dxa"/>
            <w:noWrap w:val="0"/>
            <w:vAlign w:val="center"/>
          </w:tcPr>
          <w:p w14:paraId="3B346D6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86.86</w:t>
            </w:r>
          </w:p>
        </w:tc>
        <w:tc>
          <w:tcPr>
            <w:tcW w:w="1984" w:type="dxa"/>
            <w:noWrap w:val="0"/>
            <w:vAlign w:val="center"/>
          </w:tcPr>
          <w:p w14:paraId="17C31A2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西北风315°</w:t>
            </w:r>
          </w:p>
        </w:tc>
        <w:tc>
          <w:tcPr>
            <w:tcW w:w="1165" w:type="dxa"/>
            <w:noWrap w:val="0"/>
            <w:vAlign w:val="center"/>
          </w:tcPr>
          <w:p w14:paraId="1E9C6B2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w:t>
            </w:r>
          </w:p>
        </w:tc>
        <w:tc>
          <w:tcPr>
            <w:tcW w:w="1563" w:type="dxa"/>
            <w:noWrap w:val="0"/>
            <w:vAlign w:val="center"/>
          </w:tcPr>
          <w:p w14:paraId="075771D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3CF7F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42DAEE1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5BC0503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00-09</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5B9C9E6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-8.9</w:t>
            </w:r>
          </w:p>
        </w:tc>
        <w:tc>
          <w:tcPr>
            <w:tcW w:w="1485" w:type="dxa"/>
            <w:noWrap w:val="0"/>
            <w:vAlign w:val="center"/>
          </w:tcPr>
          <w:p w14:paraId="74A1B22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86.79</w:t>
            </w:r>
          </w:p>
        </w:tc>
        <w:tc>
          <w:tcPr>
            <w:tcW w:w="1984" w:type="dxa"/>
            <w:noWrap w:val="0"/>
            <w:vAlign w:val="center"/>
          </w:tcPr>
          <w:p w14:paraId="402FC9A9">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西北风320°</w:t>
            </w:r>
          </w:p>
        </w:tc>
        <w:tc>
          <w:tcPr>
            <w:tcW w:w="1165" w:type="dxa"/>
            <w:noWrap w:val="0"/>
            <w:vAlign w:val="center"/>
          </w:tcPr>
          <w:p w14:paraId="3B314A9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w:t>
            </w:r>
          </w:p>
        </w:tc>
        <w:tc>
          <w:tcPr>
            <w:tcW w:w="1563" w:type="dxa"/>
            <w:noWrap w:val="0"/>
            <w:vAlign w:val="center"/>
          </w:tcPr>
          <w:p w14:paraId="1265EF77">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5B1D1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625E2CFB">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02B7339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00-15</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1336BF7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-3.6</w:t>
            </w:r>
          </w:p>
        </w:tc>
        <w:tc>
          <w:tcPr>
            <w:tcW w:w="1485" w:type="dxa"/>
            <w:noWrap w:val="0"/>
            <w:vAlign w:val="center"/>
          </w:tcPr>
          <w:p w14:paraId="30F4F07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86.65</w:t>
            </w:r>
          </w:p>
        </w:tc>
        <w:tc>
          <w:tcPr>
            <w:tcW w:w="1984" w:type="dxa"/>
            <w:noWrap w:val="0"/>
            <w:vAlign w:val="center"/>
          </w:tcPr>
          <w:p w14:paraId="0D5D402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西北风325°</w:t>
            </w:r>
          </w:p>
        </w:tc>
        <w:tc>
          <w:tcPr>
            <w:tcW w:w="1165" w:type="dxa"/>
            <w:noWrap w:val="0"/>
            <w:vAlign w:val="center"/>
          </w:tcPr>
          <w:p w14:paraId="1450681F">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w:t>
            </w:r>
          </w:p>
        </w:tc>
        <w:tc>
          <w:tcPr>
            <w:tcW w:w="1563" w:type="dxa"/>
            <w:noWrap w:val="0"/>
            <w:vAlign w:val="center"/>
          </w:tcPr>
          <w:p w14:paraId="6CF8D2E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2692B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7695967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3217C88B">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00-21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532AA7E6">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-7.8</w:t>
            </w:r>
          </w:p>
        </w:tc>
        <w:tc>
          <w:tcPr>
            <w:tcW w:w="1485" w:type="dxa"/>
            <w:noWrap w:val="0"/>
            <w:vAlign w:val="center"/>
          </w:tcPr>
          <w:p w14:paraId="2734538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86.80</w:t>
            </w:r>
          </w:p>
        </w:tc>
        <w:tc>
          <w:tcPr>
            <w:tcW w:w="1984" w:type="dxa"/>
            <w:noWrap w:val="0"/>
            <w:vAlign w:val="center"/>
          </w:tcPr>
          <w:p w14:paraId="7B2408B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西北风335°</w:t>
            </w:r>
          </w:p>
        </w:tc>
        <w:tc>
          <w:tcPr>
            <w:tcW w:w="1165" w:type="dxa"/>
            <w:noWrap w:val="0"/>
            <w:vAlign w:val="center"/>
          </w:tcPr>
          <w:p w14:paraId="139D734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c>
          <w:tcPr>
            <w:tcW w:w="1563" w:type="dxa"/>
            <w:noWrap w:val="0"/>
            <w:vAlign w:val="center"/>
          </w:tcPr>
          <w:p w14:paraId="30AFA711">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3E845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70DD23B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0D6B169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19</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次日</w:t>
            </w: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19</w:t>
            </w:r>
          </w:p>
        </w:tc>
        <w:tc>
          <w:tcPr>
            <w:tcW w:w="1440" w:type="dxa"/>
            <w:noWrap w:val="0"/>
            <w:vAlign w:val="center"/>
          </w:tcPr>
          <w:p w14:paraId="186048A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c>
          <w:tcPr>
            <w:tcW w:w="1485" w:type="dxa"/>
            <w:noWrap w:val="0"/>
            <w:vAlign w:val="center"/>
          </w:tcPr>
          <w:p w14:paraId="47B7D10F">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86.78</w:t>
            </w:r>
          </w:p>
        </w:tc>
        <w:tc>
          <w:tcPr>
            <w:tcW w:w="1984" w:type="dxa"/>
            <w:noWrap w:val="0"/>
            <w:vAlign w:val="center"/>
          </w:tcPr>
          <w:p w14:paraId="0E220567">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西北风335°</w:t>
            </w:r>
          </w:p>
        </w:tc>
        <w:tc>
          <w:tcPr>
            <w:tcW w:w="1165" w:type="dxa"/>
            <w:noWrap w:val="0"/>
            <w:vAlign w:val="center"/>
          </w:tcPr>
          <w:p w14:paraId="1604B46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w:t>
            </w:r>
          </w:p>
        </w:tc>
        <w:tc>
          <w:tcPr>
            <w:tcW w:w="1563" w:type="dxa"/>
            <w:noWrap w:val="0"/>
            <w:vAlign w:val="center"/>
          </w:tcPr>
          <w:p w14:paraId="3E295E94">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49A78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restart"/>
            <w:noWrap w:val="0"/>
            <w:vAlign w:val="center"/>
          </w:tcPr>
          <w:p w14:paraId="159792B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2022-</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05</w:t>
            </w:r>
          </w:p>
        </w:tc>
        <w:tc>
          <w:tcPr>
            <w:tcW w:w="2268" w:type="dxa"/>
            <w:noWrap w:val="0"/>
            <w:vAlign w:val="center"/>
          </w:tcPr>
          <w:p w14:paraId="4ECD4EE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00-03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6BE4A8AB">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-7.9</w:t>
            </w:r>
          </w:p>
        </w:tc>
        <w:tc>
          <w:tcPr>
            <w:tcW w:w="1485" w:type="dxa"/>
            <w:noWrap w:val="0"/>
            <w:vAlign w:val="center"/>
          </w:tcPr>
          <w:p w14:paraId="0A1C0784">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86.74</w:t>
            </w:r>
          </w:p>
        </w:tc>
        <w:tc>
          <w:tcPr>
            <w:tcW w:w="1984" w:type="dxa"/>
            <w:noWrap w:val="0"/>
            <w:vAlign w:val="center"/>
          </w:tcPr>
          <w:p w14:paraId="3646543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东北风45°</w:t>
            </w:r>
          </w:p>
        </w:tc>
        <w:tc>
          <w:tcPr>
            <w:tcW w:w="1165" w:type="dxa"/>
            <w:noWrap w:val="0"/>
            <w:vAlign w:val="center"/>
          </w:tcPr>
          <w:p w14:paraId="5494940F">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w:t>
            </w:r>
          </w:p>
        </w:tc>
        <w:tc>
          <w:tcPr>
            <w:tcW w:w="1563" w:type="dxa"/>
            <w:noWrap w:val="0"/>
            <w:vAlign w:val="center"/>
          </w:tcPr>
          <w:p w14:paraId="25E4EF8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晴</w:t>
            </w:r>
          </w:p>
        </w:tc>
      </w:tr>
      <w:tr w14:paraId="3F3AF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103B01B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0E6E86E0">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00-09</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6D82D051">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-7.2</w:t>
            </w:r>
          </w:p>
        </w:tc>
        <w:tc>
          <w:tcPr>
            <w:tcW w:w="1485" w:type="dxa"/>
            <w:noWrap w:val="0"/>
            <w:vAlign w:val="center"/>
          </w:tcPr>
          <w:p w14:paraId="3F08965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86.70</w:t>
            </w:r>
          </w:p>
        </w:tc>
        <w:tc>
          <w:tcPr>
            <w:tcW w:w="1984" w:type="dxa"/>
            <w:noWrap w:val="0"/>
            <w:vAlign w:val="center"/>
          </w:tcPr>
          <w:p w14:paraId="46E9868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东北风50°</w:t>
            </w:r>
          </w:p>
        </w:tc>
        <w:tc>
          <w:tcPr>
            <w:tcW w:w="1165" w:type="dxa"/>
            <w:noWrap w:val="0"/>
            <w:vAlign w:val="center"/>
          </w:tcPr>
          <w:p w14:paraId="219F5BE0">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w:t>
            </w:r>
          </w:p>
        </w:tc>
        <w:tc>
          <w:tcPr>
            <w:tcW w:w="1563" w:type="dxa"/>
            <w:noWrap w:val="0"/>
            <w:vAlign w:val="center"/>
          </w:tcPr>
          <w:p w14:paraId="43BCE91F">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60A55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5C46192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2E9CAFE1">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00-15</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7D911494">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-3.6</w:t>
            </w:r>
          </w:p>
        </w:tc>
        <w:tc>
          <w:tcPr>
            <w:tcW w:w="1485" w:type="dxa"/>
            <w:noWrap w:val="0"/>
            <w:vAlign w:val="center"/>
          </w:tcPr>
          <w:p w14:paraId="2C210CA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86.56</w:t>
            </w:r>
          </w:p>
        </w:tc>
        <w:tc>
          <w:tcPr>
            <w:tcW w:w="1984" w:type="dxa"/>
            <w:noWrap w:val="0"/>
            <w:vAlign w:val="center"/>
          </w:tcPr>
          <w:p w14:paraId="6CAA568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东北风40°</w:t>
            </w:r>
          </w:p>
        </w:tc>
        <w:tc>
          <w:tcPr>
            <w:tcW w:w="1165" w:type="dxa"/>
            <w:noWrap w:val="0"/>
            <w:vAlign w:val="center"/>
          </w:tcPr>
          <w:p w14:paraId="0D674F1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w:t>
            </w:r>
          </w:p>
        </w:tc>
        <w:tc>
          <w:tcPr>
            <w:tcW w:w="1563" w:type="dxa"/>
            <w:noWrap w:val="0"/>
            <w:vAlign w:val="center"/>
          </w:tcPr>
          <w:p w14:paraId="61677D9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74830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7BE48B14">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4281950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00-21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44136C14">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-6.9</w:t>
            </w:r>
          </w:p>
        </w:tc>
        <w:tc>
          <w:tcPr>
            <w:tcW w:w="1485" w:type="dxa"/>
            <w:noWrap w:val="0"/>
            <w:vAlign w:val="center"/>
          </w:tcPr>
          <w:p w14:paraId="0D74C7E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86.63</w:t>
            </w:r>
          </w:p>
        </w:tc>
        <w:tc>
          <w:tcPr>
            <w:tcW w:w="1984" w:type="dxa"/>
            <w:noWrap w:val="0"/>
            <w:vAlign w:val="center"/>
          </w:tcPr>
          <w:p w14:paraId="7A5C22E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东北风35°</w:t>
            </w:r>
          </w:p>
        </w:tc>
        <w:tc>
          <w:tcPr>
            <w:tcW w:w="1165" w:type="dxa"/>
            <w:noWrap w:val="0"/>
            <w:vAlign w:val="center"/>
          </w:tcPr>
          <w:p w14:paraId="357B9F04">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w:t>
            </w:r>
          </w:p>
        </w:tc>
        <w:tc>
          <w:tcPr>
            <w:tcW w:w="1563" w:type="dxa"/>
            <w:noWrap w:val="0"/>
            <w:vAlign w:val="center"/>
          </w:tcPr>
          <w:p w14:paraId="4709EAA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6D936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6FE9378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67D676C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23</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次日</w:t>
            </w: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23</w:t>
            </w:r>
          </w:p>
        </w:tc>
        <w:tc>
          <w:tcPr>
            <w:tcW w:w="1440" w:type="dxa"/>
            <w:noWrap w:val="0"/>
            <w:vAlign w:val="center"/>
          </w:tcPr>
          <w:p w14:paraId="3C04953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-5.3</w:t>
            </w:r>
          </w:p>
        </w:tc>
        <w:tc>
          <w:tcPr>
            <w:tcW w:w="1485" w:type="dxa"/>
            <w:noWrap w:val="0"/>
            <w:vAlign w:val="center"/>
          </w:tcPr>
          <w:p w14:paraId="15A1338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86.73</w:t>
            </w:r>
          </w:p>
        </w:tc>
        <w:tc>
          <w:tcPr>
            <w:tcW w:w="1984" w:type="dxa"/>
            <w:noWrap w:val="0"/>
            <w:vAlign w:val="center"/>
          </w:tcPr>
          <w:p w14:paraId="4F52A27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东北风40°</w:t>
            </w:r>
          </w:p>
        </w:tc>
        <w:tc>
          <w:tcPr>
            <w:tcW w:w="1165" w:type="dxa"/>
            <w:noWrap w:val="0"/>
            <w:vAlign w:val="center"/>
          </w:tcPr>
          <w:p w14:paraId="17598F9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w:t>
            </w:r>
          </w:p>
        </w:tc>
        <w:tc>
          <w:tcPr>
            <w:tcW w:w="1563" w:type="dxa"/>
            <w:noWrap w:val="0"/>
            <w:vAlign w:val="center"/>
          </w:tcPr>
          <w:p w14:paraId="6436CF5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7CDF1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restart"/>
            <w:noWrap w:val="0"/>
            <w:vAlign w:val="center"/>
          </w:tcPr>
          <w:p w14:paraId="0AFE4F4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2022-</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06</w:t>
            </w:r>
          </w:p>
        </w:tc>
        <w:tc>
          <w:tcPr>
            <w:tcW w:w="2268" w:type="dxa"/>
            <w:noWrap w:val="0"/>
            <w:vAlign w:val="center"/>
          </w:tcPr>
          <w:p w14:paraId="10CA7FB4">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00-03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670687A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-9.8</w:t>
            </w:r>
          </w:p>
        </w:tc>
        <w:tc>
          <w:tcPr>
            <w:tcW w:w="1485" w:type="dxa"/>
            <w:noWrap w:val="0"/>
            <w:vAlign w:val="center"/>
          </w:tcPr>
          <w:p w14:paraId="65D99B90">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86.80</w:t>
            </w:r>
          </w:p>
        </w:tc>
        <w:tc>
          <w:tcPr>
            <w:tcW w:w="1984" w:type="dxa"/>
            <w:noWrap w:val="0"/>
            <w:vAlign w:val="center"/>
          </w:tcPr>
          <w:p w14:paraId="084E4379">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东北风35°</w:t>
            </w:r>
          </w:p>
        </w:tc>
        <w:tc>
          <w:tcPr>
            <w:tcW w:w="1165" w:type="dxa"/>
            <w:noWrap w:val="0"/>
            <w:vAlign w:val="center"/>
          </w:tcPr>
          <w:p w14:paraId="2951DDE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c>
          <w:tcPr>
            <w:tcW w:w="1563" w:type="dxa"/>
            <w:noWrap w:val="0"/>
            <w:vAlign w:val="center"/>
          </w:tcPr>
          <w:p w14:paraId="2CF63F9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晴</w:t>
            </w:r>
          </w:p>
        </w:tc>
      </w:tr>
      <w:tr w14:paraId="5CE74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29F95AB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7522D4AF">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00-09</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1C650B46">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-8.1</w:t>
            </w:r>
          </w:p>
        </w:tc>
        <w:tc>
          <w:tcPr>
            <w:tcW w:w="1485" w:type="dxa"/>
            <w:noWrap w:val="0"/>
            <w:vAlign w:val="center"/>
          </w:tcPr>
          <w:p w14:paraId="08C4CEE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86.79</w:t>
            </w:r>
          </w:p>
        </w:tc>
        <w:tc>
          <w:tcPr>
            <w:tcW w:w="1984" w:type="dxa"/>
            <w:noWrap w:val="0"/>
            <w:vAlign w:val="center"/>
          </w:tcPr>
          <w:p w14:paraId="2904943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东北风30°</w:t>
            </w:r>
          </w:p>
        </w:tc>
        <w:tc>
          <w:tcPr>
            <w:tcW w:w="1165" w:type="dxa"/>
            <w:noWrap w:val="0"/>
            <w:vAlign w:val="center"/>
          </w:tcPr>
          <w:p w14:paraId="61F37EF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w:t>
            </w:r>
          </w:p>
        </w:tc>
        <w:tc>
          <w:tcPr>
            <w:tcW w:w="1563" w:type="dxa"/>
            <w:noWrap w:val="0"/>
            <w:vAlign w:val="center"/>
          </w:tcPr>
          <w:p w14:paraId="1E4B8EE4">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11B7B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7004461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0D0716D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00-15</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3AAD82BB">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-1.9</w:t>
            </w:r>
          </w:p>
        </w:tc>
        <w:tc>
          <w:tcPr>
            <w:tcW w:w="1485" w:type="dxa"/>
            <w:noWrap w:val="0"/>
            <w:vAlign w:val="center"/>
          </w:tcPr>
          <w:p w14:paraId="0D55829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86.65</w:t>
            </w:r>
          </w:p>
        </w:tc>
        <w:tc>
          <w:tcPr>
            <w:tcW w:w="1984" w:type="dxa"/>
            <w:noWrap w:val="0"/>
            <w:vAlign w:val="center"/>
          </w:tcPr>
          <w:p w14:paraId="18A95C77">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东北风45°</w:t>
            </w:r>
          </w:p>
        </w:tc>
        <w:tc>
          <w:tcPr>
            <w:tcW w:w="1165" w:type="dxa"/>
            <w:noWrap w:val="0"/>
            <w:vAlign w:val="center"/>
          </w:tcPr>
          <w:p w14:paraId="4915FAD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w:t>
            </w:r>
          </w:p>
        </w:tc>
        <w:tc>
          <w:tcPr>
            <w:tcW w:w="1563" w:type="dxa"/>
            <w:noWrap w:val="0"/>
            <w:vAlign w:val="center"/>
          </w:tcPr>
          <w:p w14:paraId="7892F22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20D45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21AAE444">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63D37FC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00-21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267AA62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-7.1</w:t>
            </w:r>
          </w:p>
        </w:tc>
        <w:tc>
          <w:tcPr>
            <w:tcW w:w="1485" w:type="dxa"/>
            <w:noWrap w:val="0"/>
            <w:vAlign w:val="center"/>
          </w:tcPr>
          <w:p w14:paraId="6302D3B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86.74</w:t>
            </w:r>
          </w:p>
        </w:tc>
        <w:tc>
          <w:tcPr>
            <w:tcW w:w="1984" w:type="dxa"/>
            <w:noWrap w:val="0"/>
            <w:vAlign w:val="center"/>
          </w:tcPr>
          <w:p w14:paraId="01F4936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东北风50°</w:t>
            </w:r>
          </w:p>
        </w:tc>
        <w:tc>
          <w:tcPr>
            <w:tcW w:w="1165" w:type="dxa"/>
            <w:noWrap w:val="0"/>
            <w:vAlign w:val="center"/>
          </w:tcPr>
          <w:p w14:paraId="0F2E4927">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c>
          <w:tcPr>
            <w:tcW w:w="1563" w:type="dxa"/>
            <w:noWrap w:val="0"/>
            <w:vAlign w:val="center"/>
          </w:tcPr>
          <w:p w14:paraId="7B42D33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52420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5D0BE1F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615F5BD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08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28</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次日</w:t>
            </w: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28</w:t>
            </w:r>
          </w:p>
        </w:tc>
        <w:tc>
          <w:tcPr>
            <w:tcW w:w="1440" w:type="dxa"/>
            <w:noWrap w:val="0"/>
            <w:vAlign w:val="center"/>
          </w:tcPr>
          <w:p w14:paraId="617E50E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-5.7</w:t>
            </w:r>
          </w:p>
        </w:tc>
        <w:tc>
          <w:tcPr>
            <w:tcW w:w="1485" w:type="dxa"/>
            <w:noWrap w:val="0"/>
            <w:vAlign w:val="center"/>
          </w:tcPr>
          <w:p w14:paraId="456F0711">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86.75</w:t>
            </w:r>
          </w:p>
        </w:tc>
        <w:tc>
          <w:tcPr>
            <w:tcW w:w="1984" w:type="dxa"/>
            <w:noWrap w:val="0"/>
            <w:vAlign w:val="center"/>
          </w:tcPr>
          <w:p w14:paraId="152A576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东北风45°</w:t>
            </w:r>
          </w:p>
        </w:tc>
        <w:tc>
          <w:tcPr>
            <w:tcW w:w="1165" w:type="dxa"/>
            <w:noWrap w:val="0"/>
            <w:vAlign w:val="center"/>
          </w:tcPr>
          <w:p w14:paraId="6012FB3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1563" w:type="dxa"/>
            <w:noWrap w:val="0"/>
            <w:vAlign w:val="center"/>
          </w:tcPr>
          <w:p w14:paraId="66E1C174">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6F9E1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restart"/>
            <w:noWrap w:val="0"/>
            <w:vAlign w:val="center"/>
          </w:tcPr>
          <w:p w14:paraId="0F745E6F">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2022-</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07</w:t>
            </w:r>
          </w:p>
        </w:tc>
        <w:tc>
          <w:tcPr>
            <w:tcW w:w="2268" w:type="dxa"/>
            <w:noWrap w:val="0"/>
            <w:vAlign w:val="center"/>
          </w:tcPr>
          <w:p w14:paraId="36EF3BF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00-03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0249A16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-11.5</w:t>
            </w:r>
          </w:p>
        </w:tc>
        <w:tc>
          <w:tcPr>
            <w:tcW w:w="1485" w:type="dxa"/>
            <w:noWrap w:val="0"/>
            <w:vAlign w:val="center"/>
          </w:tcPr>
          <w:p w14:paraId="25716F31">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86.81</w:t>
            </w:r>
          </w:p>
        </w:tc>
        <w:tc>
          <w:tcPr>
            <w:tcW w:w="1984" w:type="dxa"/>
            <w:noWrap w:val="0"/>
            <w:vAlign w:val="center"/>
          </w:tcPr>
          <w:p w14:paraId="190766F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西北风330°</w:t>
            </w:r>
          </w:p>
        </w:tc>
        <w:tc>
          <w:tcPr>
            <w:tcW w:w="1165" w:type="dxa"/>
            <w:noWrap w:val="0"/>
            <w:vAlign w:val="center"/>
          </w:tcPr>
          <w:p w14:paraId="7BE3B5F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1563" w:type="dxa"/>
            <w:noWrap w:val="0"/>
            <w:vAlign w:val="center"/>
          </w:tcPr>
          <w:p w14:paraId="4DC796E0">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6F4DD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753CE5C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4B2A2D9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00-09</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6E931E04">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-11.0</w:t>
            </w:r>
          </w:p>
        </w:tc>
        <w:tc>
          <w:tcPr>
            <w:tcW w:w="1485" w:type="dxa"/>
            <w:noWrap w:val="0"/>
            <w:vAlign w:val="center"/>
          </w:tcPr>
          <w:p w14:paraId="0A3B63A0">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86.76</w:t>
            </w:r>
          </w:p>
        </w:tc>
        <w:tc>
          <w:tcPr>
            <w:tcW w:w="1984" w:type="dxa"/>
            <w:noWrap w:val="0"/>
            <w:vAlign w:val="center"/>
          </w:tcPr>
          <w:p w14:paraId="4FC04E5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西北风325°</w:t>
            </w:r>
          </w:p>
        </w:tc>
        <w:tc>
          <w:tcPr>
            <w:tcW w:w="1165" w:type="dxa"/>
            <w:noWrap w:val="0"/>
            <w:vAlign w:val="center"/>
          </w:tcPr>
          <w:p w14:paraId="3526B8C1">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2.2</w:t>
            </w:r>
          </w:p>
        </w:tc>
        <w:tc>
          <w:tcPr>
            <w:tcW w:w="1563" w:type="dxa"/>
            <w:noWrap w:val="0"/>
            <w:vAlign w:val="center"/>
          </w:tcPr>
          <w:p w14:paraId="7CE91091">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1C94F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5808E871">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467384B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00-15</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0FFD8A1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-0.7</w:t>
            </w:r>
          </w:p>
        </w:tc>
        <w:tc>
          <w:tcPr>
            <w:tcW w:w="1485" w:type="dxa"/>
            <w:noWrap w:val="0"/>
            <w:vAlign w:val="center"/>
          </w:tcPr>
          <w:p w14:paraId="3CB1108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86.59</w:t>
            </w:r>
          </w:p>
        </w:tc>
        <w:tc>
          <w:tcPr>
            <w:tcW w:w="1984" w:type="dxa"/>
            <w:noWrap w:val="0"/>
            <w:vAlign w:val="center"/>
          </w:tcPr>
          <w:p w14:paraId="6AE7037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西北风315°</w:t>
            </w:r>
          </w:p>
        </w:tc>
        <w:tc>
          <w:tcPr>
            <w:tcW w:w="1165" w:type="dxa"/>
            <w:noWrap w:val="0"/>
            <w:vAlign w:val="center"/>
          </w:tcPr>
          <w:p w14:paraId="66BD537B">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w:t>
            </w:r>
          </w:p>
        </w:tc>
        <w:tc>
          <w:tcPr>
            <w:tcW w:w="1563" w:type="dxa"/>
            <w:noWrap w:val="0"/>
            <w:vAlign w:val="center"/>
          </w:tcPr>
          <w:p w14:paraId="3E485BF1">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56E12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310D9CA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4395435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00-21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6D268DE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-8.4</w:t>
            </w:r>
          </w:p>
        </w:tc>
        <w:tc>
          <w:tcPr>
            <w:tcW w:w="1485" w:type="dxa"/>
            <w:noWrap w:val="0"/>
            <w:vAlign w:val="center"/>
          </w:tcPr>
          <w:p w14:paraId="2E9D068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86.72</w:t>
            </w:r>
          </w:p>
        </w:tc>
        <w:tc>
          <w:tcPr>
            <w:tcW w:w="1984" w:type="dxa"/>
            <w:noWrap w:val="0"/>
            <w:vAlign w:val="center"/>
          </w:tcPr>
          <w:p w14:paraId="7D541BD7">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西北风320°</w:t>
            </w:r>
          </w:p>
        </w:tc>
        <w:tc>
          <w:tcPr>
            <w:tcW w:w="1165" w:type="dxa"/>
            <w:noWrap w:val="0"/>
            <w:vAlign w:val="center"/>
          </w:tcPr>
          <w:p w14:paraId="66D67FE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2.3</w:t>
            </w:r>
          </w:p>
        </w:tc>
        <w:tc>
          <w:tcPr>
            <w:tcW w:w="1563" w:type="dxa"/>
            <w:noWrap w:val="0"/>
            <w:vAlign w:val="center"/>
          </w:tcPr>
          <w:p w14:paraId="72C09AD1">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223F7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1E10377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1056626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08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35</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次日</w:t>
            </w: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35</w:t>
            </w:r>
          </w:p>
        </w:tc>
        <w:tc>
          <w:tcPr>
            <w:tcW w:w="1440" w:type="dxa"/>
            <w:noWrap w:val="0"/>
            <w:vAlign w:val="center"/>
          </w:tcPr>
          <w:p w14:paraId="1F7FC0CB">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-6.5</w:t>
            </w:r>
          </w:p>
        </w:tc>
        <w:tc>
          <w:tcPr>
            <w:tcW w:w="1485" w:type="dxa"/>
            <w:noWrap w:val="0"/>
            <w:vAlign w:val="center"/>
          </w:tcPr>
          <w:p w14:paraId="76DAD73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86.69</w:t>
            </w:r>
          </w:p>
        </w:tc>
        <w:tc>
          <w:tcPr>
            <w:tcW w:w="1984" w:type="dxa"/>
            <w:noWrap w:val="0"/>
            <w:vAlign w:val="center"/>
          </w:tcPr>
          <w:p w14:paraId="4BB3912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西北风325°</w:t>
            </w:r>
          </w:p>
        </w:tc>
        <w:tc>
          <w:tcPr>
            <w:tcW w:w="1165" w:type="dxa"/>
            <w:noWrap w:val="0"/>
            <w:vAlign w:val="center"/>
          </w:tcPr>
          <w:p w14:paraId="4F898BF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2.2</w:t>
            </w:r>
          </w:p>
        </w:tc>
        <w:tc>
          <w:tcPr>
            <w:tcW w:w="1563" w:type="dxa"/>
            <w:noWrap w:val="0"/>
            <w:vAlign w:val="center"/>
          </w:tcPr>
          <w:p w14:paraId="7BE4AE10">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1CD66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restart"/>
            <w:noWrap w:val="0"/>
            <w:vAlign w:val="center"/>
          </w:tcPr>
          <w:p w14:paraId="4332109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2022-</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08</w:t>
            </w:r>
          </w:p>
        </w:tc>
        <w:tc>
          <w:tcPr>
            <w:tcW w:w="2268" w:type="dxa"/>
            <w:noWrap w:val="0"/>
            <w:vAlign w:val="center"/>
          </w:tcPr>
          <w:p w14:paraId="07EC8E0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00-03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01A2E21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-9.6</w:t>
            </w:r>
          </w:p>
        </w:tc>
        <w:tc>
          <w:tcPr>
            <w:tcW w:w="1485" w:type="dxa"/>
            <w:noWrap w:val="0"/>
            <w:vAlign w:val="center"/>
          </w:tcPr>
          <w:p w14:paraId="420632E1">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86.75</w:t>
            </w:r>
          </w:p>
        </w:tc>
        <w:tc>
          <w:tcPr>
            <w:tcW w:w="1984" w:type="dxa"/>
            <w:noWrap w:val="0"/>
            <w:vAlign w:val="center"/>
          </w:tcPr>
          <w:p w14:paraId="030E110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西北风310°</w:t>
            </w:r>
          </w:p>
        </w:tc>
        <w:tc>
          <w:tcPr>
            <w:tcW w:w="1165" w:type="dxa"/>
            <w:noWrap w:val="0"/>
            <w:vAlign w:val="center"/>
          </w:tcPr>
          <w:p w14:paraId="1E70B126">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w:t>
            </w:r>
          </w:p>
        </w:tc>
        <w:tc>
          <w:tcPr>
            <w:tcW w:w="1563" w:type="dxa"/>
            <w:noWrap w:val="0"/>
            <w:vAlign w:val="center"/>
          </w:tcPr>
          <w:p w14:paraId="2A288FD1">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7A624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7AF2509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72389206">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00-09</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055A431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-8.9</w:t>
            </w:r>
          </w:p>
        </w:tc>
        <w:tc>
          <w:tcPr>
            <w:tcW w:w="1485" w:type="dxa"/>
            <w:noWrap w:val="0"/>
            <w:vAlign w:val="center"/>
          </w:tcPr>
          <w:p w14:paraId="4884BCE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86.71</w:t>
            </w:r>
          </w:p>
        </w:tc>
        <w:tc>
          <w:tcPr>
            <w:tcW w:w="1984" w:type="dxa"/>
            <w:noWrap w:val="0"/>
            <w:vAlign w:val="center"/>
          </w:tcPr>
          <w:p w14:paraId="57BD71F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西北风325°</w:t>
            </w:r>
          </w:p>
        </w:tc>
        <w:tc>
          <w:tcPr>
            <w:tcW w:w="1165" w:type="dxa"/>
            <w:noWrap w:val="0"/>
            <w:vAlign w:val="center"/>
          </w:tcPr>
          <w:p w14:paraId="495F2EF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w:t>
            </w:r>
          </w:p>
        </w:tc>
        <w:tc>
          <w:tcPr>
            <w:tcW w:w="1563" w:type="dxa"/>
            <w:noWrap w:val="0"/>
            <w:vAlign w:val="center"/>
          </w:tcPr>
          <w:p w14:paraId="438AFFE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55CC8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634FF83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54757C9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00-15</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3795561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1485" w:type="dxa"/>
            <w:noWrap w:val="0"/>
            <w:vAlign w:val="center"/>
          </w:tcPr>
          <w:p w14:paraId="679F21C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86.62</w:t>
            </w:r>
          </w:p>
        </w:tc>
        <w:tc>
          <w:tcPr>
            <w:tcW w:w="1984" w:type="dxa"/>
            <w:noWrap w:val="0"/>
            <w:vAlign w:val="center"/>
          </w:tcPr>
          <w:p w14:paraId="39F9F23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西北风320°</w:t>
            </w:r>
          </w:p>
        </w:tc>
        <w:tc>
          <w:tcPr>
            <w:tcW w:w="1165" w:type="dxa"/>
            <w:noWrap w:val="0"/>
            <w:vAlign w:val="center"/>
          </w:tcPr>
          <w:p w14:paraId="1311AA1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w:t>
            </w:r>
          </w:p>
        </w:tc>
        <w:tc>
          <w:tcPr>
            <w:tcW w:w="1563" w:type="dxa"/>
            <w:noWrap w:val="0"/>
            <w:vAlign w:val="center"/>
          </w:tcPr>
          <w:p w14:paraId="1582DE07">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609C7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57F3D6C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6EEFA89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00-21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7FFB9D97">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-7.8</w:t>
            </w:r>
          </w:p>
        </w:tc>
        <w:tc>
          <w:tcPr>
            <w:tcW w:w="1485" w:type="dxa"/>
            <w:noWrap w:val="0"/>
            <w:vAlign w:val="center"/>
          </w:tcPr>
          <w:p w14:paraId="44A4F9B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86.73</w:t>
            </w:r>
          </w:p>
        </w:tc>
        <w:tc>
          <w:tcPr>
            <w:tcW w:w="1984" w:type="dxa"/>
            <w:noWrap w:val="0"/>
            <w:vAlign w:val="center"/>
          </w:tcPr>
          <w:p w14:paraId="1E0326A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西北风330°</w:t>
            </w:r>
          </w:p>
        </w:tc>
        <w:tc>
          <w:tcPr>
            <w:tcW w:w="1165" w:type="dxa"/>
            <w:noWrap w:val="0"/>
            <w:vAlign w:val="center"/>
          </w:tcPr>
          <w:p w14:paraId="2E593006">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w:t>
            </w:r>
          </w:p>
        </w:tc>
        <w:tc>
          <w:tcPr>
            <w:tcW w:w="1563" w:type="dxa"/>
            <w:noWrap w:val="0"/>
            <w:vAlign w:val="center"/>
          </w:tcPr>
          <w:p w14:paraId="471791F6">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7471C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40E7F03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01198F3F">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08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43</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次日</w:t>
            </w: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43</w:t>
            </w:r>
          </w:p>
        </w:tc>
        <w:tc>
          <w:tcPr>
            <w:tcW w:w="1440" w:type="dxa"/>
            <w:noWrap w:val="0"/>
            <w:vAlign w:val="center"/>
          </w:tcPr>
          <w:p w14:paraId="795A72E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-5.9</w:t>
            </w:r>
          </w:p>
        </w:tc>
        <w:tc>
          <w:tcPr>
            <w:tcW w:w="1485" w:type="dxa"/>
            <w:noWrap w:val="0"/>
            <w:vAlign w:val="center"/>
          </w:tcPr>
          <w:p w14:paraId="1D48EE5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86.73</w:t>
            </w:r>
          </w:p>
        </w:tc>
        <w:tc>
          <w:tcPr>
            <w:tcW w:w="1984" w:type="dxa"/>
            <w:noWrap w:val="0"/>
            <w:vAlign w:val="center"/>
          </w:tcPr>
          <w:p w14:paraId="2906E5B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西北风335°</w:t>
            </w:r>
          </w:p>
        </w:tc>
        <w:tc>
          <w:tcPr>
            <w:tcW w:w="1165" w:type="dxa"/>
            <w:noWrap w:val="0"/>
            <w:vAlign w:val="center"/>
          </w:tcPr>
          <w:p w14:paraId="64195F4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1.8</w:t>
            </w:r>
          </w:p>
        </w:tc>
        <w:tc>
          <w:tcPr>
            <w:tcW w:w="1563" w:type="dxa"/>
            <w:noWrap w:val="0"/>
            <w:vAlign w:val="center"/>
          </w:tcPr>
          <w:p w14:paraId="4E75F3C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r>
      <w:tr w14:paraId="755EB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restart"/>
            <w:noWrap w:val="0"/>
            <w:vAlign w:val="center"/>
          </w:tcPr>
          <w:p w14:paraId="1F0DA85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2022-</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09</w:t>
            </w:r>
          </w:p>
        </w:tc>
        <w:tc>
          <w:tcPr>
            <w:tcW w:w="2268" w:type="dxa"/>
            <w:noWrap w:val="0"/>
            <w:vAlign w:val="center"/>
          </w:tcPr>
          <w:p w14:paraId="57CCA1A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00-03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70DA399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-11.6</w:t>
            </w:r>
          </w:p>
        </w:tc>
        <w:tc>
          <w:tcPr>
            <w:tcW w:w="1485" w:type="dxa"/>
            <w:noWrap w:val="0"/>
            <w:vAlign w:val="center"/>
          </w:tcPr>
          <w:p w14:paraId="475C4C2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86.85</w:t>
            </w:r>
          </w:p>
        </w:tc>
        <w:tc>
          <w:tcPr>
            <w:tcW w:w="1984" w:type="dxa"/>
            <w:noWrap w:val="0"/>
            <w:vAlign w:val="center"/>
          </w:tcPr>
          <w:p w14:paraId="2815825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西北风320°</w:t>
            </w:r>
          </w:p>
        </w:tc>
        <w:tc>
          <w:tcPr>
            <w:tcW w:w="1165" w:type="dxa"/>
            <w:noWrap w:val="0"/>
            <w:vAlign w:val="center"/>
          </w:tcPr>
          <w:p w14:paraId="6E8BC7CF">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.2</w:t>
            </w:r>
          </w:p>
        </w:tc>
        <w:tc>
          <w:tcPr>
            <w:tcW w:w="1563" w:type="dxa"/>
            <w:noWrap w:val="0"/>
            <w:vAlign w:val="center"/>
          </w:tcPr>
          <w:p w14:paraId="1960947B">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多云转</w:t>
            </w:r>
            <w:r>
              <w:rPr>
                <w:rFonts w:hint="default" w:ascii="Times New Roman" w:hAnsi="Times New Roman" w:eastAsia="宋体" w:cs="Times New Roman"/>
                <w:color w:val="auto"/>
                <w:sz w:val="21"/>
                <w:szCs w:val="21"/>
                <w:highlight w:val="none"/>
                <w:lang w:eastAsia="zh-CN"/>
              </w:rPr>
              <w:t>晴</w:t>
            </w:r>
          </w:p>
        </w:tc>
      </w:tr>
      <w:tr w14:paraId="3D765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6DD6F3A1">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6C78318B">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00-09</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16A1B80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-10.6</w:t>
            </w:r>
          </w:p>
        </w:tc>
        <w:tc>
          <w:tcPr>
            <w:tcW w:w="1485" w:type="dxa"/>
            <w:noWrap w:val="0"/>
            <w:vAlign w:val="center"/>
          </w:tcPr>
          <w:p w14:paraId="7282183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86.83</w:t>
            </w:r>
          </w:p>
        </w:tc>
        <w:tc>
          <w:tcPr>
            <w:tcW w:w="1984" w:type="dxa"/>
            <w:noWrap w:val="0"/>
            <w:vAlign w:val="center"/>
          </w:tcPr>
          <w:p w14:paraId="63CF445E">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西北风325°</w:t>
            </w:r>
          </w:p>
        </w:tc>
        <w:tc>
          <w:tcPr>
            <w:tcW w:w="1165" w:type="dxa"/>
            <w:noWrap w:val="0"/>
            <w:vAlign w:val="center"/>
          </w:tcPr>
          <w:p w14:paraId="666371E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.1</w:t>
            </w:r>
          </w:p>
        </w:tc>
        <w:tc>
          <w:tcPr>
            <w:tcW w:w="1563" w:type="dxa"/>
            <w:noWrap w:val="0"/>
            <w:vAlign w:val="center"/>
          </w:tcPr>
          <w:p w14:paraId="6F5DEA8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多云转</w:t>
            </w:r>
            <w:r>
              <w:rPr>
                <w:rFonts w:hint="default" w:ascii="Times New Roman" w:hAnsi="Times New Roman" w:eastAsia="宋体" w:cs="Times New Roman"/>
                <w:color w:val="auto"/>
                <w:sz w:val="21"/>
                <w:szCs w:val="21"/>
                <w:highlight w:val="none"/>
                <w:lang w:eastAsia="zh-CN"/>
              </w:rPr>
              <w:t>晴</w:t>
            </w:r>
          </w:p>
        </w:tc>
      </w:tr>
      <w:tr w14:paraId="3EDE4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5D334F5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381BD466">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00-15</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5696D73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-0.8</w:t>
            </w:r>
          </w:p>
        </w:tc>
        <w:tc>
          <w:tcPr>
            <w:tcW w:w="1485" w:type="dxa"/>
            <w:noWrap w:val="0"/>
            <w:vAlign w:val="center"/>
          </w:tcPr>
          <w:p w14:paraId="64B2B25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86.63</w:t>
            </w:r>
          </w:p>
        </w:tc>
        <w:tc>
          <w:tcPr>
            <w:tcW w:w="1984" w:type="dxa"/>
            <w:noWrap w:val="0"/>
            <w:vAlign w:val="center"/>
          </w:tcPr>
          <w:p w14:paraId="2734977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西北风310°</w:t>
            </w:r>
          </w:p>
        </w:tc>
        <w:tc>
          <w:tcPr>
            <w:tcW w:w="1165" w:type="dxa"/>
            <w:noWrap w:val="0"/>
            <w:vAlign w:val="center"/>
          </w:tcPr>
          <w:p w14:paraId="5B8A81D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.3</w:t>
            </w:r>
          </w:p>
        </w:tc>
        <w:tc>
          <w:tcPr>
            <w:tcW w:w="1563" w:type="dxa"/>
            <w:noWrap w:val="0"/>
            <w:vAlign w:val="center"/>
          </w:tcPr>
          <w:p w14:paraId="13A5F44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多云转</w:t>
            </w:r>
            <w:r>
              <w:rPr>
                <w:rFonts w:hint="default" w:ascii="Times New Roman" w:hAnsi="Times New Roman" w:eastAsia="宋体" w:cs="Times New Roman"/>
                <w:color w:val="auto"/>
                <w:sz w:val="21"/>
                <w:szCs w:val="21"/>
                <w:highlight w:val="none"/>
                <w:lang w:eastAsia="zh-CN"/>
              </w:rPr>
              <w:t>晴</w:t>
            </w:r>
          </w:p>
        </w:tc>
      </w:tr>
      <w:tr w14:paraId="34936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577E8F23">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2EF582A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00-21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00</w:t>
            </w:r>
          </w:p>
        </w:tc>
        <w:tc>
          <w:tcPr>
            <w:tcW w:w="1440" w:type="dxa"/>
            <w:noWrap w:val="0"/>
            <w:vAlign w:val="center"/>
          </w:tcPr>
          <w:p w14:paraId="1F5E5AD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-9.8</w:t>
            </w:r>
          </w:p>
        </w:tc>
        <w:tc>
          <w:tcPr>
            <w:tcW w:w="1485" w:type="dxa"/>
            <w:noWrap w:val="0"/>
            <w:vAlign w:val="center"/>
          </w:tcPr>
          <w:p w14:paraId="761DD06A">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86.78</w:t>
            </w:r>
          </w:p>
        </w:tc>
        <w:tc>
          <w:tcPr>
            <w:tcW w:w="1984" w:type="dxa"/>
            <w:noWrap w:val="0"/>
            <w:vAlign w:val="center"/>
          </w:tcPr>
          <w:p w14:paraId="4DB39C5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西北风325°</w:t>
            </w:r>
          </w:p>
        </w:tc>
        <w:tc>
          <w:tcPr>
            <w:tcW w:w="1165" w:type="dxa"/>
            <w:noWrap w:val="0"/>
            <w:vAlign w:val="center"/>
          </w:tcPr>
          <w:p w14:paraId="4D3548E7">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.0</w:t>
            </w:r>
          </w:p>
        </w:tc>
        <w:tc>
          <w:tcPr>
            <w:tcW w:w="1563" w:type="dxa"/>
            <w:noWrap w:val="0"/>
            <w:vAlign w:val="center"/>
          </w:tcPr>
          <w:p w14:paraId="57FA343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多云转</w:t>
            </w:r>
            <w:r>
              <w:rPr>
                <w:rFonts w:hint="default" w:ascii="Times New Roman" w:hAnsi="Times New Roman" w:eastAsia="宋体" w:cs="Times New Roman"/>
                <w:color w:val="auto"/>
                <w:sz w:val="21"/>
                <w:szCs w:val="21"/>
                <w:highlight w:val="none"/>
                <w:lang w:eastAsia="zh-CN"/>
              </w:rPr>
              <w:t>晴</w:t>
            </w:r>
          </w:p>
        </w:tc>
      </w:tr>
      <w:tr w14:paraId="7670D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23" w:type="dxa"/>
            <w:vMerge w:val="continue"/>
            <w:noWrap w:val="0"/>
            <w:vAlign w:val="center"/>
          </w:tcPr>
          <w:p w14:paraId="1AA8968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268" w:type="dxa"/>
            <w:noWrap w:val="0"/>
            <w:vAlign w:val="center"/>
          </w:tcPr>
          <w:p w14:paraId="22DCEA26">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08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次日</w:t>
            </w: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50</w:t>
            </w:r>
          </w:p>
        </w:tc>
        <w:tc>
          <w:tcPr>
            <w:tcW w:w="1440" w:type="dxa"/>
            <w:noWrap w:val="0"/>
            <w:vAlign w:val="center"/>
          </w:tcPr>
          <w:p w14:paraId="6C8A29D0">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-6.7</w:t>
            </w:r>
          </w:p>
        </w:tc>
        <w:tc>
          <w:tcPr>
            <w:tcW w:w="1485" w:type="dxa"/>
            <w:noWrap w:val="0"/>
            <w:vAlign w:val="center"/>
          </w:tcPr>
          <w:p w14:paraId="78ED51ED">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86.73</w:t>
            </w:r>
          </w:p>
        </w:tc>
        <w:tc>
          <w:tcPr>
            <w:tcW w:w="1984" w:type="dxa"/>
            <w:noWrap w:val="0"/>
            <w:vAlign w:val="center"/>
          </w:tcPr>
          <w:p w14:paraId="5D90064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西北风320°</w:t>
            </w:r>
          </w:p>
        </w:tc>
        <w:tc>
          <w:tcPr>
            <w:tcW w:w="1165" w:type="dxa"/>
            <w:noWrap w:val="0"/>
            <w:vAlign w:val="center"/>
          </w:tcPr>
          <w:p w14:paraId="34AF3E5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w:t>
            </w:r>
          </w:p>
        </w:tc>
        <w:tc>
          <w:tcPr>
            <w:tcW w:w="1563" w:type="dxa"/>
            <w:noWrap w:val="0"/>
            <w:vAlign w:val="center"/>
          </w:tcPr>
          <w:p w14:paraId="613005C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多云转</w:t>
            </w:r>
            <w:r>
              <w:rPr>
                <w:rFonts w:hint="default" w:ascii="Times New Roman" w:hAnsi="Times New Roman" w:eastAsia="宋体" w:cs="Times New Roman"/>
                <w:color w:val="auto"/>
                <w:sz w:val="21"/>
                <w:szCs w:val="21"/>
                <w:highlight w:val="none"/>
                <w:lang w:eastAsia="zh-CN"/>
              </w:rPr>
              <w:t>晴</w:t>
            </w:r>
          </w:p>
        </w:tc>
      </w:tr>
    </w:tbl>
    <w:p w14:paraId="44B93198">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（2）环境空气质量现状</w:t>
      </w:r>
    </w:p>
    <w:p w14:paraId="2FD06E54">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项目其他污染物环境质量现状，见下表。</w:t>
      </w:r>
    </w:p>
    <w:p w14:paraId="29856EFD">
      <w:pPr>
        <w:pStyle w:val="7"/>
        <w:pageBreakBefore w:val="0"/>
        <w:kinsoku/>
        <w:wordWrap/>
        <w:bidi w:val="0"/>
        <w:snapToGrid w:val="0"/>
        <w:spacing w:line="360" w:lineRule="auto"/>
        <w:ind w:left="0" w:leftChars="0" w:right="0" w:rightChars="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表4.2-5项目其他污染物环境质量现状表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45"/>
        <w:gridCol w:w="1048"/>
        <w:gridCol w:w="1456"/>
        <w:gridCol w:w="641"/>
        <w:gridCol w:w="1039"/>
        <w:gridCol w:w="844"/>
        <w:gridCol w:w="845"/>
        <w:gridCol w:w="1459"/>
      </w:tblGrid>
      <w:tr w14:paraId="454964A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27" w:type="dxa"/>
            <w:tcBorders>
              <w:top w:val="single" w:color="auto" w:sz="4" w:space="0"/>
              <w:left w:val="single" w:color="auto" w:sz="4" w:space="0"/>
              <w:bottom w:val="single" w:color="auto" w:sz="4" w:space="0"/>
              <w:right w:val="single" w:color="auto" w:sz="4" w:space="0"/>
            </w:tcBorders>
            <w:vAlign w:val="center"/>
          </w:tcPr>
          <w:p w14:paraId="19951C7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1142" w:type="dxa"/>
            <w:tcBorders>
              <w:top w:val="single" w:color="auto" w:sz="4" w:space="0"/>
              <w:left w:val="single" w:color="auto" w:sz="4" w:space="0"/>
              <w:bottom w:val="single" w:color="auto" w:sz="4" w:space="0"/>
              <w:right w:val="single" w:color="auto" w:sz="4" w:space="0"/>
            </w:tcBorders>
            <w:vAlign w:val="center"/>
          </w:tcPr>
          <w:p w14:paraId="5717249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有效天数</w:t>
            </w:r>
          </w:p>
        </w:tc>
        <w:tc>
          <w:tcPr>
            <w:tcW w:w="1596" w:type="dxa"/>
            <w:tcBorders>
              <w:top w:val="single" w:color="auto" w:sz="4" w:space="0"/>
              <w:left w:val="single" w:color="auto" w:sz="4" w:space="0"/>
              <w:bottom w:val="single" w:color="auto" w:sz="4" w:space="0"/>
              <w:right w:val="single" w:color="auto" w:sz="4" w:space="0"/>
            </w:tcBorders>
            <w:vAlign w:val="center"/>
          </w:tcPr>
          <w:p w14:paraId="75BD1C9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浓度范围</w:t>
            </w:r>
          </w:p>
        </w:tc>
        <w:tc>
          <w:tcPr>
            <w:tcW w:w="1821" w:type="dxa"/>
            <w:gridSpan w:val="2"/>
            <w:tcBorders>
              <w:top w:val="single" w:color="auto" w:sz="4" w:space="0"/>
              <w:left w:val="single" w:color="auto" w:sz="4" w:space="0"/>
              <w:bottom w:val="single" w:color="auto" w:sz="4" w:space="0"/>
              <w:right w:val="single" w:color="auto" w:sz="4" w:space="0"/>
            </w:tcBorders>
            <w:vAlign w:val="center"/>
          </w:tcPr>
          <w:p w14:paraId="23C3162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w:t>
            </w:r>
          </w:p>
        </w:tc>
        <w:tc>
          <w:tcPr>
            <w:tcW w:w="915" w:type="dxa"/>
            <w:tcBorders>
              <w:top w:val="single" w:color="auto" w:sz="4" w:space="0"/>
              <w:left w:val="single" w:color="auto" w:sz="4" w:space="0"/>
              <w:bottom w:val="single" w:color="auto" w:sz="4" w:space="0"/>
              <w:right w:val="single" w:color="auto" w:sz="4" w:space="0"/>
            </w:tcBorders>
            <w:vAlign w:val="center"/>
          </w:tcPr>
          <w:p w14:paraId="2102C6B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占标率</w:t>
            </w:r>
          </w:p>
        </w:tc>
        <w:tc>
          <w:tcPr>
            <w:tcW w:w="915" w:type="dxa"/>
            <w:tcBorders>
              <w:top w:val="single" w:color="auto" w:sz="4" w:space="0"/>
              <w:left w:val="single" w:color="auto" w:sz="4" w:space="0"/>
              <w:bottom w:val="single" w:color="auto" w:sz="4" w:space="0"/>
              <w:right w:val="single" w:color="auto" w:sz="4" w:space="0"/>
            </w:tcBorders>
            <w:vAlign w:val="center"/>
          </w:tcPr>
          <w:p w14:paraId="4D17882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超标率</w:t>
            </w:r>
          </w:p>
        </w:tc>
        <w:tc>
          <w:tcPr>
            <w:tcW w:w="1598" w:type="dxa"/>
            <w:tcBorders>
              <w:top w:val="single" w:color="auto" w:sz="4" w:space="0"/>
              <w:left w:val="single" w:color="auto" w:sz="4" w:space="0"/>
              <w:bottom w:val="single" w:color="auto" w:sz="4" w:space="0"/>
              <w:right w:val="single" w:color="auto" w:sz="4" w:space="0"/>
            </w:tcBorders>
            <w:vAlign w:val="center"/>
          </w:tcPr>
          <w:p w14:paraId="097551E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最大超标倍数</w:t>
            </w:r>
          </w:p>
        </w:tc>
      </w:tr>
      <w:tr w14:paraId="067A54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27" w:type="dxa"/>
            <w:tcBorders>
              <w:top w:val="single" w:color="auto" w:sz="4" w:space="0"/>
              <w:left w:val="single" w:color="auto" w:sz="4" w:space="0"/>
              <w:bottom w:val="single" w:color="auto" w:sz="4" w:space="0"/>
              <w:right w:val="single" w:color="auto" w:sz="4" w:space="0"/>
            </w:tcBorders>
            <w:vAlign w:val="center"/>
          </w:tcPr>
          <w:p w14:paraId="6F7954C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1142" w:type="dxa"/>
            <w:tcBorders>
              <w:top w:val="single" w:color="auto" w:sz="4" w:space="0"/>
              <w:left w:val="single" w:color="auto" w:sz="4" w:space="0"/>
              <w:bottom w:val="single" w:color="auto" w:sz="4" w:space="0"/>
              <w:right w:val="single" w:color="auto" w:sz="4" w:space="0"/>
            </w:tcBorders>
            <w:vAlign w:val="center"/>
          </w:tcPr>
          <w:p w14:paraId="412516B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1596" w:type="dxa"/>
            <w:tcBorders>
              <w:top w:val="single" w:color="auto" w:sz="4" w:space="0"/>
              <w:left w:val="single" w:color="auto" w:sz="4" w:space="0"/>
              <w:bottom w:val="single" w:color="auto" w:sz="4" w:space="0"/>
              <w:right w:val="single" w:color="auto" w:sz="4" w:space="0"/>
            </w:tcBorders>
            <w:vAlign w:val="center"/>
          </w:tcPr>
          <w:p w14:paraId="24D9316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0ug/m</w:t>
            </w:r>
            <w:r>
              <w:rPr>
                <w:rFonts w:hint="default" w:ascii="Times New Roman" w:hAnsi="Times New Roman" w:eastAsia="宋体" w:cs="Times New Roman"/>
                <w:color w:val="auto"/>
                <w:sz w:val="21"/>
                <w:szCs w:val="21"/>
                <w:highlight w:val="none"/>
                <w:vertAlign w:val="superscript"/>
              </w:rPr>
              <w:t>3</w:t>
            </w:r>
          </w:p>
        </w:tc>
        <w:tc>
          <w:tcPr>
            <w:tcW w:w="689" w:type="dxa"/>
            <w:tcBorders>
              <w:top w:val="single" w:color="auto" w:sz="4" w:space="0"/>
              <w:left w:val="single" w:color="auto" w:sz="4" w:space="0"/>
              <w:bottom w:val="single" w:color="auto" w:sz="4" w:space="0"/>
              <w:right w:val="single" w:color="auto" w:sz="4" w:space="0"/>
            </w:tcBorders>
            <w:vAlign w:val="center"/>
          </w:tcPr>
          <w:p w14:paraId="1C743A3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一次</w:t>
            </w:r>
          </w:p>
        </w:tc>
        <w:tc>
          <w:tcPr>
            <w:tcW w:w="1132" w:type="dxa"/>
            <w:tcBorders>
              <w:top w:val="single" w:color="auto" w:sz="4" w:space="0"/>
              <w:left w:val="single" w:color="auto" w:sz="4" w:space="0"/>
              <w:bottom w:val="single" w:color="auto" w:sz="4" w:space="0"/>
              <w:right w:val="single" w:color="auto" w:sz="4" w:space="0"/>
            </w:tcBorders>
            <w:vAlign w:val="center"/>
          </w:tcPr>
          <w:p w14:paraId="36AA7E2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200µg/m</w:t>
            </w:r>
            <w:r>
              <w:rPr>
                <w:rFonts w:hint="default" w:ascii="Times New Roman" w:hAnsi="Times New Roman" w:eastAsia="宋体" w:cs="Times New Roman"/>
                <w:color w:val="auto"/>
                <w:sz w:val="21"/>
                <w:szCs w:val="21"/>
                <w:highlight w:val="none"/>
                <w:vertAlign w:val="superscript"/>
              </w:rPr>
              <w:t>3</w:t>
            </w:r>
          </w:p>
        </w:tc>
        <w:tc>
          <w:tcPr>
            <w:tcW w:w="915" w:type="dxa"/>
            <w:tcBorders>
              <w:top w:val="single" w:color="auto" w:sz="4" w:space="0"/>
              <w:left w:val="single" w:color="auto" w:sz="4" w:space="0"/>
              <w:bottom w:val="single" w:color="auto" w:sz="4" w:space="0"/>
              <w:right w:val="single" w:color="auto" w:sz="4" w:space="0"/>
            </w:tcBorders>
            <w:vAlign w:val="center"/>
          </w:tcPr>
          <w:p w14:paraId="78337D5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rPr>
              <w:t>%</w:t>
            </w:r>
          </w:p>
        </w:tc>
        <w:tc>
          <w:tcPr>
            <w:tcW w:w="915" w:type="dxa"/>
            <w:tcBorders>
              <w:top w:val="single" w:color="auto" w:sz="4" w:space="0"/>
              <w:left w:val="single" w:color="auto" w:sz="4" w:space="0"/>
              <w:bottom w:val="single" w:color="auto" w:sz="4" w:space="0"/>
              <w:right w:val="single" w:color="auto" w:sz="4" w:space="0"/>
            </w:tcBorders>
            <w:vAlign w:val="center"/>
          </w:tcPr>
          <w:p w14:paraId="3C93431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c>
          <w:tcPr>
            <w:tcW w:w="1598" w:type="dxa"/>
            <w:tcBorders>
              <w:top w:val="single" w:color="auto" w:sz="4" w:space="0"/>
              <w:left w:val="single" w:color="auto" w:sz="4" w:space="0"/>
              <w:bottom w:val="single" w:color="auto" w:sz="4" w:space="0"/>
              <w:right w:val="single" w:color="auto" w:sz="4" w:space="0"/>
            </w:tcBorders>
            <w:vAlign w:val="center"/>
          </w:tcPr>
          <w:p w14:paraId="7D90EC5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r>
      <w:tr w14:paraId="013B5A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27" w:type="dxa"/>
            <w:tcBorders>
              <w:top w:val="single" w:color="auto" w:sz="4" w:space="0"/>
              <w:left w:val="single" w:color="auto" w:sz="4" w:space="0"/>
              <w:bottom w:val="single" w:color="auto" w:sz="4" w:space="0"/>
              <w:right w:val="single" w:color="auto" w:sz="4" w:space="0"/>
            </w:tcBorders>
            <w:vAlign w:val="center"/>
          </w:tcPr>
          <w:p w14:paraId="6E68848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1142" w:type="dxa"/>
            <w:tcBorders>
              <w:top w:val="single" w:color="auto" w:sz="4" w:space="0"/>
              <w:left w:val="single" w:color="auto" w:sz="4" w:space="0"/>
              <w:bottom w:val="single" w:color="auto" w:sz="4" w:space="0"/>
              <w:right w:val="single" w:color="auto" w:sz="4" w:space="0"/>
            </w:tcBorders>
            <w:vAlign w:val="center"/>
          </w:tcPr>
          <w:p w14:paraId="5D0BBC9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1596" w:type="dxa"/>
            <w:tcBorders>
              <w:top w:val="single" w:color="auto" w:sz="4" w:space="0"/>
              <w:left w:val="single" w:color="auto" w:sz="4" w:space="0"/>
              <w:bottom w:val="single" w:color="auto" w:sz="4" w:space="0"/>
              <w:right w:val="single" w:color="auto" w:sz="4" w:space="0"/>
            </w:tcBorders>
            <w:vAlign w:val="center"/>
          </w:tcPr>
          <w:p w14:paraId="4F84DBF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ND</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µg/m</w:t>
            </w:r>
            <w:r>
              <w:rPr>
                <w:rFonts w:hint="default" w:ascii="Times New Roman" w:hAnsi="Times New Roman" w:eastAsia="宋体" w:cs="Times New Roman"/>
                <w:color w:val="auto"/>
                <w:sz w:val="21"/>
                <w:szCs w:val="21"/>
                <w:highlight w:val="none"/>
                <w:vertAlign w:val="superscript"/>
              </w:rPr>
              <w:t>3</w:t>
            </w:r>
          </w:p>
        </w:tc>
        <w:tc>
          <w:tcPr>
            <w:tcW w:w="689" w:type="dxa"/>
            <w:tcBorders>
              <w:top w:val="single" w:color="auto" w:sz="4" w:space="0"/>
              <w:left w:val="single" w:color="auto" w:sz="4" w:space="0"/>
              <w:bottom w:val="single" w:color="auto" w:sz="4" w:space="0"/>
              <w:right w:val="single" w:color="auto" w:sz="4" w:space="0"/>
            </w:tcBorders>
            <w:vAlign w:val="center"/>
          </w:tcPr>
          <w:p w14:paraId="08278E8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一次</w:t>
            </w:r>
          </w:p>
        </w:tc>
        <w:tc>
          <w:tcPr>
            <w:tcW w:w="1132" w:type="dxa"/>
            <w:tcBorders>
              <w:top w:val="single" w:color="auto" w:sz="4" w:space="0"/>
              <w:left w:val="single" w:color="auto" w:sz="4" w:space="0"/>
              <w:bottom w:val="single" w:color="auto" w:sz="4" w:space="0"/>
              <w:right w:val="single" w:color="auto" w:sz="4" w:space="0"/>
            </w:tcBorders>
            <w:vAlign w:val="center"/>
          </w:tcPr>
          <w:p w14:paraId="48917F4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10µg/m</w:t>
            </w:r>
            <w:r>
              <w:rPr>
                <w:rFonts w:hint="default" w:ascii="Times New Roman" w:hAnsi="Times New Roman" w:eastAsia="宋体" w:cs="Times New Roman"/>
                <w:color w:val="auto"/>
                <w:sz w:val="21"/>
                <w:szCs w:val="21"/>
                <w:highlight w:val="none"/>
                <w:vertAlign w:val="superscript"/>
              </w:rPr>
              <w:t>3</w:t>
            </w:r>
          </w:p>
        </w:tc>
        <w:tc>
          <w:tcPr>
            <w:tcW w:w="915" w:type="dxa"/>
            <w:tcBorders>
              <w:top w:val="single" w:color="auto" w:sz="4" w:space="0"/>
              <w:left w:val="single" w:color="auto" w:sz="4" w:space="0"/>
              <w:bottom w:val="single" w:color="auto" w:sz="4" w:space="0"/>
              <w:right w:val="single" w:color="auto" w:sz="4" w:space="0"/>
            </w:tcBorders>
            <w:vAlign w:val="center"/>
          </w:tcPr>
          <w:p w14:paraId="5492A38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0%</w:t>
            </w:r>
          </w:p>
        </w:tc>
        <w:tc>
          <w:tcPr>
            <w:tcW w:w="915" w:type="dxa"/>
            <w:tcBorders>
              <w:top w:val="single" w:color="auto" w:sz="4" w:space="0"/>
              <w:left w:val="single" w:color="auto" w:sz="4" w:space="0"/>
              <w:bottom w:val="single" w:color="auto" w:sz="4" w:space="0"/>
              <w:right w:val="single" w:color="auto" w:sz="4" w:space="0"/>
            </w:tcBorders>
            <w:vAlign w:val="center"/>
          </w:tcPr>
          <w:p w14:paraId="2CC8D32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c>
          <w:tcPr>
            <w:tcW w:w="1598" w:type="dxa"/>
            <w:tcBorders>
              <w:top w:val="single" w:color="auto" w:sz="4" w:space="0"/>
              <w:left w:val="single" w:color="auto" w:sz="4" w:space="0"/>
              <w:bottom w:val="single" w:color="auto" w:sz="4" w:space="0"/>
              <w:right w:val="single" w:color="auto" w:sz="4" w:space="0"/>
            </w:tcBorders>
            <w:vAlign w:val="center"/>
          </w:tcPr>
          <w:p w14:paraId="4D00579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r>
      <w:tr w14:paraId="1A2A30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27" w:type="dxa"/>
            <w:tcBorders>
              <w:top w:val="single" w:color="auto" w:sz="4" w:space="0"/>
              <w:left w:val="single" w:color="auto" w:sz="4" w:space="0"/>
              <w:bottom w:val="single" w:color="auto" w:sz="4" w:space="0"/>
              <w:right w:val="single" w:color="auto" w:sz="4" w:space="0"/>
            </w:tcBorders>
            <w:vAlign w:val="center"/>
          </w:tcPr>
          <w:p w14:paraId="20C8E1F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c>
          <w:tcPr>
            <w:tcW w:w="1142" w:type="dxa"/>
            <w:tcBorders>
              <w:top w:val="single" w:color="auto" w:sz="4" w:space="0"/>
              <w:left w:val="single" w:color="auto" w:sz="4" w:space="0"/>
              <w:bottom w:val="single" w:color="auto" w:sz="4" w:space="0"/>
              <w:right w:val="single" w:color="auto" w:sz="4" w:space="0"/>
            </w:tcBorders>
            <w:vAlign w:val="center"/>
          </w:tcPr>
          <w:p w14:paraId="6A67EC0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1596" w:type="dxa"/>
            <w:tcBorders>
              <w:top w:val="single" w:color="auto" w:sz="4" w:space="0"/>
              <w:left w:val="single" w:color="auto" w:sz="4" w:space="0"/>
              <w:bottom w:val="single" w:color="auto" w:sz="4" w:space="0"/>
              <w:right w:val="single" w:color="auto" w:sz="4" w:space="0"/>
            </w:tcBorders>
            <w:vAlign w:val="center"/>
          </w:tcPr>
          <w:p w14:paraId="7E05AA3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168～223</w:t>
            </w:r>
            <w:r>
              <w:rPr>
                <w:rFonts w:hint="default" w:ascii="Times New Roman" w:hAnsi="Times New Roman" w:eastAsia="宋体" w:cs="Times New Roman"/>
                <w:color w:val="auto"/>
                <w:sz w:val="21"/>
                <w:szCs w:val="21"/>
                <w:highlight w:val="none"/>
              </w:rPr>
              <w:t>µg/m</w:t>
            </w:r>
            <w:r>
              <w:rPr>
                <w:rFonts w:hint="default" w:ascii="Times New Roman" w:hAnsi="Times New Roman" w:eastAsia="宋体" w:cs="Times New Roman"/>
                <w:color w:val="auto"/>
                <w:sz w:val="21"/>
                <w:szCs w:val="21"/>
                <w:highlight w:val="none"/>
                <w:vertAlign w:val="superscript"/>
              </w:rPr>
              <w:t>3</w:t>
            </w:r>
          </w:p>
        </w:tc>
        <w:tc>
          <w:tcPr>
            <w:tcW w:w="689" w:type="dxa"/>
            <w:tcBorders>
              <w:top w:val="single" w:color="auto" w:sz="4" w:space="0"/>
              <w:left w:val="single" w:color="auto" w:sz="4" w:space="0"/>
              <w:bottom w:val="single" w:color="auto" w:sz="4" w:space="0"/>
              <w:right w:val="single" w:color="auto" w:sz="4" w:space="0"/>
            </w:tcBorders>
            <w:vAlign w:val="center"/>
          </w:tcPr>
          <w:p w14:paraId="31748BA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日均</w:t>
            </w:r>
          </w:p>
        </w:tc>
        <w:tc>
          <w:tcPr>
            <w:tcW w:w="1132" w:type="dxa"/>
            <w:tcBorders>
              <w:top w:val="single" w:color="auto" w:sz="4" w:space="0"/>
              <w:left w:val="single" w:color="auto" w:sz="4" w:space="0"/>
              <w:bottom w:val="single" w:color="auto" w:sz="4" w:space="0"/>
              <w:right w:val="single" w:color="auto" w:sz="4" w:space="0"/>
            </w:tcBorders>
            <w:vAlign w:val="center"/>
          </w:tcPr>
          <w:p w14:paraId="1C923D4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300µg/m</w:t>
            </w:r>
            <w:r>
              <w:rPr>
                <w:rFonts w:hint="default" w:ascii="Times New Roman" w:hAnsi="Times New Roman" w:eastAsia="宋体" w:cs="Times New Roman"/>
                <w:color w:val="auto"/>
                <w:sz w:val="21"/>
                <w:szCs w:val="21"/>
                <w:highlight w:val="none"/>
                <w:vertAlign w:val="superscript"/>
              </w:rPr>
              <w:t>3</w:t>
            </w:r>
          </w:p>
        </w:tc>
        <w:tc>
          <w:tcPr>
            <w:tcW w:w="915" w:type="dxa"/>
            <w:tcBorders>
              <w:top w:val="single" w:color="auto" w:sz="4" w:space="0"/>
              <w:left w:val="single" w:color="auto" w:sz="4" w:space="0"/>
              <w:bottom w:val="single" w:color="auto" w:sz="4" w:space="0"/>
              <w:right w:val="single" w:color="auto" w:sz="4" w:space="0"/>
            </w:tcBorders>
            <w:vAlign w:val="center"/>
          </w:tcPr>
          <w:p w14:paraId="160BFDA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74</w:t>
            </w:r>
            <w:r>
              <w:rPr>
                <w:rFonts w:hint="default" w:ascii="Times New Roman" w:hAnsi="Times New Roman" w:eastAsia="宋体" w:cs="Times New Roman"/>
                <w:color w:val="auto"/>
                <w:sz w:val="21"/>
                <w:szCs w:val="21"/>
                <w:highlight w:val="none"/>
              </w:rPr>
              <w:t>%</w:t>
            </w:r>
          </w:p>
        </w:tc>
        <w:tc>
          <w:tcPr>
            <w:tcW w:w="915" w:type="dxa"/>
            <w:tcBorders>
              <w:top w:val="single" w:color="auto" w:sz="4" w:space="0"/>
              <w:left w:val="single" w:color="auto" w:sz="4" w:space="0"/>
              <w:bottom w:val="single" w:color="auto" w:sz="4" w:space="0"/>
              <w:right w:val="single" w:color="auto" w:sz="4" w:space="0"/>
            </w:tcBorders>
            <w:vAlign w:val="center"/>
          </w:tcPr>
          <w:p w14:paraId="61F5B6B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c>
          <w:tcPr>
            <w:tcW w:w="1598" w:type="dxa"/>
            <w:tcBorders>
              <w:top w:val="single" w:color="auto" w:sz="4" w:space="0"/>
              <w:left w:val="single" w:color="auto" w:sz="4" w:space="0"/>
              <w:bottom w:val="single" w:color="auto" w:sz="4" w:space="0"/>
              <w:right w:val="single" w:color="auto" w:sz="4" w:space="0"/>
            </w:tcBorders>
            <w:vAlign w:val="center"/>
          </w:tcPr>
          <w:p w14:paraId="15668EC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r>
    </w:tbl>
    <w:p w14:paraId="31D9912F">
      <w:pPr>
        <w:pageBreakBefore w:val="0"/>
        <w:widowControl w:val="0"/>
        <w:kinsoku/>
        <w:wordWrap/>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由结果可知，当地的H</w:t>
      </w:r>
      <w:r>
        <w:rPr>
          <w:rFonts w:hint="default" w:ascii="Times New Roman" w:hAnsi="Times New Roman" w:eastAsia="宋体" w:cs="Times New Roman"/>
          <w:color w:val="auto"/>
          <w:szCs w:val="24"/>
          <w:highlight w:val="none"/>
          <w:vertAlign w:val="subscript"/>
        </w:rPr>
        <w:t>2</w:t>
      </w:r>
      <w:r>
        <w:rPr>
          <w:rFonts w:hint="default" w:ascii="Times New Roman" w:hAnsi="Times New Roman" w:eastAsia="宋体" w:cs="Times New Roman"/>
          <w:color w:val="auto"/>
          <w:szCs w:val="24"/>
          <w:highlight w:val="none"/>
        </w:rPr>
        <w:t>S、NH</w:t>
      </w:r>
      <w:r>
        <w:rPr>
          <w:rFonts w:hint="default" w:ascii="Times New Roman" w:hAnsi="Times New Roman" w:eastAsia="宋体" w:cs="Times New Roman"/>
          <w:color w:val="auto"/>
          <w:szCs w:val="24"/>
          <w:highlight w:val="none"/>
          <w:vertAlign w:val="subscript"/>
        </w:rPr>
        <w:t>3</w:t>
      </w:r>
      <w:r>
        <w:rPr>
          <w:rFonts w:hint="default" w:ascii="Times New Roman" w:hAnsi="Times New Roman" w:eastAsia="宋体" w:cs="Times New Roman"/>
          <w:color w:val="auto"/>
          <w:szCs w:val="24"/>
          <w:highlight w:val="none"/>
        </w:rPr>
        <w:t>浓度符合《</w:t>
      </w:r>
      <w:r>
        <w:rPr>
          <w:rFonts w:hint="default" w:ascii="Times New Roman" w:hAnsi="Times New Roman" w:eastAsia="宋体" w:cs="Times New Roman"/>
          <w:color w:val="auto"/>
          <w:szCs w:val="24"/>
          <w:highlight w:val="none"/>
          <w:lang w:eastAsia="zh-CN"/>
        </w:rPr>
        <w:t>环境影响评价技术导则</w:t>
      </w:r>
      <w:r>
        <w:rPr>
          <w:rFonts w:hint="default" w:ascii="Times New Roman" w:hAnsi="Times New Roman" w:eastAsia="宋体" w:cs="Times New Roman"/>
          <w:color w:val="auto"/>
          <w:szCs w:val="24"/>
          <w:highlight w:val="none"/>
        </w:rPr>
        <w:t>大气环境》（HJ2.2</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rPr>
        <w:t>2018）附录D其他污染物空气质量浓度参考限值；TSP满足《环境空气质量标准》（GB3095-2012）中的二级标准。</w:t>
      </w:r>
    </w:p>
    <w:p w14:paraId="7BD5BF4B">
      <w:pPr>
        <w:pStyle w:val="5"/>
        <w:pageBreakBefore w:val="0"/>
        <w:widowControl w:val="0"/>
        <w:kinsoku/>
        <w:wordWrap/>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325" w:name="_Toc26083"/>
      <w:r>
        <w:rPr>
          <w:rFonts w:hint="default" w:ascii="Times New Roman" w:hAnsi="Times New Roman" w:eastAsia="宋体" w:cs="Times New Roman"/>
          <w:color w:val="auto"/>
          <w:highlight w:val="none"/>
        </w:rPr>
        <w:t>4.2.2</w:t>
      </w:r>
      <w:bookmarkStart w:id="326" w:name="_Toc521342155"/>
      <w:bookmarkStart w:id="327" w:name="_Toc494206317"/>
      <w:r>
        <w:rPr>
          <w:rFonts w:hint="default" w:ascii="Times New Roman" w:hAnsi="Times New Roman" w:eastAsia="宋体" w:cs="Times New Roman"/>
          <w:color w:val="auto"/>
          <w:highlight w:val="none"/>
        </w:rPr>
        <w:t>地下水质量现状调查与评价</w:t>
      </w:r>
      <w:bookmarkEnd w:id="325"/>
      <w:bookmarkEnd w:id="326"/>
      <w:bookmarkEnd w:id="327"/>
    </w:p>
    <w:p w14:paraId="0E89CF75">
      <w:pPr>
        <w:pStyle w:val="6"/>
        <w:pageBreakBefore w:val="0"/>
        <w:widowControl w:val="0"/>
        <w:kinsoku/>
        <w:wordWrap/>
        <w:topLinePunct/>
        <w:autoSpaceDE w:val="0"/>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4.2.2.1水位现状监测</w:t>
      </w:r>
    </w:p>
    <w:p w14:paraId="15AB8AC5">
      <w:pPr>
        <w:pageBreakBefore w:val="0"/>
        <w:widowControl w:val="0"/>
        <w:kinsoku/>
        <w:wordWrap/>
        <w:overflowPunct w:val="0"/>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bookmarkStart w:id="328" w:name="_Hlk46689585"/>
      <w:r>
        <w:rPr>
          <w:rFonts w:hint="default" w:ascii="Times New Roman" w:hAnsi="Times New Roman" w:eastAsia="宋体" w:cs="Times New Roman"/>
          <w:color w:val="auto"/>
          <w:highlight w:val="none"/>
        </w:rPr>
        <w:t>本次评价共布设水位监测点6个，布设3个地下水水质监测点，</w:t>
      </w:r>
      <w:r>
        <w:rPr>
          <w:rFonts w:hint="default" w:ascii="Times New Roman" w:hAnsi="Times New Roman" w:eastAsia="宋体" w:cs="Times New Roman"/>
          <w:color w:val="auto"/>
          <w:highlight w:val="none"/>
          <w:lang w:val="en-US" w:eastAsia="zh-CN"/>
        </w:rPr>
        <w:t>采样</w:t>
      </w:r>
      <w:r>
        <w:rPr>
          <w:rFonts w:hint="default" w:ascii="Times New Roman" w:hAnsi="Times New Roman" w:eastAsia="宋体" w:cs="Times New Roman"/>
          <w:color w:val="auto"/>
          <w:highlight w:val="none"/>
        </w:rPr>
        <w:t>时间为202</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12</w:t>
      </w:r>
      <w:r>
        <w:rPr>
          <w:rFonts w:hint="default" w:ascii="Times New Roman" w:hAnsi="Times New Roman" w:eastAsia="宋体" w:cs="Times New Roman"/>
          <w:color w:val="auto"/>
          <w:highlight w:val="none"/>
        </w:rPr>
        <w:t>月</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日，监测单位为</w:t>
      </w:r>
      <w:r>
        <w:rPr>
          <w:rFonts w:hint="default" w:ascii="Times New Roman" w:hAnsi="Times New Roman" w:eastAsia="宋体" w:cs="Times New Roman"/>
          <w:color w:val="auto"/>
          <w:szCs w:val="24"/>
          <w:highlight w:val="none"/>
        </w:rPr>
        <w:t>内蒙古华智鼎环保科技有限公司</w:t>
      </w:r>
      <w:r>
        <w:rPr>
          <w:rFonts w:hint="default" w:ascii="Times New Roman" w:hAnsi="Times New Roman" w:eastAsia="宋体" w:cs="Times New Roman"/>
          <w:color w:val="auto"/>
          <w:highlight w:val="none"/>
        </w:rPr>
        <w:t>，水质水位位置布点见下表，如图4.2-1所示。</w:t>
      </w:r>
      <w:bookmarkEnd w:id="328"/>
    </w:p>
    <w:p w14:paraId="2A8A0CAA">
      <w:pPr>
        <w:pStyle w:val="7"/>
        <w:pageBreakBefore w:val="0"/>
        <w:widowControl w:val="0"/>
        <w:kinsoku/>
        <w:wordWrap/>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表4.2-6地下水水位监测布点</w:t>
      </w:r>
      <w:r>
        <w:rPr>
          <w:rFonts w:hint="default" w:ascii="Times New Roman" w:hAnsi="Times New Roman" w:eastAsia="宋体" w:cs="Times New Roman"/>
          <w:color w:val="auto"/>
          <w:highlight w:val="none"/>
          <w:lang w:eastAsia="zh-CN"/>
        </w:rPr>
        <w:t>情况表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90"/>
        <w:gridCol w:w="1090"/>
        <w:gridCol w:w="1091"/>
        <w:gridCol w:w="1091"/>
        <w:gridCol w:w="1732"/>
        <w:gridCol w:w="1091"/>
        <w:gridCol w:w="1092"/>
      </w:tblGrid>
      <w:tr w14:paraId="16F88B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90" w:type="dxa"/>
            <w:tcBorders>
              <w:top w:val="single" w:color="auto" w:sz="4" w:space="0"/>
              <w:left w:val="single" w:color="auto" w:sz="4" w:space="0"/>
              <w:bottom w:val="single" w:color="auto" w:sz="4" w:space="0"/>
              <w:right w:val="single" w:color="auto" w:sz="4" w:space="0"/>
            </w:tcBorders>
            <w:vAlign w:val="center"/>
          </w:tcPr>
          <w:p w14:paraId="2E0CC526">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点位</w:t>
            </w:r>
          </w:p>
        </w:tc>
        <w:tc>
          <w:tcPr>
            <w:tcW w:w="1090" w:type="dxa"/>
            <w:tcBorders>
              <w:top w:val="single" w:color="auto" w:sz="4" w:space="0"/>
              <w:left w:val="single" w:color="auto" w:sz="4" w:space="0"/>
              <w:bottom w:val="single" w:color="auto" w:sz="4" w:space="0"/>
              <w:right w:val="single" w:color="auto" w:sz="4" w:space="0"/>
            </w:tcBorders>
            <w:vAlign w:val="center"/>
          </w:tcPr>
          <w:p w14:paraId="09D0313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方位</w:t>
            </w:r>
          </w:p>
        </w:tc>
        <w:tc>
          <w:tcPr>
            <w:tcW w:w="1091" w:type="dxa"/>
            <w:tcBorders>
              <w:top w:val="single" w:color="auto" w:sz="4" w:space="0"/>
              <w:left w:val="single" w:color="auto" w:sz="4" w:space="0"/>
              <w:bottom w:val="single" w:color="auto" w:sz="4" w:space="0"/>
              <w:right w:val="single" w:color="auto" w:sz="4" w:space="0"/>
            </w:tcBorders>
            <w:vAlign w:val="center"/>
          </w:tcPr>
          <w:p w14:paraId="0D5F9CB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距离</w:t>
            </w:r>
          </w:p>
        </w:tc>
        <w:tc>
          <w:tcPr>
            <w:tcW w:w="1091" w:type="dxa"/>
            <w:tcBorders>
              <w:top w:val="single" w:color="auto" w:sz="4" w:space="0"/>
              <w:left w:val="single" w:color="auto" w:sz="4" w:space="0"/>
              <w:bottom w:val="single" w:color="auto" w:sz="4" w:space="0"/>
              <w:right w:val="single" w:color="auto" w:sz="4" w:space="0"/>
            </w:tcBorders>
            <w:vAlign w:val="center"/>
          </w:tcPr>
          <w:p w14:paraId="3025198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地下水方向</w:t>
            </w:r>
          </w:p>
        </w:tc>
        <w:tc>
          <w:tcPr>
            <w:tcW w:w="1732" w:type="dxa"/>
            <w:tcBorders>
              <w:top w:val="single" w:color="auto" w:sz="4" w:space="0"/>
              <w:left w:val="single" w:color="auto" w:sz="4" w:space="0"/>
              <w:bottom w:val="single" w:color="auto" w:sz="4" w:space="0"/>
              <w:right w:val="single" w:color="auto" w:sz="4" w:space="0"/>
            </w:tcBorders>
            <w:vAlign w:val="center"/>
          </w:tcPr>
          <w:p w14:paraId="638F904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坐标</w:t>
            </w:r>
          </w:p>
        </w:tc>
        <w:tc>
          <w:tcPr>
            <w:tcW w:w="1091" w:type="dxa"/>
            <w:tcBorders>
              <w:top w:val="single" w:color="auto" w:sz="4" w:space="0"/>
              <w:left w:val="single" w:color="auto" w:sz="4" w:space="0"/>
              <w:bottom w:val="single" w:color="auto" w:sz="4" w:space="0"/>
              <w:right w:val="single" w:color="auto" w:sz="4" w:space="0"/>
            </w:tcBorders>
            <w:vAlign w:val="center"/>
          </w:tcPr>
          <w:p w14:paraId="4B60382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水井功能</w:t>
            </w:r>
          </w:p>
        </w:tc>
        <w:tc>
          <w:tcPr>
            <w:tcW w:w="1092" w:type="dxa"/>
            <w:tcBorders>
              <w:top w:val="single" w:color="auto" w:sz="4" w:space="0"/>
              <w:left w:val="single" w:color="auto" w:sz="4" w:space="0"/>
              <w:bottom w:val="single" w:color="auto" w:sz="4" w:space="0"/>
              <w:right w:val="single" w:color="auto" w:sz="4" w:space="0"/>
            </w:tcBorders>
            <w:vAlign w:val="center"/>
          </w:tcPr>
          <w:p w14:paraId="356A7BF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监测内容</w:t>
            </w:r>
          </w:p>
        </w:tc>
      </w:tr>
      <w:tr w14:paraId="507994A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90" w:type="dxa"/>
            <w:tcBorders>
              <w:top w:val="single" w:color="auto" w:sz="4" w:space="0"/>
              <w:left w:val="single" w:color="auto" w:sz="4" w:space="0"/>
              <w:bottom w:val="single" w:color="auto" w:sz="4" w:space="0"/>
              <w:right w:val="single" w:color="auto" w:sz="4" w:space="0"/>
            </w:tcBorders>
            <w:vAlign w:val="center"/>
          </w:tcPr>
          <w:p w14:paraId="4D761F37">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北侧水井</w:t>
            </w:r>
          </w:p>
        </w:tc>
        <w:tc>
          <w:tcPr>
            <w:tcW w:w="1090" w:type="dxa"/>
            <w:tcBorders>
              <w:top w:val="single" w:color="auto" w:sz="4" w:space="0"/>
              <w:left w:val="single" w:color="auto" w:sz="4" w:space="0"/>
              <w:bottom w:val="single" w:color="auto" w:sz="4" w:space="0"/>
              <w:right w:val="single" w:color="auto" w:sz="4" w:space="0"/>
            </w:tcBorders>
            <w:vAlign w:val="center"/>
          </w:tcPr>
          <w:p w14:paraId="777D6D3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北侧</w:t>
            </w:r>
          </w:p>
        </w:tc>
        <w:tc>
          <w:tcPr>
            <w:tcW w:w="1091" w:type="dxa"/>
            <w:tcBorders>
              <w:top w:val="single" w:color="auto" w:sz="4" w:space="0"/>
              <w:left w:val="single" w:color="auto" w:sz="4" w:space="0"/>
              <w:bottom w:val="single" w:color="auto" w:sz="4" w:space="0"/>
              <w:right w:val="single" w:color="auto" w:sz="4" w:space="0"/>
            </w:tcBorders>
            <w:vAlign w:val="center"/>
          </w:tcPr>
          <w:p w14:paraId="6018673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0.5</w:t>
            </w:r>
            <w:r>
              <w:rPr>
                <w:rFonts w:hint="default" w:ascii="Times New Roman" w:hAnsi="Times New Roman" w:eastAsia="宋体" w:cs="Times New Roman"/>
                <w:color w:val="FF0000"/>
                <w:sz w:val="21"/>
                <w:szCs w:val="21"/>
                <w:highlight w:val="none"/>
              </w:rPr>
              <w:t>km</w:t>
            </w:r>
          </w:p>
        </w:tc>
        <w:tc>
          <w:tcPr>
            <w:tcW w:w="1091" w:type="dxa"/>
            <w:tcBorders>
              <w:top w:val="single" w:color="auto" w:sz="4" w:space="0"/>
              <w:left w:val="single" w:color="auto" w:sz="4" w:space="0"/>
              <w:bottom w:val="single" w:color="auto" w:sz="4" w:space="0"/>
              <w:right w:val="single" w:color="auto" w:sz="4" w:space="0"/>
            </w:tcBorders>
            <w:vAlign w:val="center"/>
          </w:tcPr>
          <w:p w14:paraId="5F9B24CC">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上游</w:t>
            </w:r>
          </w:p>
        </w:tc>
        <w:tc>
          <w:tcPr>
            <w:tcW w:w="1732" w:type="dxa"/>
            <w:tcBorders>
              <w:top w:val="single" w:color="auto" w:sz="4" w:space="0"/>
              <w:left w:val="single" w:color="auto" w:sz="4" w:space="0"/>
              <w:bottom w:val="single" w:color="auto" w:sz="4" w:space="0"/>
              <w:right w:val="single" w:color="auto" w:sz="4" w:space="0"/>
            </w:tcBorders>
            <w:vAlign w:val="center"/>
          </w:tcPr>
          <w:p w14:paraId="20F359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zh-CN" w:eastAsia="zh-CN" w:bidi="ar-SA"/>
              </w:rPr>
            </w:pPr>
            <w:r>
              <w:rPr>
                <w:rFonts w:hint="default" w:ascii="Times New Roman" w:hAnsi="Times New Roman" w:eastAsia="宋体" w:cs="Times New Roman"/>
                <w:color w:val="FF0000"/>
                <w:sz w:val="21"/>
                <w:szCs w:val="21"/>
                <w:highlight w:val="none"/>
                <w:lang w:val="en-US" w:eastAsia="zh-CN"/>
              </w:rPr>
              <w:t>E</w:t>
            </w:r>
            <w:r>
              <w:rPr>
                <w:rFonts w:hint="default" w:ascii="Times New Roman" w:hAnsi="Times New Roman" w:eastAsia="宋体" w:cs="Times New Roman"/>
                <w:color w:val="FF0000"/>
                <w:sz w:val="21"/>
                <w:szCs w:val="21"/>
                <w:highlight w:val="none"/>
                <w:lang w:eastAsia="zh-CN"/>
              </w:rPr>
              <w:t>108°55′57.75″</w:t>
            </w:r>
            <w:r>
              <w:rPr>
                <w:rFonts w:hint="default"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lang w:val="en-US" w:eastAsia="zh-CN"/>
              </w:rPr>
              <w:t>N</w:t>
            </w:r>
            <w:r>
              <w:rPr>
                <w:rFonts w:hint="default" w:ascii="Times New Roman" w:hAnsi="Times New Roman" w:eastAsia="宋体" w:cs="Times New Roman"/>
                <w:color w:val="FF0000"/>
                <w:sz w:val="21"/>
                <w:szCs w:val="21"/>
                <w:highlight w:val="none"/>
                <w:lang w:eastAsia="zh-CN"/>
              </w:rPr>
              <w:t>41°7′34.87″</w:t>
            </w:r>
          </w:p>
        </w:tc>
        <w:tc>
          <w:tcPr>
            <w:tcW w:w="1091" w:type="dxa"/>
            <w:tcBorders>
              <w:top w:val="single" w:color="auto" w:sz="4" w:space="0"/>
              <w:left w:val="single" w:color="auto" w:sz="4" w:space="0"/>
              <w:bottom w:val="single" w:color="auto" w:sz="4" w:space="0"/>
              <w:right w:val="single" w:color="auto" w:sz="4" w:space="0"/>
            </w:tcBorders>
            <w:vAlign w:val="center"/>
          </w:tcPr>
          <w:p w14:paraId="45CC2C6E">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灌溉水井</w:t>
            </w:r>
          </w:p>
        </w:tc>
        <w:tc>
          <w:tcPr>
            <w:tcW w:w="1092" w:type="dxa"/>
            <w:tcBorders>
              <w:top w:val="single" w:color="auto" w:sz="4" w:space="0"/>
              <w:left w:val="single" w:color="auto" w:sz="4" w:space="0"/>
              <w:bottom w:val="single" w:color="auto" w:sz="4" w:space="0"/>
              <w:right w:val="single" w:color="auto" w:sz="4" w:space="0"/>
            </w:tcBorders>
            <w:vAlign w:val="center"/>
          </w:tcPr>
          <w:p w14:paraId="7B6A4B0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水质、水位</w:t>
            </w:r>
          </w:p>
        </w:tc>
      </w:tr>
      <w:tr w14:paraId="172F86E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90" w:type="dxa"/>
            <w:tcBorders>
              <w:top w:val="single" w:color="auto" w:sz="4" w:space="0"/>
              <w:left w:val="single" w:color="auto" w:sz="4" w:space="0"/>
              <w:bottom w:val="single" w:color="auto" w:sz="4" w:space="0"/>
              <w:right w:val="single" w:color="auto" w:sz="4" w:space="0"/>
            </w:tcBorders>
            <w:vAlign w:val="center"/>
          </w:tcPr>
          <w:p w14:paraId="0FE7217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场区水井</w:t>
            </w:r>
          </w:p>
        </w:tc>
        <w:tc>
          <w:tcPr>
            <w:tcW w:w="1090" w:type="dxa"/>
            <w:tcBorders>
              <w:top w:val="single" w:color="auto" w:sz="4" w:space="0"/>
              <w:left w:val="single" w:color="auto" w:sz="4" w:space="0"/>
              <w:bottom w:val="single" w:color="auto" w:sz="4" w:space="0"/>
              <w:right w:val="single" w:color="auto" w:sz="4" w:space="0"/>
            </w:tcBorders>
            <w:vAlign w:val="center"/>
          </w:tcPr>
          <w:p w14:paraId="1702475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场区内</w:t>
            </w:r>
          </w:p>
        </w:tc>
        <w:tc>
          <w:tcPr>
            <w:tcW w:w="1091" w:type="dxa"/>
            <w:tcBorders>
              <w:top w:val="single" w:color="auto" w:sz="4" w:space="0"/>
              <w:left w:val="single" w:color="auto" w:sz="4" w:space="0"/>
              <w:bottom w:val="single" w:color="auto" w:sz="4" w:space="0"/>
              <w:right w:val="single" w:color="auto" w:sz="4" w:space="0"/>
            </w:tcBorders>
            <w:vAlign w:val="center"/>
          </w:tcPr>
          <w:p w14:paraId="620728F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w:t>
            </w:r>
          </w:p>
        </w:tc>
        <w:tc>
          <w:tcPr>
            <w:tcW w:w="1091" w:type="dxa"/>
            <w:tcBorders>
              <w:top w:val="single" w:color="auto" w:sz="4" w:space="0"/>
              <w:left w:val="single" w:color="auto" w:sz="4" w:space="0"/>
              <w:bottom w:val="single" w:color="auto" w:sz="4" w:space="0"/>
              <w:right w:val="single" w:color="auto" w:sz="4" w:space="0"/>
            </w:tcBorders>
            <w:vAlign w:val="center"/>
          </w:tcPr>
          <w:p w14:paraId="59F1446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w:t>
            </w:r>
          </w:p>
        </w:tc>
        <w:tc>
          <w:tcPr>
            <w:tcW w:w="1732" w:type="dxa"/>
            <w:tcBorders>
              <w:top w:val="single" w:color="auto" w:sz="4" w:space="0"/>
              <w:left w:val="single" w:color="auto" w:sz="4" w:space="0"/>
              <w:bottom w:val="single" w:color="auto" w:sz="4" w:space="0"/>
              <w:right w:val="single" w:color="auto" w:sz="4" w:space="0"/>
            </w:tcBorders>
            <w:vAlign w:val="center"/>
          </w:tcPr>
          <w:p w14:paraId="1CA403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zh-CN" w:eastAsia="zh-CN" w:bidi="ar-SA"/>
              </w:rPr>
            </w:pPr>
            <w:r>
              <w:rPr>
                <w:rFonts w:hint="default" w:ascii="Times New Roman" w:hAnsi="Times New Roman" w:eastAsia="宋体" w:cs="Times New Roman"/>
                <w:color w:val="FF0000"/>
                <w:sz w:val="21"/>
                <w:szCs w:val="21"/>
                <w:highlight w:val="none"/>
                <w:lang w:val="en-US" w:eastAsia="zh-CN"/>
              </w:rPr>
              <w:t>E</w:t>
            </w:r>
            <w:r>
              <w:rPr>
                <w:rFonts w:hint="default" w:ascii="Times New Roman" w:hAnsi="Times New Roman" w:eastAsia="宋体" w:cs="Times New Roman"/>
                <w:color w:val="FF0000"/>
                <w:sz w:val="21"/>
                <w:szCs w:val="21"/>
                <w:highlight w:val="none"/>
                <w:lang w:eastAsia="zh-CN"/>
              </w:rPr>
              <w:t>108°56′5.36″</w:t>
            </w:r>
            <w:r>
              <w:rPr>
                <w:rFonts w:hint="default"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lang w:val="en-US" w:eastAsia="zh-CN"/>
              </w:rPr>
              <w:t>N</w:t>
            </w:r>
            <w:r>
              <w:rPr>
                <w:rFonts w:hint="default" w:ascii="Times New Roman" w:hAnsi="Times New Roman" w:eastAsia="宋体" w:cs="Times New Roman"/>
                <w:color w:val="FF0000"/>
                <w:sz w:val="21"/>
                <w:szCs w:val="21"/>
                <w:highlight w:val="none"/>
                <w:lang w:eastAsia="zh-CN"/>
              </w:rPr>
              <w:t>41°7′9.31″</w:t>
            </w:r>
          </w:p>
        </w:tc>
        <w:tc>
          <w:tcPr>
            <w:tcW w:w="1091" w:type="dxa"/>
            <w:tcBorders>
              <w:top w:val="single" w:color="auto" w:sz="4" w:space="0"/>
              <w:left w:val="single" w:color="auto" w:sz="4" w:space="0"/>
              <w:bottom w:val="single" w:color="auto" w:sz="4" w:space="0"/>
              <w:right w:val="single" w:color="auto" w:sz="4" w:space="0"/>
            </w:tcBorders>
            <w:vAlign w:val="center"/>
          </w:tcPr>
          <w:p w14:paraId="727F167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养殖用水井</w:t>
            </w:r>
          </w:p>
        </w:tc>
        <w:tc>
          <w:tcPr>
            <w:tcW w:w="1092" w:type="dxa"/>
            <w:tcBorders>
              <w:top w:val="single" w:color="auto" w:sz="4" w:space="0"/>
              <w:left w:val="single" w:color="auto" w:sz="4" w:space="0"/>
              <w:bottom w:val="single" w:color="auto" w:sz="4" w:space="0"/>
              <w:right w:val="single" w:color="auto" w:sz="4" w:space="0"/>
            </w:tcBorders>
            <w:vAlign w:val="center"/>
          </w:tcPr>
          <w:p w14:paraId="323D6A7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水质、水位</w:t>
            </w:r>
          </w:p>
        </w:tc>
      </w:tr>
      <w:tr w14:paraId="0CAC670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90" w:type="dxa"/>
            <w:tcBorders>
              <w:top w:val="single" w:color="auto" w:sz="4" w:space="0"/>
              <w:left w:val="single" w:color="auto" w:sz="4" w:space="0"/>
              <w:bottom w:val="single" w:color="auto" w:sz="4" w:space="0"/>
              <w:right w:val="single" w:color="auto" w:sz="4" w:space="0"/>
            </w:tcBorders>
            <w:vAlign w:val="center"/>
          </w:tcPr>
          <w:p w14:paraId="6D8F447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eastAsia="宋体" w:cs="Times New Roman"/>
                <w:color w:val="0000FF"/>
                <w:kern w:val="2"/>
                <w:sz w:val="21"/>
                <w:szCs w:val="21"/>
                <w:highlight w:val="none"/>
                <w:lang w:val="en-US" w:eastAsia="zh-CN" w:bidi="ar-SA"/>
              </w:rPr>
              <w:t>东南侧水井</w:t>
            </w:r>
          </w:p>
        </w:tc>
        <w:tc>
          <w:tcPr>
            <w:tcW w:w="1090" w:type="dxa"/>
            <w:tcBorders>
              <w:top w:val="single" w:color="auto" w:sz="4" w:space="0"/>
              <w:left w:val="single" w:color="auto" w:sz="4" w:space="0"/>
              <w:bottom w:val="single" w:color="auto" w:sz="4" w:space="0"/>
              <w:right w:val="single" w:color="auto" w:sz="4" w:space="0"/>
            </w:tcBorders>
            <w:vAlign w:val="center"/>
          </w:tcPr>
          <w:p w14:paraId="054390B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eastAsia="宋体" w:cs="Times New Roman"/>
                <w:color w:val="0000FF"/>
                <w:sz w:val="21"/>
                <w:szCs w:val="21"/>
                <w:highlight w:val="none"/>
                <w:lang w:val="en-US" w:eastAsia="zh-CN"/>
              </w:rPr>
              <w:t>东</w:t>
            </w:r>
            <w:r>
              <w:rPr>
                <w:rFonts w:hint="default" w:ascii="Times New Roman" w:hAnsi="Times New Roman" w:eastAsia="宋体" w:cs="Times New Roman"/>
                <w:color w:val="0000FF"/>
                <w:kern w:val="2"/>
                <w:sz w:val="21"/>
                <w:szCs w:val="21"/>
                <w:highlight w:val="none"/>
                <w:lang w:val="en-US" w:eastAsia="zh-CN" w:bidi="ar-SA"/>
              </w:rPr>
              <w:t>南</w:t>
            </w:r>
            <w:r>
              <w:rPr>
                <w:rFonts w:hint="default" w:ascii="Times New Roman" w:hAnsi="Times New Roman" w:eastAsia="宋体" w:cs="Times New Roman"/>
                <w:color w:val="0000FF"/>
                <w:sz w:val="21"/>
                <w:szCs w:val="21"/>
                <w:highlight w:val="none"/>
                <w:lang w:val="en-US" w:eastAsia="zh-CN"/>
              </w:rPr>
              <w:t>侧</w:t>
            </w:r>
          </w:p>
        </w:tc>
        <w:tc>
          <w:tcPr>
            <w:tcW w:w="1091" w:type="dxa"/>
            <w:tcBorders>
              <w:top w:val="single" w:color="auto" w:sz="4" w:space="0"/>
              <w:left w:val="single" w:color="auto" w:sz="4" w:space="0"/>
              <w:bottom w:val="single" w:color="auto" w:sz="4" w:space="0"/>
              <w:right w:val="single" w:color="auto" w:sz="4" w:space="0"/>
            </w:tcBorders>
            <w:vAlign w:val="center"/>
          </w:tcPr>
          <w:p w14:paraId="112032C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kern w:val="0"/>
                <w:sz w:val="21"/>
                <w:szCs w:val="21"/>
                <w:highlight w:val="none"/>
                <w:lang w:val="en-US" w:eastAsia="zh-CN" w:bidi="ar-SA"/>
              </w:rPr>
            </w:pPr>
            <w:r>
              <w:rPr>
                <w:rFonts w:hint="default" w:ascii="Times New Roman" w:hAnsi="Times New Roman" w:eastAsia="宋体" w:cs="Times New Roman"/>
                <w:color w:val="0000FF"/>
                <w:kern w:val="0"/>
                <w:sz w:val="21"/>
                <w:szCs w:val="21"/>
                <w:highlight w:val="none"/>
                <w:lang w:val="en-US" w:eastAsia="zh-CN"/>
              </w:rPr>
              <w:t>0.25km</w:t>
            </w:r>
          </w:p>
        </w:tc>
        <w:tc>
          <w:tcPr>
            <w:tcW w:w="1091" w:type="dxa"/>
            <w:tcBorders>
              <w:top w:val="single" w:color="auto" w:sz="4" w:space="0"/>
              <w:left w:val="single" w:color="auto" w:sz="4" w:space="0"/>
              <w:bottom w:val="single" w:color="auto" w:sz="4" w:space="0"/>
              <w:right w:val="single" w:color="auto" w:sz="4" w:space="0"/>
            </w:tcBorders>
            <w:vAlign w:val="center"/>
          </w:tcPr>
          <w:p w14:paraId="52EEC258">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eastAsia="宋体" w:cs="Times New Roman"/>
                <w:color w:val="0000FF"/>
                <w:kern w:val="2"/>
                <w:sz w:val="21"/>
                <w:szCs w:val="21"/>
                <w:highlight w:val="none"/>
                <w:lang w:val="en-US" w:eastAsia="zh-CN" w:bidi="ar-SA"/>
              </w:rPr>
              <w:t>下游</w:t>
            </w:r>
          </w:p>
        </w:tc>
        <w:tc>
          <w:tcPr>
            <w:tcW w:w="1732" w:type="dxa"/>
            <w:tcBorders>
              <w:top w:val="single" w:color="auto" w:sz="4" w:space="0"/>
              <w:left w:val="single" w:color="auto" w:sz="4" w:space="0"/>
              <w:bottom w:val="single" w:color="auto" w:sz="4" w:space="0"/>
              <w:right w:val="single" w:color="auto" w:sz="4" w:space="0"/>
            </w:tcBorders>
            <w:vAlign w:val="center"/>
          </w:tcPr>
          <w:p w14:paraId="1C539F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highlight w:val="none"/>
                <w:lang w:val="zh-CN" w:eastAsia="zh-CN" w:bidi="ar-SA"/>
              </w:rPr>
            </w:pPr>
            <w:r>
              <w:rPr>
                <w:rFonts w:hint="default" w:ascii="Times New Roman" w:hAnsi="Times New Roman" w:eastAsia="宋体" w:cs="Times New Roman"/>
                <w:color w:val="0000FF"/>
                <w:sz w:val="21"/>
                <w:szCs w:val="21"/>
                <w:highlight w:val="none"/>
                <w:lang w:val="en-US" w:eastAsia="zh-CN"/>
              </w:rPr>
              <w:t>E108°56′14.18″</w:t>
            </w:r>
            <w:r>
              <w:rPr>
                <w:rFonts w:hint="default" w:ascii="Times New Roman" w:hAnsi="Times New Roman" w:eastAsia="宋体" w:cs="Times New Roman"/>
                <w:color w:val="0000FF"/>
                <w:sz w:val="21"/>
                <w:szCs w:val="21"/>
                <w:highlight w:val="none"/>
                <w:lang w:val="en-US" w:eastAsia="zh-CN"/>
              </w:rPr>
              <w:t>，</w:t>
            </w:r>
            <w:r>
              <w:rPr>
                <w:rFonts w:hint="default" w:ascii="Times New Roman" w:hAnsi="Times New Roman" w:eastAsia="宋体" w:cs="Times New Roman"/>
                <w:color w:val="0000FF"/>
                <w:sz w:val="21"/>
                <w:szCs w:val="21"/>
                <w:highlight w:val="none"/>
                <w:lang w:val="en-US" w:eastAsia="zh-CN"/>
              </w:rPr>
              <w:t>N41°6′56.72″</w:t>
            </w:r>
          </w:p>
        </w:tc>
        <w:tc>
          <w:tcPr>
            <w:tcW w:w="1091" w:type="dxa"/>
            <w:tcBorders>
              <w:top w:val="single" w:color="auto" w:sz="4" w:space="0"/>
              <w:left w:val="single" w:color="auto" w:sz="4" w:space="0"/>
              <w:bottom w:val="single" w:color="auto" w:sz="4" w:space="0"/>
              <w:right w:val="single" w:color="auto" w:sz="4" w:space="0"/>
            </w:tcBorders>
            <w:vAlign w:val="center"/>
          </w:tcPr>
          <w:p w14:paraId="1538421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eastAsia="宋体" w:cs="Times New Roman"/>
                <w:color w:val="0000FF"/>
                <w:kern w:val="2"/>
                <w:sz w:val="21"/>
                <w:szCs w:val="21"/>
                <w:highlight w:val="none"/>
                <w:lang w:val="en-US" w:eastAsia="zh-CN" w:bidi="ar-SA"/>
              </w:rPr>
              <w:t>生活水井</w:t>
            </w:r>
          </w:p>
        </w:tc>
        <w:tc>
          <w:tcPr>
            <w:tcW w:w="1092" w:type="dxa"/>
            <w:tcBorders>
              <w:top w:val="single" w:color="auto" w:sz="4" w:space="0"/>
              <w:left w:val="single" w:color="auto" w:sz="4" w:space="0"/>
              <w:bottom w:val="single" w:color="auto" w:sz="4" w:space="0"/>
              <w:right w:val="single" w:color="auto" w:sz="4" w:space="0"/>
            </w:tcBorders>
            <w:vAlign w:val="center"/>
          </w:tcPr>
          <w:p w14:paraId="5329DAD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eastAsia="宋体" w:cs="Times New Roman"/>
                <w:color w:val="0000FF"/>
                <w:kern w:val="2"/>
                <w:sz w:val="21"/>
                <w:szCs w:val="21"/>
                <w:highlight w:val="none"/>
                <w:lang w:val="en-US" w:eastAsia="zh-CN" w:bidi="ar-SA"/>
              </w:rPr>
              <w:t>水质、水位</w:t>
            </w:r>
          </w:p>
        </w:tc>
      </w:tr>
      <w:tr w14:paraId="43960A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90" w:type="dxa"/>
            <w:tcBorders>
              <w:top w:val="single" w:color="auto" w:sz="4" w:space="0"/>
              <w:left w:val="single" w:color="auto" w:sz="4" w:space="0"/>
              <w:bottom w:val="single" w:color="auto" w:sz="4" w:space="0"/>
              <w:right w:val="single" w:color="auto" w:sz="4" w:space="0"/>
            </w:tcBorders>
            <w:vAlign w:val="center"/>
          </w:tcPr>
          <w:p w14:paraId="7B7F048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东侧水井</w:t>
            </w:r>
          </w:p>
        </w:tc>
        <w:tc>
          <w:tcPr>
            <w:tcW w:w="1090" w:type="dxa"/>
            <w:tcBorders>
              <w:top w:val="single" w:color="auto" w:sz="4" w:space="0"/>
              <w:left w:val="single" w:color="auto" w:sz="4" w:space="0"/>
              <w:bottom w:val="single" w:color="auto" w:sz="4" w:space="0"/>
              <w:right w:val="single" w:color="auto" w:sz="4" w:space="0"/>
            </w:tcBorders>
            <w:vAlign w:val="center"/>
          </w:tcPr>
          <w:p w14:paraId="064A590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东侧</w:t>
            </w:r>
          </w:p>
        </w:tc>
        <w:tc>
          <w:tcPr>
            <w:tcW w:w="1091" w:type="dxa"/>
            <w:tcBorders>
              <w:top w:val="single" w:color="auto" w:sz="4" w:space="0"/>
              <w:left w:val="single" w:color="auto" w:sz="4" w:space="0"/>
              <w:bottom w:val="single" w:color="auto" w:sz="4" w:space="0"/>
              <w:right w:val="single" w:color="auto" w:sz="4" w:space="0"/>
            </w:tcBorders>
            <w:vAlign w:val="center"/>
          </w:tcPr>
          <w:p w14:paraId="14ADC04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0.43km</w:t>
            </w:r>
          </w:p>
        </w:tc>
        <w:tc>
          <w:tcPr>
            <w:tcW w:w="1091" w:type="dxa"/>
            <w:tcBorders>
              <w:top w:val="single" w:color="auto" w:sz="4" w:space="0"/>
              <w:left w:val="single" w:color="auto" w:sz="4" w:space="0"/>
              <w:bottom w:val="single" w:color="auto" w:sz="4" w:space="0"/>
              <w:right w:val="single" w:color="auto" w:sz="4" w:space="0"/>
            </w:tcBorders>
            <w:vAlign w:val="center"/>
          </w:tcPr>
          <w:p w14:paraId="0EE00BF4">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两侧</w:t>
            </w:r>
          </w:p>
        </w:tc>
        <w:tc>
          <w:tcPr>
            <w:tcW w:w="1732" w:type="dxa"/>
            <w:tcBorders>
              <w:top w:val="single" w:color="auto" w:sz="4" w:space="0"/>
              <w:left w:val="single" w:color="auto" w:sz="4" w:space="0"/>
              <w:bottom w:val="single" w:color="auto" w:sz="4" w:space="0"/>
              <w:right w:val="single" w:color="auto" w:sz="4" w:space="0"/>
            </w:tcBorders>
            <w:vAlign w:val="center"/>
          </w:tcPr>
          <w:p w14:paraId="39420D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zh-CN" w:eastAsia="zh-CN" w:bidi="ar-SA"/>
              </w:rPr>
            </w:pPr>
            <w:r>
              <w:rPr>
                <w:rFonts w:hint="default" w:ascii="Times New Roman" w:hAnsi="Times New Roman" w:eastAsia="宋体" w:cs="Times New Roman"/>
                <w:color w:val="FF0000"/>
                <w:sz w:val="21"/>
                <w:szCs w:val="21"/>
                <w:highlight w:val="none"/>
                <w:lang w:val="en-US" w:eastAsia="zh-CN"/>
              </w:rPr>
              <w:t>108°56′26.41″</w:t>
            </w:r>
            <w:r>
              <w:rPr>
                <w:rFonts w:hint="default"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lang w:val="en-US" w:eastAsia="zh-CN"/>
              </w:rPr>
              <w:t>N41°7′2.77″</w:t>
            </w:r>
          </w:p>
        </w:tc>
        <w:tc>
          <w:tcPr>
            <w:tcW w:w="1091" w:type="dxa"/>
            <w:tcBorders>
              <w:top w:val="single" w:color="auto" w:sz="4" w:space="0"/>
              <w:left w:val="single" w:color="auto" w:sz="4" w:space="0"/>
              <w:bottom w:val="single" w:color="auto" w:sz="4" w:space="0"/>
              <w:right w:val="single" w:color="auto" w:sz="4" w:space="0"/>
            </w:tcBorders>
            <w:vAlign w:val="center"/>
          </w:tcPr>
          <w:p w14:paraId="2E4421F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灌溉水井</w:t>
            </w:r>
          </w:p>
        </w:tc>
        <w:tc>
          <w:tcPr>
            <w:tcW w:w="1092" w:type="dxa"/>
            <w:tcBorders>
              <w:top w:val="single" w:color="auto" w:sz="4" w:space="0"/>
              <w:left w:val="single" w:color="auto" w:sz="4" w:space="0"/>
              <w:bottom w:val="single" w:color="auto" w:sz="4" w:space="0"/>
              <w:right w:val="single" w:color="auto" w:sz="4" w:space="0"/>
            </w:tcBorders>
            <w:vAlign w:val="center"/>
          </w:tcPr>
          <w:p w14:paraId="74EBD09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水位</w:t>
            </w:r>
          </w:p>
        </w:tc>
      </w:tr>
      <w:tr w14:paraId="3F57071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90" w:type="dxa"/>
            <w:tcBorders>
              <w:top w:val="single" w:color="auto" w:sz="4" w:space="0"/>
              <w:left w:val="single" w:color="auto" w:sz="4" w:space="0"/>
              <w:bottom w:val="single" w:color="auto" w:sz="4" w:space="0"/>
              <w:right w:val="single" w:color="auto" w:sz="4" w:space="0"/>
            </w:tcBorders>
            <w:vAlign w:val="center"/>
          </w:tcPr>
          <w:p w14:paraId="553D4789">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南侧水井1#</w:t>
            </w:r>
          </w:p>
        </w:tc>
        <w:tc>
          <w:tcPr>
            <w:tcW w:w="1090" w:type="dxa"/>
            <w:tcBorders>
              <w:top w:val="single" w:color="auto" w:sz="4" w:space="0"/>
              <w:left w:val="single" w:color="auto" w:sz="4" w:space="0"/>
              <w:bottom w:val="single" w:color="auto" w:sz="4" w:space="0"/>
              <w:right w:val="single" w:color="auto" w:sz="4" w:space="0"/>
            </w:tcBorders>
            <w:vAlign w:val="center"/>
          </w:tcPr>
          <w:p w14:paraId="339C834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南</w:t>
            </w:r>
            <w:r>
              <w:rPr>
                <w:rFonts w:hint="default" w:ascii="Times New Roman" w:hAnsi="Times New Roman" w:eastAsia="宋体" w:cs="Times New Roman"/>
                <w:color w:val="FF0000"/>
                <w:sz w:val="21"/>
                <w:szCs w:val="21"/>
                <w:highlight w:val="none"/>
                <w:lang w:val="en-US" w:eastAsia="zh-CN"/>
              </w:rPr>
              <w:t>侧</w:t>
            </w:r>
          </w:p>
        </w:tc>
        <w:tc>
          <w:tcPr>
            <w:tcW w:w="1091" w:type="dxa"/>
            <w:tcBorders>
              <w:top w:val="single" w:color="auto" w:sz="4" w:space="0"/>
              <w:left w:val="single" w:color="auto" w:sz="4" w:space="0"/>
              <w:bottom w:val="single" w:color="auto" w:sz="4" w:space="0"/>
              <w:right w:val="single" w:color="auto" w:sz="4" w:space="0"/>
            </w:tcBorders>
            <w:vAlign w:val="center"/>
          </w:tcPr>
          <w:p w14:paraId="3397964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0.47</w:t>
            </w:r>
            <w:r>
              <w:rPr>
                <w:rFonts w:hint="default" w:ascii="Times New Roman" w:hAnsi="Times New Roman" w:eastAsia="宋体" w:cs="Times New Roman"/>
                <w:color w:val="FF0000"/>
                <w:sz w:val="21"/>
                <w:szCs w:val="21"/>
                <w:highlight w:val="none"/>
              </w:rPr>
              <w:t>km</w:t>
            </w:r>
          </w:p>
        </w:tc>
        <w:tc>
          <w:tcPr>
            <w:tcW w:w="1091" w:type="dxa"/>
            <w:tcBorders>
              <w:top w:val="single" w:color="auto" w:sz="4" w:space="0"/>
              <w:left w:val="single" w:color="auto" w:sz="4" w:space="0"/>
              <w:bottom w:val="single" w:color="auto" w:sz="4" w:space="0"/>
              <w:right w:val="single" w:color="auto" w:sz="4" w:space="0"/>
            </w:tcBorders>
            <w:vAlign w:val="center"/>
          </w:tcPr>
          <w:p w14:paraId="73E5DE19">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下游</w:t>
            </w:r>
          </w:p>
        </w:tc>
        <w:tc>
          <w:tcPr>
            <w:tcW w:w="1732" w:type="dxa"/>
            <w:tcBorders>
              <w:top w:val="single" w:color="auto" w:sz="4" w:space="0"/>
              <w:left w:val="single" w:color="auto" w:sz="4" w:space="0"/>
              <w:bottom w:val="single" w:color="auto" w:sz="4" w:space="0"/>
              <w:right w:val="single" w:color="auto" w:sz="4" w:space="0"/>
            </w:tcBorders>
            <w:vAlign w:val="center"/>
          </w:tcPr>
          <w:p w14:paraId="6439C4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zh-CN" w:eastAsia="zh-CN" w:bidi="ar-SA"/>
              </w:rPr>
            </w:pPr>
            <w:r>
              <w:rPr>
                <w:rFonts w:hint="default" w:ascii="Times New Roman" w:hAnsi="Times New Roman" w:eastAsia="宋体" w:cs="Times New Roman"/>
                <w:color w:val="FF0000"/>
                <w:sz w:val="21"/>
                <w:szCs w:val="21"/>
                <w:highlight w:val="none"/>
                <w:lang w:val="en-US" w:eastAsia="zh-CN"/>
              </w:rPr>
              <w:t>E108°56′10.46″</w:t>
            </w:r>
            <w:r>
              <w:rPr>
                <w:rFonts w:hint="default"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lang w:val="en-US" w:eastAsia="zh-CN"/>
              </w:rPr>
              <w:t>N41°6′46.35″</w:t>
            </w:r>
          </w:p>
        </w:tc>
        <w:tc>
          <w:tcPr>
            <w:tcW w:w="1091" w:type="dxa"/>
            <w:tcBorders>
              <w:top w:val="single" w:color="auto" w:sz="4" w:space="0"/>
              <w:left w:val="single" w:color="auto" w:sz="4" w:space="0"/>
              <w:bottom w:val="single" w:color="auto" w:sz="4" w:space="0"/>
              <w:right w:val="single" w:color="auto" w:sz="4" w:space="0"/>
            </w:tcBorders>
            <w:vAlign w:val="center"/>
          </w:tcPr>
          <w:p w14:paraId="72E547E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灌溉水井</w:t>
            </w:r>
          </w:p>
        </w:tc>
        <w:tc>
          <w:tcPr>
            <w:tcW w:w="1092" w:type="dxa"/>
            <w:tcBorders>
              <w:top w:val="single" w:color="auto" w:sz="4" w:space="0"/>
              <w:left w:val="single" w:color="auto" w:sz="4" w:space="0"/>
              <w:bottom w:val="single" w:color="auto" w:sz="4" w:space="0"/>
              <w:right w:val="single" w:color="auto" w:sz="4" w:space="0"/>
            </w:tcBorders>
            <w:vAlign w:val="center"/>
          </w:tcPr>
          <w:p w14:paraId="30BDFB5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水位</w:t>
            </w:r>
          </w:p>
        </w:tc>
      </w:tr>
      <w:tr w14:paraId="3C40592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90" w:type="dxa"/>
            <w:tcBorders>
              <w:top w:val="single" w:color="auto" w:sz="4" w:space="0"/>
              <w:left w:val="single" w:color="auto" w:sz="4" w:space="0"/>
              <w:bottom w:val="single" w:color="auto" w:sz="4" w:space="0"/>
              <w:right w:val="single" w:color="auto" w:sz="4" w:space="0"/>
            </w:tcBorders>
            <w:vAlign w:val="center"/>
          </w:tcPr>
          <w:p w14:paraId="79EA321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南侧水井2#</w:t>
            </w:r>
          </w:p>
        </w:tc>
        <w:tc>
          <w:tcPr>
            <w:tcW w:w="1090" w:type="dxa"/>
            <w:tcBorders>
              <w:top w:val="single" w:color="auto" w:sz="4" w:space="0"/>
              <w:left w:val="single" w:color="auto" w:sz="4" w:space="0"/>
              <w:bottom w:val="single" w:color="auto" w:sz="4" w:space="0"/>
              <w:right w:val="single" w:color="auto" w:sz="4" w:space="0"/>
            </w:tcBorders>
            <w:vAlign w:val="center"/>
          </w:tcPr>
          <w:p w14:paraId="67D0B7B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南</w:t>
            </w:r>
            <w:r>
              <w:rPr>
                <w:rFonts w:hint="default" w:ascii="Times New Roman" w:hAnsi="Times New Roman" w:eastAsia="宋体" w:cs="Times New Roman"/>
                <w:color w:val="FF0000"/>
                <w:sz w:val="21"/>
                <w:szCs w:val="21"/>
                <w:highlight w:val="none"/>
                <w:lang w:val="en-US" w:eastAsia="zh-CN"/>
              </w:rPr>
              <w:t>侧</w:t>
            </w:r>
          </w:p>
        </w:tc>
        <w:tc>
          <w:tcPr>
            <w:tcW w:w="1091" w:type="dxa"/>
            <w:tcBorders>
              <w:top w:val="single" w:color="auto" w:sz="4" w:space="0"/>
              <w:left w:val="single" w:color="auto" w:sz="4" w:space="0"/>
              <w:bottom w:val="single" w:color="auto" w:sz="4" w:space="0"/>
              <w:right w:val="single" w:color="auto" w:sz="4" w:space="0"/>
            </w:tcBorders>
            <w:vAlign w:val="center"/>
          </w:tcPr>
          <w:p w14:paraId="1FE80B9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0.89</w:t>
            </w:r>
            <w:r>
              <w:rPr>
                <w:rFonts w:hint="default" w:ascii="Times New Roman" w:hAnsi="Times New Roman" w:eastAsia="宋体" w:cs="Times New Roman"/>
                <w:color w:val="FF0000"/>
                <w:sz w:val="21"/>
                <w:szCs w:val="21"/>
                <w:highlight w:val="none"/>
              </w:rPr>
              <w:t>km</w:t>
            </w:r>
          </w:p>
        </w:tc>
        <w:tc>
          <w:tcPr>
            <w:tcW w:w="1091" w:type="dxa"/>
            <w:tcBorders>
              <w:top w:val="single" w:color="auto" w:sz="4" w:space="0"/>
              <w:left w:val="single" w:color="auto" w:sz="4" w:space="0"/>
              <w:bottom w:val="single" w:color="auto" w:sz="4" w:space="0"/>
              <w:right w:val="single" w:color="auto" w:sz="4" w:space="0"/>
            </w:tcBorders>
            <w:vAlign w:val="center"/>
          </w:tcPr>
          <w:p w14:paraId="704BB951">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下游</w:t>
            </w:r>
          </w:p>
        </w:tc>
        <w:tc>
          <w:tcPr>
            <w:tcW w:w="1732" w:type="dxa"/>
            <w:tcBorders>
              <w:top w:val="single" w:color="auto" w:sz="4" w:space="0"/>
              <w:left w:val="single" w:color="auto" w:sz="4" w:space="0"/>
              <w:bottom w:val="single" w:color="auto" w:sz="4" w:space="0"/>
              <w:right w:val="single" w:color="auto" w:sz="4" w:space="0"/>
            </w:tcBorders>
            <w:vAlign w:val="center"/>
          </w:tcPr>
          <w:p w14:paraId="5F68EB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zh-CN" w:eastAsia="zh-CN" w:bidi="ar-SA"/>
              </w:rPr>
            </w:pPr>
            <w:r>
              <w:rPr>
                <w:rFonts w:hint="default" w:ascii="Times New Roman" w:hAnsi="Times New Roman" w:eastAsia="宋体" w:cs="Times New Roman"/>
                <w:color w:val="FF0000"/>
                <w:sz w:val="21"/>
                <w:szCs w:val="21"/>
                <w:highlight w:val="none"/>
                <w:lang w:val="en-US" w:eastAsia="zh-CN"/>
              </w:rPr>
              <w:t>108°56′11.70″</w:t>
            </w:r>
            <w:r>
              <w:rPr>
                <w:rFonts w:hint="default"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lang w:val="en-US" w:eastAsia="zh-CN"/>
              </w:rPr>
              <w:t>N41°6′33.21″</w:t>
            </w:r>
          </w:p>
        </w:tc>
        <w:tc>
          <w:tcPr>
            <w:tcW w:w="1091" w:type="dxa"/>
            <w:tcBorders>
              <w:top w:val="single" w:color="auto" w:sz="4" w:space="0"/>
              <w:left w:val="single" w:color="auto" w:sz="4" w:space="0"/>
              <w:bottom w:val="single" w:color="auto" w:sz="4" w:space="0"/>
              <w:right w:val="single" w:color="auto" w:sz="4" w:space="0"/>
            </w:tcBorders>
            <w:vAlign w:val="center"/>
          </w:tcPr>
          <w:p w14:paraId="386107D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灌溉水井</w:t>
            </w:r>
          </w:p>
        </w:tc>
        <w:tc>
          <w:tcPr>
            <w:tcW w:w="1092" w:type="dxa"/>
            <w:tcBorders>
              <w:top w:val="single" w:color="auto" w:sz="4" w:space="0"/>
              <w:left w:val="single" w:color="auto" w:sz="4" w:space="0"/>
              <w:bottom w:val="single" w:color="auto" w:sz="4" w:space="0"/>
              <w:right w:val="single" w:color="auto" w:sz="4" w:space="0"/>
            </w:tcBorders>
            <w:vAlign w:val="center"/>
          </w:tcPr>
          <w:p w14:paraId="19D6322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水位</w:t>
            </w:r>
          </w:p>
        </w:tc>
      </w:tr>
    </w:tbl>
    <w:p w14:paraId="76B3A353">
      <w:pPr>
        <w:pStyle w:val="6"/>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4.2.2.2水质现状监测</w:t>
      </w:r>
    </w:p>
    <w:p w14:paraId="200C44C6">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1、水质监测因子</w:t>
      </w:r>
    </w:p>
    <w:p w14:paraId="7A7AA98E">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Cs w:val="21"/>
          <w:highlight w:val="none"/>
        </w:rPr>
        <w:t>监测项目：Ka</w:t>
      </w:r>
      <w:r>
        <w:rPr>
          <w:rFonts w:hint="default" w:ascii="Times New Roman" w:hAnsi="Times New Roman" w:eastAsia="宋体" w:cs="Times New Roman"/>
          <w:color w:val="auto"/>
          <w:kern w:val="0"/>
          <w:szCs w:val="21"/>
          <w:highlight w:val="none"/>
          <w:vertAlign w:val="superscript"/>
        </w:rPr>
        <w:t>+</w:t>
      </w:r>
      <w:r>
        <w:rPr>
          <w:rFonts w:hint="default" w:ascii="Times New Roman" w:hAnsi="Times New Roman" w:eastAsia="宋体" w:cs="Times New Roman"/>
          <w:color w:val="auto"/>
          <w:kern w:val="0"/>
          <w:szCs w:val="21"/>
          <w:highlight w:val="none"/>
        </w:rPr>
        <w:t>、Na</w:t>
      </w:r>
      <w:r>
        <w:rPr>
          <w:rFonts w:hint="default" w:ascii="Times New Roman" w:hAnsi="Times New Roman" w:eastAsia="宋体" w:cs="Times New Roman"/>
          <w:color w:val="auto"/>
          <w:kern w:val="0"/>
          <w:szCs w:val="21"/>
          <w:highlight w:val="none"/>
          <w:vertAlign w:val="superscript"/>
        </w:rPr>
        <w:t>+</w:t>
      </w:r>
      <w:r>
        <w:rPr>
          <w:rFonts w:hint="default" w:ascii="Times New Roman" w:hAnsi="Times New Roman" w:eastAsia="宋体" w:cs="Times New Roman"/>
          <w:color w:val="auto"/>
          <w:kern w:val="0"/>
          <w:szCs w:val="21"/>
          <w:highlight w:val="none"/>
        </w:rPr>
        <w:t>、Ca</w:t>
      </w:r>
      <w:r>
        <w:rPr>
          <w:rFonts w:hint="default" w:ascii="Times New Roman" w:hAnsi="Times New Roman" w:eastAsia="宋体" w:cs="Times New Roman"/>
          <w:color w:val="auto"/>
          <w:kern w:val="0"/>
          <w:szCs w:val="21"/>
          <w:highlight w:val="none"/>
          <w:vertAlign w:val="superscript"/>
        </w:rPr>
        <w:t>2+</w:t>
      </w:r>
      <w:r>
        <w:rPr>
          <w:rFonts w:hint="default" w:ascii="Times New Roman" w:hAnsi="Times New Roman" w:eastAsia="宋体" w:cs="Times New Roman"/>
          <w:color w:val="auto"/>
          <w:kern w:val="0"/>
          <w:szCs w:val="21"/>
          <w:highlight w:val="none"/>
        </w:rPr>
        <w:t>、Mg</w:t>
      </w:r>
      <w:r>
        <w:rPr>
          <w:rFonts w:hint="default" w:ascii="Times New Roman" w:hAnsi="Times New Roman" w:eastAsia="宋体" w:cs="Times New Roman"/>
          <w:color w:val="auto"/>
          <w:kern w:val="0"/>
          <w:szCs w:val="21"/>
          <w:highlight w:val="none"/>
          <w:vertAlign w:val="superscript"/>
        </w:rPr>
        <w:t>2+</w:t>
      </w:r>
      <w:r>
        <w:rPr>
          <w:rFonts w:hint="default" w:ascii="Times New Roman" w:hAnsi="Times New Roman" w:eastAsia="宋体" w:cs="Times New Roman"/>
          <w:color w:val="auto"/>
          <w:kern w:val="0"/>
          <w:szCs w:val="21"/>
          <w:highlight w:val="none"/>
        </w:rPr>
        <w:t>、CO</w:t>
      </w:r>
      <w:r>
        <w:rPr>
          <w:rFonts w:hint="default" w:ascii="Times New Roman" w:hAnsi="Times New Roman" w:eastAsia="宋体" w:cs="Times New Roman"/>
          <w:color w:val="auto"/>
          <w:kern w:val="0"/>
          <w:szCs w:val="21"/>
          <w:highlight w:val="none"/>
          <w:vertAlign w:val="subscript"/>
        </w:rPr>
        <w:t>3</w:t>
      </w:r>
      <w:r>
        <w:rPr>
          <w:rFonts w:hint="default" w:ascii="Times New Roman" w:hAnsi="Times New Roman" w:eastAsia="宋体" w:cs="Times New Roman"/>
          <w:color w:val="auto"/>
          <w:kern w:val="0"/>
          <w:szCs w:val="21"/>
          <w:highlight w:val="none"/>
          <w:vertAlign w:val="superscript"/>
        </w:rPr>
        <w:t>2-</w:t>
      </w:r>
      <w:r>
        <w:rPr>
          <w:rFonts w:hint="default" w:ascii="Times New Roman" w:hAnsi="Times New Roman" w:eastAsia="宋体" w:cs="Times New Roman"/>
          <w:color w:val="auto"/>
          <w:kern w:val="0"/>
          <w:szCs w:val="21"/>
          <w:highlight w:val="none"/>
        </w:rPr>
        <w:t>、HCO</w:t>
      </w:r>
      <w:r>
        <w:rPr>
          <w:rFonts w:hint="default" w:ascii="Times New Roman" w:hAnsi="Times New Roman" w:eastAsia="宋体" w:cs="Times New Roman"/>
          <w:color w:val="auto"/>
          <w:kern w:val="0"/>
          <w:szCs w:val="21"/>
          <w:highlight w:val="none"/>
          <w:vertAlign w:val="subscript"/>
        </w:rPr>
        <w:t>3</w:t>
      </w:r>
      <w:r>
        <w:rPr>
          <w:rFonts w:hint="default" w:ascii="Times New Roman" w:hAnsi="Times New Roman" w:eastAsia="宋体" w:cs="Times New Roman"/>
          <w:color w:val="auto"/>
          <w:kern w:val="0"/>
          <w:szCs w:val="21"/>
          <w:highlight w:val="none"/>
          <w:vertAlign w:val="superscript"/>
        </w:rPr>
        <w:t>-</w:t>
      </w:r>
      <w:r>
        <w:rPr>
          <w:rFonts w:hint="default" w:ascii="Times New Roman" w:hAnsi="Times New Roman" w:eastAsia="宋体" w:cs="Times New Roman"/>
          <w:color w:val="auto"/>
          <w:kern w:val="0"/>
          <w:szCs w:val="21"/>
          <w:highlight w:val="none"/>
        </w:rPr>
        <w:t>、Cl</w:t>
      </w:r>
      <w:r>
        <w:rPr>
          <w:rFonts w:hint="default" w:ascii="Times New Roman" w:hAnsi="Times New Roman" w:eastAsia="宋体" w:cs="Times New Roman"/>
          <w:color w:val="auto"/>
          <w:kern w:val="0"/>
          <w:szCs w:val="21"/>
          <w:highlight w:val="none"/>
          <w:vertAlign w:val="superscript"/>
        </w:rPr>
        <w:t>-</w:t>
      </w:r>
      <w:r>
        <w:rPr>
          <w:rFonts w:hint="default" w:ascii="Times New Roman" w:hAnsi="Times New Roman" w:eastAsia="宋体" w:cs="Times New Roman"/>
          <w:color w:val="auto"/>
          <w:kern w:val="0"/>
          <w:szCs w:val="21"/>
          <w:highlight w:val="none"/>
        </w:rPr>
        <w:t>、SO</w:t>
      </w:r>
      <w:r>
        <w:rPr>
          <w:rFonts w:hint="default" w:ascii="Times New Roman" w:hAnsi="Times New Roman" w:eastAsia="宋体" w:cs="Times New Roman"/>
          <w:color w:val="auto"/>
          <w:kern w:val="0"/>
          <w:szCs w:val="21"/>
          <w:highlight w:val="none"/>
          <w:vertAlign w:val="subscript"/>
        </w:rPr>
        <w:t>4</w:t>
      </w:r>
      <w:r>
        <w:rPr>
          <w:rFonts w:hint="default" w:ascii="Times New Roman" w:hAnsi="Times New Roman" w:eastAsia="宋体" w:cs="Times New Roman"/>
          <w:color w:val="auto"/>
          <w:kern w:val="0"/>
          <w:szCs w:val="21"/>
          <w:highlight w:val="none"/>
          <w:vertAlign w:val="superscript"/>
        </w:rPr>
        <w:t>2-</w:t>
      </w:r>
      <w:r>
        <w:rPr>
          <w:rFonts w:hint="default" w:ascii="Times New Roman" w:hAnsi="Times New Roman" w:eastAsia="宋体" w:cs="Times New Roman"/>
          <w:color w:val="auto"/>
          <w:kern w:val="0"/>
          <w:szCs w:val="21"/>
          <w:highlight w:val="none"/>
        </w:rPr>
        <w:t>；pH、总硬度、耗氧量、硫酸盐、氯化物、硝酸盐、氨氮、亚硝酸盐、挥发性酚类、氰化物、氟、溶解性总固体、六价铬、砷、汞、铅、镉、铁、锰、</w:t>
      </w:r>
      <w:r>
        <w:rPr>
          <w:rFonts w:hint="default" w:ascii="Times New Roman" w:hAnsi="Times New Roman" w:eastAsia="宋体" w:cs="Times New Roman"/>
          <w:color w:val="auto"/>
          <w:kern w:val="0"/>
          <w:szCs w:val="21"/>
          <w:highlight w:val="none"/>
          <w:lang w:eastAsia="zh-CN"/>
        </w:rPr>
        <w:t>菌落总数</w:t>
      </w:r>
      <w:r>
        <w:rPr>
          <w:rFonts w:hint="default" w:ascii="Times New Roman" w:hAnsi="Times New Roman" w:eastAsia="宋体" w:cs="Times New Roman"/>
          <w:color w:val="auto"/>
          <w:kern w:val="0"/>
          <w:szCs w:val="21"/>
          <w:highlight w:val="none"/>
        </w:rPr>
        <w:t>、总大肠菌群。</w:t>
      </w:r>
    </w:p>
    <w:p w14:paraId="405C1ECD">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bookmarkStart w:id="329" w:name="_Toc439163832"/>
      <w:bookmarkStart w:id="330" w:name="_Toc346615958"/>
      <w:bookmarkStart w:id="331" w:name="_Toc386049604"/>
      <w:bookmarkStart w:id="332" w:name="_Toc436308534"/>
      <w:bookmarkStart w:id="333" w:name="_Toc346129902"/>
      <w:bookmarkStart w:id="334" w:name="_Toc439163209"/>
      <w:bookmarkStart w:id="335" w:name="_Toc346129691"/>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eastAsia="zh-CN"/>
        </w:rPr>
        <w:t>采样</w:t>
      </w:r>
      <w:r>
        <w:rPr>
          <w:rFonts w:hint="default" w:ascii="Times New Roman" w:hAnsi="Times New Roman" w:eastAsia="宋体" w:cs="Times New Roman"/>
          <w:color w:val="auto"/>
          <w:highlight w:val="none"/>
        </w:rPr>
        <w:t>时间及频次</w:t>
      </w:r>
    </w:p>
    <w:p w14:paraId="46748D7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采样</w:t>
      </w:r>
      <w:r>
        <w:rPr>
          <w:rFonts w:hint="default" w:ascii="Times New Roman" w:hAnsi="Times New Roman" w:eastAsia="宋体" w:cs="Times New Roman"/>
          <w:color w:val="auto"/>
          <w:highlight w:val="none"/>
        </w:rPr>
        <w:t>时间为20</w:t>
      </w:r>
      <w:r>
        <w:rPr>
          <w:rFonts w:hint="default" w:ascii="Times New Roman" w:hAnsi="Times New Roman" w:eastAsia="宋体" w:cs="Times New Roman"/>
          <w:color w:val="auto"/>
          <w:highlight w:val="none"/>
          <w:lang w:val="en-US" w:eastAsia="zh-CN"/>
        </w:rPr>
        <w:t>22</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12</w:t>
      </w:r>
      <w:r>
        <w:rPr>
          <w:rFonts w:hint="default" w:ascii="Times New Roman" w:hAnsi="Times New Roman" w:eastAsia="宋体" w:cs="Times New Roman"/>
          <w:color w:val="auto"/>
          <w:highlight w:val="none"/>
        </w:rPr>
        <w:t>月</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日，</w:t>
      </w:r>
      <w:r>
        <w:rPr>
          <w:rFonts w:hint="default" w:ascii="Times New Roman" w:hAnsi="Times New Roman" w:eastAsia="宋体" w:cs="Times New Roman"/>
          <w:color w:val="auto"/>
          <w:highlight w:val="none"/>
          <w:lang w:eastAsia="zh-CN"/>
        </w:rPr>
        <w:t>采样</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次。</w:t>
      </w:r>
    </w:p>
    <w:bookmarkEnd w:id="329"/>
    <w:bookmarkEnd w:id="330"/>
    <w:bookmarkEnd w:id="331"/>
    <w:bookmarkEnd w:id="332"/>
    <w:bookmarkEnd w:id="333"/>
    <w:bookmarkEnd w:id="334"/>
    <w:bookmarkEnd w:id="335"/>
    <w:p w14:paraId="6087365B">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3、监测分析方法</w:t>
      </w:r>
    </w:p>
    <w:p w14:paraId="2149E69D">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rPr>
        <w:t>样品的采集、保存及分析均按照相关的标准及规范进行，各水质监测项目的分析方法见下表</w:t>
      </w:r>
      <w:r>
        <w:rPr>
          <w:rFonts w:hint="default" w:ascii="Times New Roman" w:hAnsi="Times New Roman" w:eastAsia="宋体" w:cs="Times New Roman"/>
          <w:color w:val="auto"/>
          <w:highlight w:val="none"/>
          <w:lang w:val="zh-CN"/>
        </w:rPr>
        <w:t>。</w:t>
      </w:r>
    </w:p>
    <w:p w14:paraId="71ABE205">
      <w:pPr>
        <w:pStyle w:val="7"/>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表4.2-7地下水检测项目及分析方法一览表</w:t>
      </w:r>
    </w:p>
    <w:tbl>
      <w:tblPr>
        <w:tblStyle w:val="40"/>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8"/>
        <w:gridCol w:w="861"/>
        <w:gridCol w:w="3679"/>
        <w:gridCol w:w="740"/>
        <w:gridCol w:w="1228"/>
        <w:gridCol w:w="1081"/>
      </w:tblGrid>
      <w:tr w14:paraId="1E1F1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50C084E2">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029" w:type="dxa"/>
            <w:noWrap w:val="0"/>
            <w:vAlign w:val="center"/>
          </w:tcPr>
          <w:p w14:paraId="0C05828B">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检测</w:t>
            </w:r>
          </w:p>
          <w:p w14:paraId="3ACB808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项目</w:t>
            </w:r>
          </w:p>
        </w:tc>
        <w:tc>
          <w:tcPr>
            <w:tcW w:w="4586" w:type="dxa"/>
            <w:noWrap w:val="0"/>
            <w:vAlign w:val="center"/>
          </w:tcPr>
          <w:p w14:paraId="567E253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方法名称及来源</w:t>
            </w:r>
          </w:p>
        </w:tc>
        <w:tc>
          <w:tcPr>
            <w:tcW w:w="876" w:type="dxa"/>
            <w:noWrap w:val="0"/>
            <w:vAlign w:val="center"/>
          </w:tcPr>
          <w:p w14:paraId="0DB9C4F8">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检出限</w:t>
            </w:r>
          </w:p>
        </w:tc>
        <w:tc>
          <w:tcPr>
            <w:tcW w:w="1492" w:type="dxa"/>
            <w:noWrap w:val="0"/>
            <w:vAlign w:val="center"/>
          </w:tcPr>
          <w:p w14:paraId="342F2C5C">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仪器设备名称/型号</w:t>
            </w:r>
          </w:p>
        </w:tc>
        <w:tc>
          <w:tcPr>
            <w:tcW w:w="1306" w:type="dxa"/>
            <w:noWrap w:val="0"/>
            <w:vAlign w:val="center"/>
          </w:tcPr>
          <w:p w14:paraId="2D5DBC1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仪器管理编号</w:t>
            </w:r>
          </w:p>
        </w:tc>
      </w:tr>
      <w:tr w14:paraId="55CCB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633B571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029" w:type="dxa"/>
            <w:noWrap w:val="0"/>
            <w:vAlign w:val="center"/>
          </w:tcPr>
          <w:p w14:paraId="3701AC8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w:t>
            </w:r>
          </w:p>
        </w:tc>
        <w:tc>
          <w:tcPr>
            <w:tcW w:w="4586" w:type="dxa"/>
            <w:noWrap w:val="0"/>
            <w:vAlign w:val="center"/>
          </w:tcPr>
          <w:p w14:paraId="5795AEA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《水质pH值的测定电极法》（HJ1147-2020）</w:t>
            </w:r>
          </w:p>
        </w:tc>
        <w:tc>
          <w:tcPr>
            <w:tcW w:w="876" w:type="dxa"/>
            <w:noWrap w:val="0"/>
            <w:vAlign w:val="center"/>
          </w:tcPr>
          <w:p w14:paraId="3C1E5A9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492" w:type="dxa"/>
            <w:noWrap w:val="0"/>
            <w:vAlign w:val="center"/>
          </w:tcPr>
          <w:p w14:paraId="3396F9D3">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便携式酸度计/pH850</w:t>
            </w:r>
          </w:p>
        </w:tc>
        <w:tc>
          <w:tcPr>
            <w:tcW w:w="1306" w:type="dxa"/>
            <w:noWrap w:val="0"/>
            <w:vAlign w:val="center"/>
          </w:tcPr>
          <w:p w14:paraId="4CB79FB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HZD-023-</w:t>
            </w:r>
            <w:r>
              <w:rPr>
                <w:rFonts w:hint="default" w:ascii="Times New Roman" w:hAnsi="Times New Roman" w:eastAsia="宋体" w:cs="Times New Roman"/>
                <w:color w:val="auto"/>
                <w:sz w:val="21"/>
                <w:szCs w:val="21"/>
                <w:highlight w:val="none"/>
                <w:lang w:val="en-US" w:eastAsia="zh-CN"/>
              </w:rPr>
              <w:t>G</w:t>
            </w:r>
          </w:p>
        </w:tc>
      </w:tr>
      <w:tr w14:paraId="0730E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51F54C26">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029" w:type="dxa"/>
            <w:noWrap w:val="0"/>
            <w:vAlign w:val="center"/>
          </w:tcPr>
          <w:p w14:paraId="2491309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可溶性阳离子K</w:t>
            </w:r>
            <w:r>
              <w:rPr>
                <w:rFonts w:hint="default" w:ascii="Times New Roman" w:hAnsi="Times New Roman" w:eastAsia="宋体" w:cs="Times New Roman"/>
                <w:color w:val="auto"/>
                <w:sz w:val="21"/>
                <w:szCs w:val="21"/>
                <w:highlight w:val="none"/>
                <w:vertAlign w:val="superscript"/>
              </w:rPr>
              <w:t>+</w:t>
            </w:r>
          </w:p>
        </w:tc>
        <w:tc>
          <w:tcPr>
            <w:tcW w:w="4586" w:type="dxa"/>
            <w:noWrap w:val="0"/>
            <w:vAlign w:val="center"/>
          </w:tcPr>
          <w:p w14:paraId="1E4C3478">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《水质可溶性阳离子（Li</w:t>
            </w:r>
            <w:r>
              <w:rPr>
                <w:rFonts w:hint="default" w:ascii="Times New Roman" w:hAnsi="Times New Roman" w:eastAsia="宋体" w:cs="Times New Roman"/>
                <w:color w:val="auto"/>
                <w:kern w:val="0"/>
                <w:sz w:val="21"/>
                <w:szCs w:val="21"/>
                <w:highlight w:val="none"/>
                <w:vertAlign w:val="superscript"/>
                <w:lang w:bidi="ar"/>
              </w:rPr>
              <w:t>+</w:t>
            </w:r>
            <w:r>
              <w:rPr>
                <w:rFonts w:hint="default" w:ascii="Times New Roman" w:hAnsi="Times New Roman" w:eastAsia="宋体" w:cs="Times New Roman"/>
                <w:color w:val="auto"/>
                <w:kern w:val="0"/>
                <w:sz w:val="21"/>
                <w:szCs w:val="21"/>
                <w:highlight w:val="none"/>
                <w:lang w:bidi="ar"/>
              </w:rPr>
              <w:t>、Na</w:t>
            </w:r>
            <w:r>
              <w:rPr>
                <w:rFonts w:hint="default" w:ascii="Times New Roman" w:hAnsi="Times New Roman" w:eastAsia="宋体" w:cs="Times New Roman"/>
                <w:color w:val="auto"/>
                <w:kern w:val="0"/>
                <w:sz w:val="21"/>
                <w:szCs w:val="21"/>
                <w:highlight w:val="none"/>
                <w:vertAlign w:val="superscript"/>
                <w:lang w:bidi="ar"/>
              </w:rPr>
              <w:t>+</w:t>
            </w:r>
            <w:r>
              <w:rPr>
                <w:rFonts w:hint="default" w:ascii="Times New Roman" w:hAnsi="Times New Roman" w:eastAsia="宋体" w:cs="Times New Roman"/>
                <w:color w:val="auto"/>
                <w:kern w:val="0"/>
                <w:sz w:val="21"/>
                <w:szCs w:val="21"/>
                <w:highlight w:val="none"/>
                <w:lang w:bidi="ar"/>
              </w:rPr>
              <w:t>、NH</w:t>
            </w:r>
            <w:r>
              <w:rPr>
                <w:rFonts w:hint="default" w:ascii="Times New Roman" w:hAnsi="Times New Roman" w:eastAsia="宋体" w:cs="Times New Roman"/>
                <w:color w:val="auto"/>
                <w:kern w:val="0"/>
                <w:sz w:val="21"/>
                <w:szCs w:val="21"/>
                <w:highlight w:val="none"/>
                <w:vertAlign w:val="subscript"/>
                <w:lang w:bidi="ar"/>
              </w:rPr>
              <w:t>4</w:t>
            </w:r>
            <w:r>
              <w:rPr>
                <w:rFonts w:hint="default" w:ascii="Times New Roman" w:hAnsi="Times New Roman" w:eastAsia="宋体" w:cs="Times New Roman"/>
                <w:color w:val="auto"/>
                <w:kern w:val="0"/>
                <w:sz w:val="21"/>
                <w:szCs w:val="21"/>
                <w:highlight w:val="none"/>
                <w:vertAlign w:val="superscript"/>
                <w:lang w:bidi="ar"/>
              </w:rPr>
              <w:t>+</w:t>
            </w:r>
            <w:r>
              <w:rPr>
                <w:rFonts w:hint="default" w:ascii="Times New Roman" w:hAnsi="Times New Roman" w:eastAsia="宋体" w:cs="Times New Roman"/>
                <w:color w:val="auto"/>
                <w:kern w:val="0"/>
                <w:sz w:val="21"/>
                <w:szCs w:val="21"/>
                <w:highlight w:val="none"/>
                <w:lang w:bidi="ar"/>
              </w:rPr>
              <w:t>、K</w:t>
            </w:r>
            <w:r>
              <w:rPr>
                <w:rFonts w:hint="default" w:ascii="Times New Roman" w:hAnsi="Times New Roman" w:eastAsia="宋体" w:cs="Times New Roman"/>
                <w:color w:val="auto"/>
                <w:kern w:val="0"/>
                <w:sz w:val="21"/>
                <w:szCs w:val="21"/>
                <w:highlight w:val="none"/>
                <w:vertAlign w:val="superscript"/>
                <w:lang w:bidi="ar"/>
              </w:rPr>
              <w:t>+</w:t>
            </w:r>
            <w:r>
              <w:rPr>
                <w:rFonts w:hint="default" w:ascii="Times New Roman" w:hAnsi="Times New Roman" w:eastAsia="宋体" w:cs="Times New Roman"/>
                <w:color w:val="auto"/>
                <w:kern w:val="0"/>
                <w:sz w:val="21"/>
                <w:szCs w:val="21"/>
                <w:highlight w:val="none"/>
                <w:lang w:bidi="ar"/>
              </w:rPr>
              <w:t>、Ca</w:t>
            </w:r>
            <w:r>
              <w:rPr>
                <w:rFonts w:hint="default" w:ascii="Times New Roman" w:hAnsi="Times New Roman" w:eastAsia="宋体" w:cs="Times New Roman"/>
                <w:color w:val="auto"/>
                <w:kern w:val="0"/>
                <w:sz w:val="21"/>
                <w:szCs w:val="21"/>
                <w:highlight w:val="none"/>
                <w:vertAlign w:val="superscript"/>
                <w:lang w:bidi="ar"/>
              </w:rPr>
              <w:t>2+</w:t>
            </w:r>
            <w:r>
              <w:rPr>
                <w:rFonts w:hint="default" w:ascii="Times New Roman" w:hAnsi="Times New Roman" w:eastAsia="宋体" w:cs="Times New Roman"/>
                <w:color w:val="auto"/>
                <w:kern w:val="0"/>
                <w:sz w:val="21"/>
                <w:szCs w:val="21"/>
                <w:highlight w:val="none"/>
                <w:lang w:bidi="ar"/>
              </w:rPr>
              <w:t>、Mg</w:t>
            </w:r>
            <w:r>
              <w:rPr>
                <w:rFonts w:hint="default" w:ascii="Times New Roman" w:hAnsi="Times New Roman" w:eastAsia="宋体" w:cs="Times New Roman"/>
                <w:color w:val="auto"/>
                <w:kern w:val="0"/>
                <w:sz w:val="21"/>
                <w:szCs w:val="21"/>
                <w:highlight w:val="none"/>
                <w:vertAlign w:val="superscript"/>
                <w:lang w:bidi="ar"/>
              </w:rPr>
              <w:t>2+</w:t>
            </w:r>
            <w:r>
              <w:rPr>
                <w:rFonts w:hint="default" w:ascii="Times New Roman" w:hAnsi="Times New Roman" w:eastAsia="宋体" w:cs="Times New Roman"/>
                <w:color w:val="auto"/>
                <w:kern w:val="0"/>
                <w:sz w:val="21"/>
                <w:szCs w:val="21"/>
                <w:highlight w:val="none"/>
                <w:lang w:bidi="ar"/>
              </w:rPr>
              <w:t>）的测定离子色谱法》（HJ812-2016）</w:t>
            </w:r>
          </w:p>
        </w:tc>
        <w:tc>
          <w:tcPr>
            <w:tcW w:w="876" w:type="dxa"/>
            <w:noWrap w:val="0"/>
            <w:vAlign w:val="center"/>
          </w:tcPr>
          <w:p w14:paraId="6F9B51B6">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0.02</w:t>
            </w:r>
          </w:p>
          <w:p w14:paraId="445D0C6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492" w:type="dxa"/>
            <w:noWrap w:val="0"/>
            <w:vAlign w:val="center"/>
          </w:tcPr>
          <w:p w14:paraId="6E6DEB1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离子色谱仪/ICS-600</w:t>
            </w:r>
          </w:p>
        </w:tc>
        <w:tc>
          <w:tcPr>
            <w:tcW w:w="1306" w:type="dxa"/>
            <w:noWrap w:val="0"/>
            <w:vAlign w:val="center"/>
          </w:tcPr>
          <w:p w14:paraId="6D21A513">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HZD-001-A</w:t>
            </w:r>
          </w:p>
        </w:tc>
      </w:tr>
      <w:tr w14:paraId="5AD97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562EA55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029" w:type="dxa"/>
            <w:noWrap w:val="0"/>
            <w:vAlign w:val="center"/>
          </w:tcPr>
          <w:p w14:paraId="3A569ED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可溶性阳离子Na</w:t>
            </w:r>
            <w:r>
              <w:rPr>
                <w:rFonts w:hint="default" w:ascii="Times New Roman" w:hAnsi="Times New Roman" w:eastAsia="宋体" w:cs="Times New Roman"/>
                <w:color w:val="auto"/>
                <w:sz w:val="21"/>
                <w:szCs w:val="21"/>
                <w:highlight w:val="none"/>
                <w:vertAlign w:val="superscript"/>
              </w:rPr>
              <w:t>+</w:t>
            </w:r>
          </w:p>
        </w:tc>
        <w:tc>
          <w:tcPr>
            <w:tcW w:w="4586" w:type="dxa"/>
            <w:noWrap w:val="0"/>
            <w:vAlign w:val="center"/>
          </w:tcPr>
          <w:p w14:paraId="2C3F652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《水质可溶性阳离子（Li</w:t>
            </w:r>
            <w:r>
              <w:rPr>
                <w:rFonts w:hint="default" w:ascii="Times New Roman" w:hAnsi="Times New Roman" w:eastAsia="宋体" w:cs="Times New Roman"/>
                <w:color w:val="auto"/>
                <w:kern w:val="0"/>
                <w:sz w:val="21"/>
                <w:szCs w:val="21"/>
                <w:highlight w:val="none"/>
                <w:vertAlign w:val="superscript"/>
                <w:lang w:bidi="ar"/>
              </w:rPr>
              <w:t>+</w:t>
            </w:r>
            <w:r>
              <w:rPr>
                <w:rFonts w:hint="default" w:ascii="Times New Roman" w:hAnsi="Times New Roman" w:eastAsia="宋体" w:cs="Times New Roman"/>
                <w:color w:val="auto"/>
                <w:kern w:val="0"/>
                <w:sz w:val="21"/>
                <w:szCs w:val="21"/>
                <w:highlight w:val="none"/>
                <w:lang w:bidi="ar"/>
              </w:rPr>
              <w:t>、Na</w:t>
            </w:r>
            <w:r>
              <w:rPr>
                <w:rFonts w:hint="default" w:ascii="Times New Roman" w:hAnsi="Times New Roman" w:eastAsia="宋体" w:cs="Times New Roman"/>
                <w:color w:val="auto"/>
                <w:kern w:val="0"/>
                <w:sz w:val="21"/>
                <w:szCs w:val="21"/>
                <w:highlight w:val="none"/>
                <w:vertAlign w:val="superscript"/>
                <w:lang w:bidi="ar"/>
              </w:rPr>
              <w:t>+</w:t>
            </w:r>
            <w:r>
              <w:rPr>
                <w:rFonts w:hint="default" w:ascii="Times New Roman" w:hAnsi="Times New Roman" w:eastAsia="宋体" w:cs="Times New Roman"/>
                <w:color w:val="auto"/>
                <w:kern w:val="0"/>
                <w:sz w:val="21"/>
                <w:szCs w:val="21"/>
                <w:highlight w:val="none"/>
                <w:lang w:bidi="ar"/>
              </w:rPr>
              <w:t>、NH</w:t>
            </w:r>
            <w:r>
              <w:rPr>
                <w:rFonts w:hint="default" w:ascii="Times New Roman" w:hAnsi="Times New Roman" w:eastAsia="宋体" w:cs="Times New Roman"/>
                <w:color w:val="auto"/>
                <w:kern w:val="0"/>
                <w:sz w:val="21"/>
                <w:szCs w:val="21"/>
                <w:highlight w:val="none"/>
                <w:vertAlign w:val="subscript"/>
                <w:lang w:bidi="ar"/>
              </w:rPr>
              <w:t>4</w:t>
            </w:r>
            <w:r>
              <w:rPr>
                <w:rFonts w:hint="default" w:ascii="Times New Roman" w:hAnsi="Times New Roman" w:eastAsia="宋体" w:cs="Times New Roman"/>
                <w:color w:val="auto"/>
                <w:kern w:val="0"/>
                <w:sz w:val="21"/>
                <w:szCs w:val="21"/>
                <w:highlight w:val="none"/>
                <w:vertAlign w:val="superscript"/>
                <w:lang w:bidi="ar"/>
              </w:rPr>
              <w:t>+</w:t>
            </w:r>
            <w:r>
              <w:rPr>
                <w:rFonts w:hint="default" w:ascii="Times New Roman" w:hAnsi="Times New Roman" w:eastAsia="宋体" w:cs="Times New Roman"/>
                <w:color w:val="auto"/>
                <w:kern w:val="0"/>
                <w:sz w:val="21"/>
                <w:szCs w:val="21"/>
                <w:highlight w:val="none"/>
                <w:lang w:bidi="ar"/>
              </w:rPr>
              <w:t>、K</w:t>
            </w:r>
            <w:r>
              <w:rPr>
                <w:rFonts w:hint="default" w:ascii="Times New Roman" w:hAnsi="Times New Roman" w:eastAsia="宋体" w:cs="Times New Roman"/>
                <w:color w:val="auto"/>
                <w:kern w:val="0"/>
                <w:sz w:val="21"/>
                <w:szCs w:val="21"/>
                <w:highlight w:val="none"/>
                <w:vertAlign w:val="superscript"/>
                <w:lang w:bidi="ar"/>
              </w:rPr>
              <w:t>+</w:t>
            </w:r>
            <w:r>
              <w:rPr>
                <w:rFonts w:hint="default" w:ascii="Times New Roman" w:hAnsi="Times New Roman" w:eastAsia="宋体" w:cs="Times New Roman"/>
                <w:color w:val="auto"/>
                <w:kern w:val="0"/>
                <w:sz w:val="21"/>
                <w:szCs w:val="21"/>
                <w:highlight w:val="none"/>
                <w:lang w:bidi="ar"/>
              </w:rPr>
              <w:t>、Ca</w:t>
            </w:r>
            <w:r>
              <w:rPr>
                <w:rFonts w:hint="default" w:ascii="Times New Roman" w:hAnsi="Times New Roman" w:eastAsia="宋体" w:cs="Times New Roman"/>
                <w:color w:val="auto"/>
                <w:kern w:val="0"/>
                <w:sz w:val="21"/>
                <w:szCs w:val="21"/>
                <w:highlight w:val="none"/>
                <w:vertAlign w:val="superscript"/>
                <w:lang w:bidi="ar"/>
              </w:rPr>
              <w:t>2+</w:t>
            </w:r>
            <w:r>
              <w:rPr>
                <w:rFonts w:hint="default" w:ascii="Times New Roman" w:hAnsi="Times New Roman" w:eastAsia="宋体" w:cs="Times New Roman"/>
                <w:color w:val="auto"/>
                <w:kern w:val="0"/>
                <w:sz w:val="21"/>
                <w:szCs w:val="21"/>
                <w:highlight w:val="none"/>
                <w:lang w:bidi="ar"/>
              </w:rPr>
              <w:t>、Mg</w:t>
            </w:r>
            <w:r>
              <w:rPr>
                <w:rFonts w:hint="default" w:ascii="Times New Roman" w:hAnsi="Times New Roman" w:eastAsia="宋体" w:cs="Times New Roman"/>
                <w:color w:val="auto"/>
                <w:kern w:val="0"/>
                <w:sz w:val="21"/>
                <w:szCs w:val="21"/>
                <w:highlight w:val="none"/>
                <w:vertAlign w:val="superscript"/>
                <w:lang w:bidi="ar"/>
              </w:rPr>
              <w:t>2+</w:t>
            </w:r>
            <w:r>
              <w:rPr>
                <w:rFonts w:hint="default" w:ascii="Times New Roman" w:hAnsi="Times New Roman" w:eastAsia="宋体" w:cs="Times New Roman"/>
                <w:color w:val="auto"/>
                <w:kern w:val="0"/>
                <w:sz w:val="21"/>
                <w:szCs w:val="21"/>
                <w:highlight w:val="none"/>
                <w:lang w:bidi="ar"/>
              </w:rPr>
              <w:t>）的测定离子色谱法》（HJ812-2016）</w:t>
            </w:r>
          </w:p>
        </w:tc>
        <w:tc>
          <w:tcPr>
            <w:tcW w:w="876" w:type="dxa"/>
            <w:noWrap w:val="0"/>
            <w:vAlign w:val="center"/>
          </w:tcPr>
          <w:p w14:paraId="3F44031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0.02</w:t>
            </w:r>
          </w:p>
          <w:p w14:paraId="0A7EA83C">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492" w:type="dxa"/>
            <w:noWrap w:val="0"/>
            <w:vAlign w:val="center"/>
          </w:tcPr>
          <w:p w14:paraId="406A0CC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离子色谱仪/ICS-600</w:t>
            </w:r>
          </w:p>
        </w:tc>
        <w:tc>
          <w:tcPr>
            <w:tcW w:w="1306" w:type="dxa"/>
            <w:noWrap w:val="0"/>
            <w:vAlign w:val="center"/>
          </w:tcPr>
          <w:p w14:paraId="23B85D3B">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HZD-001-A</w:t>
            </w:r>
          </w:p>
        </w:tc>
      </w:tr>
      <w:tr w14:paraId="432E1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05858BB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029" w:type="dxa"/>
            <w:noWrap w:val="0"/>
            <w:vAlign w:val="center"/>
          </w:tcPr>
          <w:p w14:paraId="74371AE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可溶性阳离子Ca</w:t>
            </w:r>
            <w:r>
              <w:rPr>
                <w:rFonts w:hint="default" w:ascii="Times New Roman" w:hAnsi="Times New Roman" w:eastAsia="宋体" w:cs="Times New Roman"/>
                <w:color w:val="auto"/>
                <w:sz w:val="21"/>
                <w:szCs w:val="21"/>
                <w:highlight w:val="none"/>
                <w:vertAlign w:val="superscript"/>
              </w:rPr>
              <w:t>2+</w:t>
            </w:r>
          </w:p>
        </w:tc>
        <w:tc>
          <w:tcPr>
            <w:tcW w:w="4586" w:type="dxa"/>
            <w:noWrap w:val="0"/>
            <w:vAlign w:val="center"/>
          </w:tcPr>
          <w:p w14:paraId="0758F14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《水质可溶性阳离子（Li</w:t>
            </w:r>
            <w:r>
              <w:rPr>
                <w:rFonts w:hint="default" w:ascii="Times New Roman" w:hAnsi="Times New Roman" w:eastAsia="宋体" w:cs="Times New Roman"/>
                <w:color w:val="auto"/>
                <w:kern w:val="0"/>
                <w:sz w:val="21"/>
                <w:szCs w:val="21"/>
                <w:highlight w:val="none"/>
                <w:vertAlign w:val="superscript"/>
                <w:lang w:bidi="ar"/>
              </w:rPr>
              <w:t>+</w:t>
            </w:r>
            <w:r>
              <w:rPr>
                <w:rFonts w:hint="default" w:ascii="Times New Roman" w:hAnsi="Times New Roman" w:eastAsia="宋体" w:cs="Times New Roman"/>
                <w:color w:val="auto"/>
                <w:kern w:val="0"/>
                <w:sz w:val="21"/>
                <w:szCs w:val="21"/>
                <w:highlight w:val="none"/>
                <w:lang w:bidi="ar"/>
              </w:rPr>
              <w:t>、Na</w:t>
            </w:r>
            <w:r>
              <w:rPr>
                <w:rFonts w:hint="default" w:ascii="Times New Roman" w:hAnsi="Times New Roman" w:eastAsia="宋体" w:cs="Times New Roman"/>
                <w:color w:val="auto"/>
                <w:kern w:val="0"/>
                <w:sz w:val="21"/>
                <w:szCs w:val="21"/>
                <w:highlight w:val="none"/>
                <w:vertAlign w:val="superscript"/>
                <w:lang w:bidi="ar"/>
              </w:rPr>
              <w:t>+</w:t>
            </w:r>
            <w:r>
              <w:rPr>
                <w:rFonts w:hint="default" w:ascii="Times New Roman" w:hAnsi="Times New Roman" w:eastAsia="宋体" w:cs="Times New Roman"/>
                <w:color w:val="auto"/>
                <w:kern w:val="0"/>
                <w:sz w:val="21"/>
                <w:szCs w:val="21"/>
                <w:highlight w:val="none"/>
                <w:lang w:bidi="ar"/>
              </w:rPr>
              <w:t>、NH</w:t>
            </w:r>
            <w:r>
              <w:rPr>
                <w:rFonts w:hint="default" w:ascii="Times New Roman" w:hAnsi="Times New Roman" w:eastAsia="宋体" w:cs="Times New Roman"/>
                <w:color w:val="auto"/>
                <w:kern w:val="0"/>
                <w:sz w:val="21"/>
                <w:szCs w:val="21"/>
                <w:highlight w:val="none"/>
                <w:vertAlign w:val="subscript"/>
                <w:lang w:bidi="ar"/>
              </w:rPr>
              <w:t>4</w:t>
            </w:r>
            <w:r>
              <w:rPr>
                <w:rFonts w:hint="default" w:ascii="Times New Roman" w:hAnsi="Times New Roman" w:eastAsia="宋体" w:cs="Times New Roman"/>
                <w:color w:val="auto"/>
                <w:kern w:val="0"/>
                <w:sz w:val="21"/>
                <w:szCs w:val="21"/>
                <w:highlight w:val="none"/>
                <w:vertAlign w:val="superscript"/>
                <w:lang w:bidi="ar"/>
              </w:rPr>
              <w:t>+</w:t>
            </w:r>
            <w:r>
              <w:rPr>
                <w:rFonts w:hint="default" w:ascii="Times New Roman" w:hAnsi="Times New Roman" w:eastAsia="宋体" w:cs="Times New Roman"/>
                <w:color w:val="auto"/>
                <w:kern w:val="0"/>
                <w:sz w:val="21"/>
                <w:szCs w:val="21"/>
                <w:highlight w:val="none"/>
                <w:lang w:bidi="ar"/>
              </w:rPr>
              <w:t>、K</w:t>
            </w:r>
            <w:r>
              <w:rPr>
                <w:rFonts w:hint="default" w:ascii="Times New Roman" w:hAnsi="Times New Roman" w:eastAsia="宋体" w:cs="Times New Roman"/>
                <w:color w:val="auto"/>
                <w:kern w:val="0"/>
                <w:sz w:val="21"/>
                <w:szCs w:val="21"/>
                <w:highlight w:val="none"/>
                <w:vertAlign w:val="superscript"/>
                <w:lang w:bidi="ar"/>
              </w:rPr>
              <w:t>+</w:t>
            </w:r>
            <w:r>
              <w:rPr>
                <w:rFonts w:hint="default" w:ascii="Times New Roman" w:hAnsi="Times New Roman" w:eastAsia="宋体" w:cs="Times New Roman"/>
                <w:color w:val="auto"/>
                <w:kern w:val="0"/>
                <w:sz w:val="21"/>
                <w:szCs w:val="21"/>
                <w:highlight w:val="none"/>
                <w:lang w:bidi="ar"/>
              </w:rPr>
              <w:t>、Ca</w:t>
            </w:r>
            <w:r>
              <w:rPr>
                <w:rFonts w:hint="default" w:ascii="Times New Roman" w:hAnsi="Times New Roman" w:eastAsia="宋体" w:cs="Times New Roman"/>
                <w:color w:val="auto"/>
                <w:kern w:val="0"/>
                <w:sz w:val="21"/>
                <w:szCs w:val="21"/>
                <w:highlight w:val="none"/>
                <w:vertAlign w:val="superscript"/>
                <w:lang w:bidi="ar"/>
              </w:rPr>
              <w:t>2+</w:t>
            </w:r>
            <w:r>
              <w:rPr>
                <w:rFonts w:hint="default" w:ascii="Times New Roman" w:hAnsi="Times New Roman" w:eastAsia="宋体" w:cs="Times New Roman"/>
                <w:color w:val="auto"/>
                <w:kern w:val="0"/>
                <w:sz w:val="21"/>
                <w:szCs w:val="21"/>
                <w:highlight w:val="none"/>
                <w:lang w:bidi="ar"/>
              </w:rPr>
              <w:t>、Mg</w:t>
            </w:r>
            <w:r>
              <w:rPr>
                <w:rFonts w:hint="default" w:ascii="Times New Roman" w:hAnsi="Times New Roman" w:eastAsia="宋体" w:cs="Times New Roman"/>
                <w:color w:val="auto"/>
                <w:kern w:val="0"/>
                <w:sz w:val="21"/>
                <w:szCs w:val="21"/>
                <w:highlight w:val="none"/>
                <w:vertAlign w:val="superscript"/>
                <w:lang w:bidi="ar"/>
              </w:rPr>
              <w:t>2+</w:t>
            </w:r>
            <w:r>
              <w:rPr>
                <w:rFonts w:hint="default" w:ascii="Times New Roman" w:hAnsi="Times New Roman" w:eastAsia="宋体" w:cs="Times New Roman"/>
                <w:color w:val="auto"/>
                <w:kern w:val="0"/>
                <w:sz w:val="21"/>
                <w:szCs w:val="21"/>
                <w:highlight w:val="none"/>
                <w:lang w:bidi="ar"/>
              </w:rPr>
              <w:t>）的测定离子色谱法》（HJ812-2016）</w:t>
            </w:r>
          </w:p>
        </w:tc>
        <w:tc>
          <w:tcPr>
            <w:tcW w:w="876" w:type="dxa"/>
            <w:noWrap w:val="0"/>
            <w:vAlign w:val="center"/>
          </w:tcPr>
          <w:p w14:paraId="06772F6C">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0.03</w:t>
            </w:r>
          </w:p>
          <w:p w14:paraId="0831934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492" w:type="dxa"/>
            <w:noWrap w:val="0"/>
            <w:vAlign w:val="center"/>
          </w:tcPr>
          <w:p w14:paraId="783749C6">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离子色谱仪/ICS-600</w:t>
            </w:r>
          </w:p>
        </w:tc>
        <w:tc>
          <w:tcPr>
            <w:tcW w:w="1306" w:type="dxa"/>
            <w:noWrap w:val="0"/>
            <w:vAlign w:val="center"/>
          </w:tcPr>
          <w:p w14:paraId="767D480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HZD-001-A</w:t>
            </w:r>
          </w:p>
        </w:tc>
      </w:tr>
      <w:tr w14:paraId="7647E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75C9DB48">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029" w:type="dxa"/>
            <w:noWrap w:val="0"/>
            <w:vAlign w:val="center"/>
          </w:tcPr>
          <w:p w14:paraId="04F140C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可溶性阳离子Mg</w:t>
            </w:r>
            <w:r>
              <w:rPr>
                <w:rFonts w:hint="default" w:ascii="Times New Roman" w:hAnsi="Times New Roman" w:eastAsia="宋体" w:cs="Times New Roman"/>
                <w:color w:val="auto"/>
                <w:sz w:val="21"/>
                <w:szCs w:val="21"/>
                <w:highlight w:val="none"/>
                <w:vertAlign w:val="superscript"/>
              </w:rPr>
              <w:t>2+</w:t>
            </w:r>
          </w:p>
        </w:tc>
        <w:tc>
          <w:tcPr>
            <w:tcW w:w="4586" w:type="dxa"/>
            <w:noWrap w:val="0"/>
            <w:vAlign w:val="center"/>
          </w:tcPr>
          <w:p w14:paraId="02980E0B">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《水质可溶性阳离子（Li</w:t>
            </w:r>
            <w:r>
              <w:rPr>
                <w:rFonts w:hint="default" w:ascii="Times New Roman" w:hAnsi="Times New Roman" w:eastAsia="宋体" w:cs="Times New Roman"/>
                <w:color w:val="auto"/>
                <w:kern w:val="0"/>
                <w:sz w:val="21"/>
                <w:szCs w:val="21"/>
                <w:highlight w:val="none"/>
                <w:vertAlign w:val="superscript"/>
                <w:lang w:bidi="ar"/>
              </w:rPr>
              <w:t>+</w:t>
            </w:r>
            <w:r>
              <w:rPr>
                <w:rFonts w:hint="default" w:ascii="Times New Roman" w:hAnsi="Times New Roman" w:eastAsia="宋体" w:cs="Times New Roman"/>
                <w:color w:val="auto"/>
                <w:kern w:val="0"/>
                <w:sz w:val="21"/>
                <w:szCs w:val="21"/>
                <w:highlight w:val="none"/>
                <w:lang w:bidi="ar"/>
              </w:rPr>
              <w:t>、Na</w:t>
            </w:r>
            <w:r>
              <w:rPr>
                <w:rFonts w:hint="default" w:ascii="Times New Roman" w:hAnsi="Times New Roman" w:eastAsia="宋体" w:cs="Times New Roman"/>
                <w:color w:val="auto"/>
                <w:kern w:val="0"/>
                <w:sz w:val="21"/>
                <w:szCs w:val="21"/>
                <w:highlight w:val="none"/>
                <w:vertAlign w:val="superscript"/>
                <w:lang w:bidi="ar"/>
              </w:rPr>
              <w:t>+</w:t>
            </w:r>
            <w:r>
              <w:rPr>
                <w:rFonts w:hint="default" w:ascii="Times New Roman" w:hAnsi="Times New Roman" w:eastAsia="宋体" w:cs="Times New Roman"/>
                <w:color w:val="auto"/>
                <w:kern w:val="0"/>
                <w:sz w:val="21"/>
                <w:szCs w:val="21"/>
                <w:highlight w:val="none"/>
                <w:lang w:bidi="ar"/>
              </w:rPr>
              <w:t>、NH</w:t>
            </w:r>
            <w:r>
              <w:rPr>
                <w:rFonts w:hint="default" w:ascii="Times New Roman" w:hAnsi="Times New Roman" w:eastAsia="宋体" w:cs="Times New Roman"/>
                <w:color w:val="auto"/>
                <w:kern w:val="0"/>
                <w:sz w:val="21"/>
                <w:szCs w:val="21"/>
                <w:highlight w:val="none"/>
                <w:vertAlign w:val="subscript"/>
                <w:lang w:bidi="ar"/>
              </w:rPr>
              <w:t>4</w:t>
            </w:r>
            <w:r>
              <w:rPr>
                <w:rFonts w:hint="default" w:ascii="Times New Roman" w:hAnsi="Times New Roman" w:eastAsia="宋体" w:cs="Times New Roman"/>
                <w:color w:val="auto"/>
                <w:kern w:val="0"/>
                <w:sz w:val="21"/>
                <w:szCs w:val="21"/>
                <w:highlight w:val="none"/>
                <w:vertAlign w:val="superscript"/>
                <w:lang w:bidi="ar"/>
              </w:rPr>
              <w:t>+</w:t>
            </w:r>
            <w:r>
              <w:rPr>
                <w:rFonts w:hint="default" w:ascii="Times New Roman" w:hAnsi="Times New Roman" w:eastAsia="宋体" w:cs="Times New Roman"/>
                <w:color w:val="auto"/>
                <w:kern w:val="0"/>
                <w:sz w:val="21"/>
                <w:szCs w:val="21"/>
                <w:highlight w:val="none"/>
                <w:lang w:bidi="ar"/>
              </w:rPr>
              <w:t>、K</w:t>
            </w:r>
            <w:r>
              <w:rPr>
                <w:rFonts w:hint="default" w:ascii="Times New Roman" w:hAnsi="Times New Roman" w:eastAsia="宋体" w:cs="Times New Roman"/>
                <w:color w:val="auto"/>
                <w:kern w:val="0"/>
                <w:sz w:val="21"/>
                <w:szCs w:val="21"/>
                <w:highlight w:val="none"/>
                <w:vertAlign w:val="superscript"/>
                <w:lang w:bidi="ar"/>
              </w:rPr>
              <w:t>+</w:t>
            </w:r>
            <w:r>
              <w:rPr>
                <w:rFonts w:hint="default" w:ascii="Times New Roman" w:hAnsi="Times New Roman" w:eastAsia="宋体" w:cs="Times New Roman"/>
                <w:color w:val="auto"/>
                <w:kern w:val="0"/>
                <w:sz w:val="21"/>
                <w:szCs w:val="21"/>
                <w:highlight w:val="none"/>
                <w:lang w:bidi="ar"/>
              </w:rPr>
              <w:t>、Ca</w:t>
            </w:r>
            <w:r>
              <w:rPr>
                <w:rFonts w:hint="default" w:ascii="Times New Roman" w:hAnsi="Times New Roman" w:eastAsia="宋体" w:cs="Times New Roman"/>
                <w:color w:val="auto"/>
                <w:kern w:val="0"/>
                <w:sz w:val="21"/>
                <w:szCs w:val="21"/>
                <w:highlight w:val="none"/>
                <w:vertAlign w:val="superscript"/>
                <w:lang w:bidi="ar"/>
              </w:rPr>
              <w:t>2+</w:t>
            </w:r>
            <w:r>
              <w:rPr>
                <w:rFonts w:hint="default" w:ascii="Times New Roman" w:hAnsi="Times New Roman" w:eastAsia="宋体" w:cs="Times New Roman"/>
                <w:color w:val="auto"/>
                <w:kern w:val="0"/>
                <w:sz w:val="21"/>
                <w:szCs w:val="21"/>
                <w:highlight w:val="none"/>
                <w:lang w:bidi="ar"/>
              </w:rPr>
              <w:t>、Mg</w:t>
            </w:r>
            <w:r>
              <w:rPr>
                <w:rFonts w:hint="default" w:ascii="Times New Roman" w:hAnsi="Times New Roman" w:eastAsia="宋体" w:cs="Times New Roman"/>
                <w:color w:val="auto"/>
                <w:kern w:val="0"/>
                <w:sz w:val="21"/>
                <w:szCs w:val="21"/>
                <w:highlight w:val="none"/>
                <w:vertAlign w:val="superscript"/>
                <w:lang w:bidi="ar"/>
              </w:rPr>
              <w:t>2+</w:t>
            </w:r>
            <w:r>
              <w:rPr>
                <w:rFonts w:hint="default" w:ascii="Times New Roman" w:hAnsi="Times New Roman" w:eastAsia="宋体" w:cs="Times New Roman"/>
                <w:color w:val="auto"/>
                <w:kern w:val="0"/>
                <w:sz w:val="21"/>
                <w:szCs w:val="21"/>
                <w:highlight w:val="none"/>
                <w:lang w:bidi="ar"/>
              </w:rPr>
              <w:t>）的测定离子色谱法》（HJ812-2016）</w:t>
            </w:r>
          </w:p>
        </w:tc>
        <w:tc>
          <w:tcPr>
            <w:tcW w:w="876" w:type="dxa"/>
            <w:noWrap w:val="0"/>
            <w:vAlign w:val="center"/>
          </w:tcPr>
          <w:p w14:paraId="1A19A6E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0.02</w:t>
            </w:r>
          </w:p>
          <w:p w14:paraId="413A404C">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492" w:type="dxa"/>
            <w:noWrap w:val="0"/>
            <w:vAlign w:val="center"/>
          </w:tcPr>
          <w:p w14:paraId="773E783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离子色谱仪/ICS-600</w:t>
            </w:r>
          </w:p>
        </w:tc>
        <w:tc>
          <w:tcPr>
            <w:tcW w:w="1306" w:type="dxa"/>
            <w:noWrap w:val="0"/>
            <w:vAlign w:val="center"/>
          </w:tcPr>
          <w:p w14:paraId="528DEA2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HZD-001-A</w:t>
            </w:r>
          </w:p>
        </w:tc>
      </w:tr>
      <w:tr w14:paraId="69CB8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7B1672A4">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1029" w:type="dxa"/>
            <w:noWrap w:val="0"/>
            <w:vAlign w:val="center"/>
          </w:tcPr>
          <w:p w14:paraId="71F93D7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无机阴离子Cl</w:t>
            </w:r>
            <w:r>
              <w:rPr>
                <w:rFonts w:hint="default" w:ascii="Times New Roman" w:hAnsi="Times New Roman" w:eastAsia="宋体" w:cs="Times New Roman"/>
                <w:color w:val="auto"/>
                <w:sz w:val="21"/>
                <w:szCs w:val="21"/>
                <w:highlight w:val="none"/>
                <w:vertAlign w:val="superscript"/>
              </w:rPr>
              <w:t>-</w:t>
            </w:r>
          </w:p>
        </w:tc>
        <w:tc>
          <w:tcPr>
            <w:tcW w:w="4586" w:type="dxa"/>
            <w:noWrap w:val="0"/>
            <w:vAlign w:val="center"/>
          </w:tcPr>
          <w:p w14:paraId="25ECA47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《水质无机阴离子（F</w:t>
            </w:r>
            <w:r>
              <w:rPr>
                <w:rFonts w:hint="default" w:ascii="Times New Roman" w:hAnsi="Times New Roman" w:eastAsia="宋体" w:cs="Times New Roman"/>
                <w:color w:val="auto"/>
                <w:kern w:val="0"/>
                <w:sz w:val="21"/>
                <w:szCs w:val="21"/>
                <w:highlight w:val="none"/>
                <w:vertAlign w:val="superscript"/>
                <w:lang w:bidi="ar"/>
              </w:rPr>
              <w:t>-</w:t>
            </w:r>
            <w:r>
              <w:rPr>
                <w:rFonts w:hint="default" w:ascii="Times New Roman" w:hAnsi="Times New Roman" w:eastAsia="宋体" w:cs="Times New Roman"/>
                <w:color w:val="auto"/>
                <w:kern w:val="0"/>
                <w:sz w:val="21"/>
                <w:szCs w:val="21"/>
                <w:highlight w:val="none"/>
                <w:lang w:bidi="ar"/>
              </w:rPr>
              <w:t>、Cl</w:t>
            </w:r>
            <w:r>
              <w:rPr>
                <w:rFonts w:hint="default" w:ascii="Times New Roman" w:hAnsi="Times New Roman" w:eastAsia="宋体" w:cs="Times New Roman"/>
                <w:color w:val="auto"/>
                <w:kern w:val="0"/>
                <w:sz w:val="21"/>
                <w:szCs w:val="21"/>
                <w:highlight w:val="none"/>
                <w:vertAlign w:val="superscript"/>
                <w:lang w:bidi="ar"/>
              </w:rPr>
              <w:t>-</w:t>
            </w:r>
            <w:r>
              <w:rPr>
                <w:rFonts w:hint="default" w:ascii="Times New Roman" w:hAnsi="Times New Roman" w:eastAsia="宋体" w:cs="Times New Roman"/>
                <w:color w:val="auto"/>
                <w:kern w:val="0"/>
                <w:sz w:val="21"/>
                <w:szCs w:val="21"/>
                <w:highlight w:val="none"/>
                <w:lang w:bidi="ar"/>
              </w:rPr>
              <w:t>、NO</w:t>
            </w:r>
            <w:r>
              <w:rPr>
                <w:rFonts w:hint="default" w:ascii="Times New Roman" w:hAnsi="Times New Roman" w:eastAsia="宋体" w:cs="Times New Roman"/>
                <w:color w:val="auto"/>
                <w:kern w:val="0"/>
                <w:sz w:val="21"/>
                <w:szCs w:val="21"/>
                <w:highlight w:val="none"/>
                <w:vertAlign w:val="superscript"/>
                <w:lang w:bidi="ar"/>
              </w:rPr>
              <w:t>2-</w:t>
            </w:r>
            <w:r>
              <w:rPr>
                <w:rFonts w:hint="default" w:ascii="Times New Roman" w:hAnsi="Times New Roman" w:eastAsia="宋体" w:cs="Times New Roman"/>
                <w:color w:val="auto"/>
                <w:kern w:val="0"/>
                <w:sz w:val="21"/>
                <w:szCs w:val="21"/>
                <w:highlight w:val="none"/>
                <w:lang w:bidi="ar"/>
              </w:rPr>
              <w:t>、Br</w:t>
            </w:r>
            <w:r>
              <w:rPr>
                <w:rFonts w:hint="default" w:ascii="Times New Roman" w:hAnsi="Times New Roman" w:eastAsia="宋体" w:cs="Times New Roman"/>
                <w:color w:val="auto"/>
                <w:kern w:val="0"/>
                <w:sz w:val="21"/>
                <w:szCs w:val="21"/>
                <w:highlight w:val="none"/>
                <w:vertAlign w:val="superscript"/>
                <w:lang w:bidi="ar"/>
              </w:rPr>
              <w:t>-</w:t>
            </w:r>
            <w:r>
              <w:rPr>
                <w:rFonts w:hint="default" w:ascii="Times New Roman" w:hAnsi="Times New Roman" w:eastAsia="宋体" w:cs="Times New Roman"/>
                <w:color w:val="auto"/>
                <w:kern w:val="0"/>
                <w:sz w:val="21"/>
                <w:szCs w:val="21"/>
                <w:highlight w:val="none"/>
                <w:lang w:bidi="ar"/>
              </w:rPr>
              <w:t>、NO</w:t>
            </w:r>
            <w:r>
              <w:rPr>
                <w:rFonts w:hint="default" w:ascii="Times New Roman" w:hAnsi="Times New Roman" w:eastAsia="宋体" w:cs="Times New Roman"/>
                <w:color w:val="auto"/>
                <w:kern w:val="0"/>
                <w:sz w:val="21"/>
                <w:szCs w:val="21"/>
                <w:highlight w:val="none"/>
                <w:vertAlign w:val="superscript"/>
                <w:lang w:bidi="ar"/>
              </w:rPr>
              <w:t>3-</w:t>
            </w:r>
            <w:r>
              <w:rPr>
                <w:rFonts w:hint="default" w:ascii="Times New Roman" w:hAnsi="Times New Roman" w:eastAsia="宋体" w:cs="Times New Roman"/>
                <w:color w:val="auto"/>
                <w:kern w:val="0"/>
                <w:sz w:val="21"/>
                <w:szCs w:val="21"/>
                <w:highlight w:val="none"/>
                <w:lang w:bidi="ar"/>
              </w:rPr>
              <w:t>、PO</w:t>
            </w:r>
            <w:r>
              <w:rPr>
                <w:rFonts w:hint="default" w:ascii="Times New Roman" w:hAnsi="Times New Roman" w:eastAsia="宋体" w:cs="Times New Roman"/>
                <w:color w:val="auto"/>
                <w:kern w:val="0"/>
                <w:sz w:val="21"/>
                <w:szCs w:val="21"/>
                <w:highlight w:val="none"/>
                <w:vertAlign w:val="subscript"/>
                <w:lang w:bidi="ar"/>
              </w:rPr>
              <w:t>4</w:t>
            </w:r>
            <w:r>
              <w:rPr>
                <w:rFonts w:hint="default" w:ascii="Times New Roman" w:hAnsi="Times New Roman" w:eastAsia="宋体" w:cs="Times New Roman"/>
                <w:color w:val="auto"/>
                <w:kern w:val="0"/>
                <w:sz w:val="21"/>
                <w:szCs w:val="21"/>
                <w:highlight w:val="none"/>
                <w:vertAlign w:val="superscript"/>
                <w:lang w:bidi="ar"/>
              </w:rPr>
              <w:t>3-</w:t>
            </w:r>
            <w:r>
              <w:rPr>
                <w:rFonts w:hint="default" w:ascii="Times New Roman" w:hAnsi="Times New Roman" w:eastAsia="宋体" w:cs="Times New Roman"/>
                <w:color w:val="auto"/>
                <w:kern w:val="0"/>
                <w:sz w:val="21"/>
                <w:szCs w:val="21"/>
                <w:highlight w:val="none"/>
                <w:lang w:bidi="ar"/>
              </w:rPr>
              <w:t>、SO</w:t>
            </w:r>
            <w:r>
              <w:rPr>
                <w:rFonts w:hint="default" w:ascii="Times New Roman" w:hAnsi="Times New Roman" w:eastAsia="宋体" w:cs="Times New Roman"/>
                <w:color w:val="auto"/>
                <w:kern w:val="0"/>
                <w:sz w:val="21"/>
                <w:szCs w:val="21"/>
                <w:highlight w:val="none"/>
                <w:vertAlign w:val="subscript"/>
                <w:lang w:bidi="ar"/>
              </w:rPr>
              <w:t>3</w:t>
            </w:r>
            <w:r>
              <w:rPr>
                <w:rFonts w:hint="default" w:ascii="Times New Roman" w:hAnsi="Times New Roman" w:eastAsia="宋体" w:cs="Times New Roman"/>
                <w:color w:val="auto"/>
                <w:kern w:val="0"/>
                <w:sz w:val="21"/>
                <w:szCs w:val="21"/>
                <w:highlight w:val="none"/>
                <w:vertAlign w:val="superscript"/>
                <w:lang w:bidi="ar"/>
              </w:rPr>
              <w:t>2-</w:t>
            </w:r>
            <w:r>
              <w:rPr>
                <w:rFonts w:hint="default" w:ascii="Times New Roman" w:hAnsi="Times New Roman" w:eastAsia="宋体" w:cs="Times New Roman"/>
                <w:color w:val="auto"/>
                <w:kern w:val="0"/>
                <w:sz w:val="21"/>
                <w:szCs w:val="21"/>
                <w:highlight w:val="none"/>
                <w:lang w:bidi="ar"/>
              </w:rPr>
              <w:t>、SO</w:t>
            </w:r>
            <w:r>
              <w:rPr>
                <w:rFonts w:hint="default" w:ascii="Times New Roman" w:hAnsi="Times New Roman" w:eastAsia="宋体" w:cs="Times New Roman"/>
                <w:color w:val="auto"/>
                <w:kern w:val="0"/>
                <w:sz w:val="21"/>
                <w:szCs w:val="21"/>
                <w:highlight w:val="none"/>
                <w:vertAlign w:val="subscript"/>
                <w:lang w:bidi="ar"/>
              </w:rPr>
              <w:t>4</w:t>
            </w:r>
            <w:r>
              <w:rPr>
                <w:rFonts w:hint="default" w:ascii="Times New Roman" w:hAnsi="Times New Roman" w:eastAsia="宋体" w:cs="Times New Roman"/>
                <w:color w:val="auto"/>
                <w:kern w:val="0"/>
                <w:sz w:val="21"/>
                <w:szCs w:val="21"/>
                <w:highlight w:val="none"/>
                <w:vertAlign w:val="superscript"/>
                <w:lang w:bidi="ar"/>
              </w:rPr>
              <w:t>2-</w:t>
            </w:r>
            <w:r>
              <w:rPr>
                <w:rFonts w:hint="default" w:ascii="Times New Roman" w:hAnsi="Times New Roman" w:eastAsia="宋体" w:cs="Times New Roman"/>
                <w:color w:val="auto"/>
                <w:kern w:val="0"/>
                <w:sz w:val="21"/>
                <w:szCs w:val="21"/>
                <w:highlight w:val="none"/>
                <w:lang w:bidi="ar"/>
              </w:rPr>
              <w:t>）的测定离子色谱法》</w:t>
            </w:r>
          </w:p>
          <w:p w14:paraId="2859097B">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（HJ84-2016）</w:t>
            </w:r>
          </w:p>
        </w:tc>
        <w:tc>
          <w:tcPr>
            <w:tcW w:w="876" w:type="dxa"/>
            <w:noWrap w:val="0"/>
            <w:vAlign w:val="center"/>
          </w:tcPr>
          <w:p w14:paraId="7CC1668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0.007</w:t>
            </w:r>
          </w:p>
          <w:p w14:paraId="5A073E6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492" w:type="dxa"/>
            <w:noWrap w:val="0"/>
            <w:vAlign w:val="center"/>
          </w:tcPr>
          <w:p w14:paraId="070CC682">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离子色谱仪/ICS-600</w:t>
            </w:r>
          </w:p>
        </w:tc>
        <w:tc>
          <w:tcPr>
            <w:tcW w:w="1306" w:type="dxa"/>
            <w:noWrap w:val="0"/>
            <w:vAlign w:val="center"/>
          </w:tcPr>
          <w:p w14:paraId="74BB3408">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HZD-001-A</w:t>
            </w:r>
          </w:p>
        </w:tc>
      </w:tr>
      <w:tr w14:paraId="2AD57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4AC0DE8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1029" w:type="dxa"/>
            <w:noWrap w:val="0"/>
            <w:vAlign w:val="center"/>
          </w:tcPr>
          <w:p w14:paraId="5E64F9C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无机阴离子SO</w:t>
            </w:r>
            <w:r>
              <w:rPr>
                <w:rFonts w:hint="default" w:ascii="Times New Roman" w:hAnsi="Times New Roman" w:eastAsia="宋体" w:cs="Times New Roman"/>
                <w:color w:val="auto"/>
                <w:sz w:val="21"/>
                <w:szCs w:val="21"/>
                <w:highlight w:val="none"/>
                <w:vertAlign w:val="subscript"/>
              </w:rPr>
              <w:t>4</w:t>
            </w:r>
            <w:r>
              <w:rPr>
                <w:rFonts w:hint="default" w:ascii="Times New Roman" w:hAnsi="Times New Roman" w:eastAsia="宋体" w:cs="Times New Roman"/>
                <w:color w:val="auto"/>
                <w:sz w:val="21"/>
                <w:szCs w:val="21"/>
                <w:highlight w:val="none"/>
                <w:vertAlign w:val="superscript"/>
              </w:rPr>
              <w:t>2-</w:t>
            </w:r>
          </w:p>
        </w:tc>
        <w:tc>
          <w:tcPr>
            <w:tcW w:w="4586" w:type="dxa"/>
            <w:noWrap w:val="0"/>
            <w:vAlign w:val="center"/>
          </w:tcPr>
          <w:p w14:paraId="60902B3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《水质无机阴离子（F</w:t>
            </w:r>
            <w:r>
              <w:rPr>
                <w:rFonts w:hint="default" w:ascii="Times New Roman" w:hAnsi="Times New Roman" w:eastAsia="宋体" w:cs="Times New Roman"/>
                <w:color w:val="auto"/>
                <w:kern w:val="0"/>
                <w:sz w:val="21"/>
                <w:szCs w:val="21"/>
                <w:highlight w:val="none"/>
                <w:vertAlign w:val="superscript"/>
                <w:lang w:bidi="ar"/>
              </w:rPr>
              <w:t>-</w:t>
            </w:r>
            <w:r>
              <w:rPr>
                <w:rFonts w:hint="default" w:ascii="Times New Roman" w:hAnsi="Times New Roman" w:eastAsia="宋体" w:cs="Times New Roman"/>
                <w:color w:val="auto"/>
                <w:kern w:val="0"/>
                <w:sz w:val="21"/>
                <w:szCs w:val="21"/>
                <w:highlight w:val="none"/>
                <w:lang w:bidi="ar"/>
              </w:rPr>
              <w:t>、Cl</w:t>
            </w:r>
            <w:r>
              <w:rPr>
                <w:rFonts w:hint="default" w:ascii="Times New Roman" w:hAnsi="Times New Roman" w:eastAsia="宋体" w:cs="Times New Roman"/>
                <w:color w:val="auto"/>
                <w:kern w:val="0"/>
                <w:sz w:val="21"/>
                <w:szCs w:val="21"/>
                <w:highlight w:val="none"/>
                <w:vertAlign w:val="superscript"/>
                <w:lang w:bidi="ar"/>
              </w:rPr>
              <w:t>-</w:t>
            </w:r>
            <w:r>
              <w:rPr>
                <w:rFonts w:hint="default" w:ascii="Times New Roman" w:hAnsi="Times New Roman" w:eastAsia="宋体" w:cs="Times New Roman"/>
                <w:color w:val="auto"/>
                <w:kern w:val="0"/>
                <w:sz w:val="21"/>
                <w:szCs w:val="21"/>
                <w:highlight w:val="none"/>
                <w:lang w:bidi="ar"/>
              </w:rPr>
              <w:t>、NO</w:t>
            </w:r>
            <w:r>
              <w:rPr>
                <w:rFonts w:hint="default" w:ascii="Times New Roman" w:hAnsi="Times New Roman" w:eastAsia="宋体" w:cs="Times New Roman"/>
                <w:color w:val="auto"/>
                <w:kern w:val="0"/>
                <w:sz w:val="21"/>
                <w:szCs w:val="21"/>
                <w:highlight w:val="none"/>
                <w:vertAlign w:val="superscript"/>
                <w:lang w:bidi="ar"/>
              </w:rPr>
              <w:t>2-</w:t>
            </w:r>
            <w:r>
              <w:rPr>
                <w:rFonts w:hint="default" w:ascii="Times New Roman" w:hAnsi="Times New Roman" w:eastAsia="宋体" w:cs="Times New Roman"/>
                <w:color w:val="auto"/>
                <w:kern w:val="0"/>
                <w:sz w:val="21"/>
                <w:szCs w:val="21"/>
                <w:highlight w:val="none"/>
                <w:lang w:bidi="ar"/>
              </w:rPr>
              <w:t>、Br</w:t>
            </w:r>
            <w:r>
              <w:rPr>
                <w:rFonts w:hint="default" w:ascii="Times New Roman" w:hAnsi="Times New Roman" w:eastAsia="宋体" w:cs="Times New Roman"/>
                <w:color w:val="auto"/>
                <w:kern w:val="0"/>
                <w:sz w:val="21"/>
                <w:szCs w:val="21"/>
                <w:highlight w:val="none"/>
                <w:vertAlign w:val="superscript"/>
                <w:lang w:bidi="ar"/>
              </w:rPr>
              <w:t>-</w:t>
            </w:r>
            <w:r>
              <w:rPr>
                <w:rFonts w:hint="default" w:ascii="Times New Roman" w:hAnsi="Times New Roman" w:eastAsia="宋体" w:cs="Times New Roman"/>
                <w:color w:val="auto"/>
                <w:kern w:val="0"/>
                <w:sz w:val="21"/>
                <w:szCs w:val="21"/>
                <w:highlight w:val="none"/>
                <w:lang w:bidi="ar"/>
              </w:rPr>
              <w:t>、NO</w:t>
            </w:r>
            <w:r>
              <w:rPr>
                <w:rFonts w:hint="default" w:ascii="Times New Roman" w:hAnsi="Times New Roman" w:eastAsia="宋体" w:cs="Times New Roman"/>
                <w:color w:val="auto"/>
                <w:kern w:val="0"/>
                <w:sz w:val="21"/>
                <w:szCs w:val="21"/>
                <w:highlight w:val="none"/>
                <w:vertAlign w:val="superscript"/>
                <w:lang w:bidi="ar"/>
              </w:rPr>
              <w:t>3-</w:t>
            </w:r>
            <w:r>
              <w:rPr>
                <w:rFonts w:hint="default" w:ascii="Times New Roman" w:hAnsi="Times New Roman" w:eastAsia="宋体" w:cs="Times New Roman"/>
                <w:color w:val="auto"/>
                <w:kern w:val="0"/>
                <w:sz w:val="21"/>
                <w:szCs w:val="21"/>
                <w:highlight w:val="none"/>
                <w:lang w:bidi="ar"/>
              </w:rPr>
              <w:t>、PO</w:t>
            </w:r>
            <w:r>
              <w:rPr>
                <w:rFonts w:hint="default" w:ascii="Times New Roman" w:hAnsi="Times New Roman" w:eastAsia="宋体" w:cs="Times New Roman"/>
                <w:color w:val="auto"/>
                <w:kern w:val="0"/>
                <w:sz w:val="21"/>
                <w:szCs w:val="21"/>
                <w:highlight w:val="none"/>
                <w:vertAlign w:val="subscript"/>
                <w:lang w:bidi="ar"/>
              </w:rPr>
              <w:t>4</w:t>
            </w:r>
            <w:r>
              <w:rPr>
                <w:rFonts w:hint="default" w:ascii="Times New Roman" w:hAnsi="Times New Roman" w:eastAsia="宋体" w:cs="Times New Roman"/>
                <w:color w:val="auto"/>
                <w:kern w:val="0"/>
                <w:sz w:val="21"/>
                <w:szCs w:val="21"/>
                <w:highlight w:val="none"/>
                <w:vertAlign w:val="superscript"/>
                <w:lang w:bidi="ar"/>
              </w:rPr>
              <w:t>3-</w:t>
            </w:r>
            <w:r>
              <w:rPr>
                <w:rFonts w:hint="default" w:ascii="Times New Roman" w:hAnsi="Times New Roman" w:eastAsia="宋体" w:cs="Times New Roman"/>
                <w:color w:val="auto"/>
                <w:kern w:val="0"/>
                <w:sz w:val="21"/>
                <w:szCs w:val="21"/>
                <w:highlight w:val="none"/>
                <w:lang w:bidi="ar"/>
              </w:rPr>
              <w:t>、SO</w:t>
            </w:r>
            <w:r>
              <w:rPr>
                <w:rFonts w:hint="default" w:ascii="Times New Roman" w:hAnsi="Times New Roman" w:eastAsia="宋体" w:cs="Times New Roman"/>
                <w:color w:val="auto"/>
                <w:kern w:val="0"/>
                <w:sz w:val="21"/>
                <w:szCs w:val="21"/>
                <w:highlight w:val="none"/>
                <w:vertAlign w:val="subscript"/>
                <w:lang w:bidi="ar"/>
              </w:rPr>
              <w:t>3</w:t>
            </w:r>
            <w:r>
              <w:rPr>
                <w:rFonts w:hint="default" w:ascii="Times New Roman" w:hAnsi="Times New Roman" w:eastAsia="宋体" w:cs="Times New Roman"/>
                <w:color w:val="auto"/>
                <w:kern w:val="0"/>
                <w:sz w:val="21"/>
                <w:szCs w:val="21"/>
                <w:highlight w:val="none"/>
                <w:vertAlign w:val="superscript"/>
                <w:lang w:bidi="ar"/>
              </w:rPr>
              <w:t>2-</w:t>
            </w:r>
            <w:r>
              <w:rPr>
                <w:rFonts w:hint="default" w:ascii="Times New Roman" w:hAnsi="Times New Roman" w:eastAsia="宋体" w:cs="Times New Roman"/>
                <w:color w:val="auto"/>
                <w:kern w:val="0"/>
                <w:sz w:val="21"/>
                <w:szCs w:val="21"/>
                <w:highlight w:val="none"/>
                <w:lang w:bidi="ar"/>
              </w:rPr>
              <w:t>、SO</w:t>
            </w:r>
            <w:r>
              <w:rPr>
                <w:rFonts w:hint="default" w:ascii="Times New Roman" w:hAnsi="Times New Roman" w:eastAsia="宋体" w:cs="Times New Roman"/>
                <w:color w:val="auto"/>
                <w:kern w:val="0"/>
                <w:sz w:val="21"/>
                <w:szCs w:val="21"/>
                <w:highlight w:val="none"/>
                <w:vertAlign w:val="subscript"/>
                <w:lang w:bidi="ar"/>
              </w:rPr>
              <w:t>4</w:t>
            </w:r>
            <w:r>
              <w:rPr>
                <w:rFonts w:hint="default" w:ascii="Times New Roman" w:hAnsi="Times New Roman" w:eastAsia="宋体" w:cs="Times New Roman"/>
                <w:color w:val="auto"/>
                <w:kern w:val="0"/>
                <w:sz w:val="21"/>
                <w:szCs w:val="21"/>
                <w:highlight w:val="none"/>
                <w:vertAlign w:val="superscript"/>
                <w:lang w:bidi="ar"/>
              </w:rPr>
              <w:t>2-</w:t>
            </w:r>
            <w:r>
              <w:rPr>
                <w:rFonts w:hint="default" w:ascii="Times New Roman" w:hAnsi="Times New Roman" w:eastAsia="宋体" w:cs="Times New Roman"/>
                <w:color w:val="auto"/>
                <w:kern w:val="0"/>
                <w:sz w:val="21"/>
                <w:szCs w:val="21"/>
                <w:highlight w:val="none"/>
                <w:lang w:bidi="ar"/>
              </w:rPr>
              <w:t>）的测定离子色谱法》</w:t>
            </w:r>
          </w:p>
          <w:p w14:paraId="45E1655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（HJ84-2016）</w:t>
            </w:r>
          </w:p>
        </w:tc>
        <w:tc>
          <w:tcPr>
            <w:tcW w:w="876" w:type="dxa"/>
            <w:noWrap w:val="0"/>
            <w:vAlign w:val="center"/>
          </w:tcPr>
          <w:p w14:paraId="2DD1F97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0.018</w:t>
            </w:r>
          </w:p>
          <w:p w14:paraId="317A241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492" w:type="dxa"/>
            <w:noWrap w:val="0"/>
            <w:vAlign w:val="center"/>
          </w:tcPr>
          <w:p w14:paraId="373AB48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离子色谱仪/ICS-600</w:t>
            </w:r>
          </w:p>
        </w:tc>
        <w:tc>
          <w:tcPr>
            <w:tcW w:w="1306" w:type="dxa"/>
            <w:noWrap w:val="0"/>
            <w:vAlign w:val="center"/>
          </w:tcPr>
          <w:p w14:paraId="0DAED378">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HZD-001-A</w:t>
            </w:r>
          </w:p>
        </w:tc>
      </w:tr>
      <w:tr w14:paraId="66030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5892E194">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1029" w:type="dxa"/>
            <w:noWrap w:val="0"/>
            <w:vAlign w:val="center"/>
          </w:tcPr>
          <w:p w14:paraId="3760AD0B">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重碳酸盐</w:t>
            </w:r>
          </w:p>
        </w:tc>
        <w:tc>
          <w:tcPr>
            <w:tcW w:w="4586" w:type="dxa"/>
            <w:noWrap w:val="0"/>
            <w:vAlign w:val="center"/>
          </w:tcPr>
          <w:p w14:paraId="463BE86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《水和废水检测分析方法（第四版）国家环境保护总局》（2002年）第三篇第一章十二、碱度（一）酸碱指示剂滴定法（B）</w:t>
            </w:r>
          </w:p>
        </w:tc>
        <w:tc>
          <w:tcPr>
            <w:tcW w:w="876" w:type="dxa"/>
            <w:noWrap w:val="0"/>
            <w:vAlign w:val="center"/>
          </w:tcPr>
          <w:p w14:paraId="63AB971C">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492" w:type="dxa"/>
            <w:noWrap w:val="0"/>
            <w:vAlign w:val="center"/>
          </w:tcPr>
          <w:p w14:paraId="5EEB025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滴定管</w:t>
            </w:r>
          </w:p>
        </w:tc>
        <w:tc>
          <w:tcPr>
            <w:tcW w:w="1306" w:type="dxa"/>
            <w:noWrap w:val="0"/>
            <w:vAlign w:val="center"/>
          </w:tcPr>
          <w:p w14:paraId="252C969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385E2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2515694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c>
          <w:tcPr>
            <w:tcW w:w="1029" w:type="dxa"/>
            <w:noWrap w:val="0"/>
            <w:vAlign w:val="center"/>
          </w:tcPr>
          <w:p w14:paraId="1F42C60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碳酸盐</w:t>
            </w:r>
          </w:p>
        </w:tc>
        <w:tc>
          <w:tcPr>
            <w:tcW w:w="4586" w:type="dxa"/>
            <w:noWrap w:val="0"/>
            <w:vAlign w:val="center"/>
          </w:tcPr>
          <w:p w14:paraId="70B22AFB">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《水和废水检测分析方法（第四版）国家环境保护总局》（2002年）第三篇第一章十二、碱度（一）酸碱指示剂滴定法（B）</w:t>
            </w:r>
          </w:p>
        </w:tc>
        <w:tc>
          <w:tcPr>
            <w:tcW w:w="876" w:type="dxa"/>
            <w:noWrap w:val="0"/>
            <w:vAlign w:val="center"/>
          </w:tcPr>
          <w:p w14:paraId="53AEBA1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492" w:type="dxa"/>
            <w:noWrap w:val="0"/>
            <w:vAlign w:val="center"/>
          </w:tcPr>
          <w:p w14:paraId="3326C7C2">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滴定管</w:t>
            </w:r>
          </w:p>
        </w:tc>
        <w:tc>
          <w:tcPr>
            <w:tcW w:w="1306" w:type="dxa"/>
            <w:noWrap w:val="0"/>
            <w:vAlign w:val="center"/>
          </w:tcPr>
          <w:p w14:paraId="72D0AB9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55F3F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4A8CC32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029" w:type="dxa"/>
            <w:noWrap w:val="0"/>
            <w:vAlign w:val="center"/>
          </w:tcPr>
          <w:p w14:paraId="687E2EC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4586" w:type="dxa"/>
            <w:noWrap w:val="0"/>
            <w:vAlign w:val="center"/>
          </w:tcPr>
          <w:p w14:paraId="02D87B8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《水质氨氮的测定纳氏试剂分光光度法》</w:t>
            </w:r>
          </w:p>
          <w:p w14:paraId="007C22B8">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（HJ535-2009）</w:t>
            </w:r>
          </w:p>
        </w:tc>
        <w:tc>
          <w:tcPr>
            <w:tcW w:w="876" w:type="dxa"/>
            <w:noWrap w:val="0"/>
            <w:vAlign w:val="center"/>
          </w:tcPr>
          <w:p w14:paraId="2B1DFA2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0.025</w:t>
            </w:r>
          </w:p>
          <w:p w14:paraId="08915E73">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492" w:type="dxa"/>
            <w:noWrap w:val="0"/>
            <w:vAlign w:val="center"/>
          </w:tcPr>
          <w:p w14:paraId="7F99ABF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可见分光光度计/7230G</w:t>
            </w:r>
          </w:p>
        </w:tc>
        <w:tc>
          <w:tcPr>
            <w:tcW w:w="1306" w:type="dxa"/>
            <w:noWrap w:val="0"/>
            <w:vAlign w:val="center"/>
          </w:tcPr>
          <w:p w14:paraId="5B82A23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HZD-022-A</w:t>
            </w:r>
          </w:p>
        </w:tc>
      </w:tr>
      <w:tr w14:paraId="6A424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102C48E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w:t>
            </w:r>
          </w:p>
        </w:tc>
        <w:tc>
          <w:tcPr>
            <w:tcW w:w="1029" w:type="dxa"/>
            <w:noWrap w:val="0"/>
            <w:vAlign w:val="center"/>
          </w:tcPr>
          <w:p w14:paraId="661CC52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亚硝酸盐氮</w:t>
            </w:r>
          </w:p>
        </w:tc>
        <w:tc>
          <w:tcPr>
            <w:tcW w:w="4586" w:type="dxa"/>
            <w:noWrap w:val="0"/>
            <w:vAlign w:val="center"/>
          </w:tcPr>
          <w:p w14:paraId="70D57DF3">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《水质亚硝酸盐氮的测定分光光度法》</w:t>
            </w:r>
          </w:p>
          <w:p w14:paraId="382BE03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（GB7493-87）</w:t>
            </w:r>
          </w:p>
        </w:tc>
        <w:tc>
          <w:tcPr>
            <w:tcW w:w="876" w:type="dxa"/>
            <w:noWrap w:val="0"/>
            <w:vAlign w:val="center"/>
          </w:tcPr>
          <w:p w14:paraId="62619B52">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0.003</w:t>
            </w:r>
          </w:p>
          <w:p w14:paraId="6864564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492" w:type="dxa"/>
            <w:noWrap w:val="0"/>
            <w:vAlign w:val="center"/>
          </w:tcPr>
          <w:p w14:paraId="5309D37C">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可见分光光度计/7230G</w:t>
            </w:r>
          </w:p>
        </w:tc>
        <w:tc>
          <w:tcPr>
            <w:tcW w:w="1306" w:type="dxa"/>
            <w:noWrap w:val="0"/>
            <w:vAlign w:val="center"/>
          </w:tcPr>
          <w:p w14:paraId="4B8DD358">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HZD-022-A</w:t>
            </w:r>
          </w:p>
        </w:tc>
      </w:tr>
      <w:tr w14:paraId="6E6D7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28C7AD0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w:t>
            </w:r>
          </w:p>
        </w:tc>
        <w:tc>
          <w:tcPr>
            <w:tcW w:w="1029" w:type="dxa"/>
            <w:noWrap w:val="0"/>
            <w:vAlign w:val="center"/>
          </w:tcPr>
          <w:p w14:paraId="46B8A613">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硝酸盐氮</w:t>
            </w:r>
          </w:p>
        </w:tc>
        <w:tc>
          <w:tcPr>
            <w:tcW w:w="4586" w:type="dxa"/>
            <w:noWrap w:val="0"/>
            <w:vAlign w:val="center"/>
          </w:tcPr>
          <w:p w14:paraId="5FBEA18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《水质硝酸盐氮的测定紫外分光光度法（试行）》（HJ/T346-2007）</w:t>
            </w:r>
          </w:p>
        </w:tc>
        <w:tc>
          <w:tcPr>
            <w:tcW w:w="876" w:type="dxa"/>
            <w:noWrap w:val="0"/>
            <w:vAlign w:val="center"/>
          </w:tcPr>
          <w:p w14:paraId="3BBFC74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0.08</w:t>
            </w:r>
          </w:p>
          <w:p w14:paraId="0855F26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492" w:type="dxa"/>
            <w:noWrap w:val="0"/>
            <w:vAlign w:val="center"/>
          </w:tcPr>
          <w:p w14:paraId="10D6BC9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紫外分光光度/UV-5100</w:t>
            </w:r>
          </w:p>
        </w:tc>
        <w:tc>
          <w:tcPr>
            <w:tcW w:w="1306" w:type="dxa"/>
            <w:noWrap w:val="0"/>
            <w:vAlign w:val="center"/>
          </w:tcPr>
          <w:p w14:paraId="506933D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HZD-021-A</w:t>
            </w:r>
          </w:p>
        </w:tc>
      </w:tr>
      <w:tr w14:paraId="318A7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40F64834">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w:t>
            </w:r>
          </w:p>
        </w:tc>
        <w:tc>
          <w:tcPr>
            <w:tcW w:w="1029" w:type="dxa"/>
            <w:noWrap w:val="0"/>
            <w:vAlign w:val="center"/>
          </w:tcPr>
          <w:p w14:paraId="397190E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挥发酚</w:t>
            </w:r>
          </w:p>
        </w:tc>
        <w:tc>
          <w:tcPr>
            <w:tcW w:w="4586" w:type="dxa"/>
            <w:noWrap w:val="0"/>
            <w:vAlign w:val="center"/>
          </w:tcPr>
          <w:p w14:paraId="5DF97E8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《水质挥发酚的测定4-氨基安替比林分光光度法》（HJ503-2009）（方法1萃取分光光度法）</w:t>
            </w:r>
          </w:p>
        </w:tc>
        <w:tc>
          <w:tcPr>
            <w:tcW w:w="876" w:type="dxa"/>
            <w:noWrap w:val="0"/>
            <w:vAlign w:val="center"/>
          </w:tcPr>
          <w:p w14:paraId="5B6D8D72">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0.0003</w:t>
            </w:r>
          </w:p>
          <w:p w14:paraId="01FBBF4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492" w:type="dxa"/>
            <w:noWrap w:val="0"/>
            <w:vAlign w:val="center"/>
          </w:tcPr>
          <w:p w14:paraId="46171562">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可见分光光度计/7230G</w:t>
            </w:r>
          </w:p>
        </w:tc>
        <w:tc>
          <w:tcPr>
            <w:tcW w:w="1306" w:type="dxa"/>
            <w:noWrap w:val="0"/>
            <w:vAlign w:val="center"/>
          </w:tcPr>
          <w:p w14:paraId="23F134D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HZD-022-A</w:t>
            </w:r>
          </w:p>
        </w:tc>
      </w:tr>
      <w:tr w14:paraId="4916C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663FBA62">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w:t>
            </w:r>
          </w:p>
        </w:tc>
        <w:tc>
          <w:tcPr>
            <w:tcW w:w="1029" w:type="dxa"/>
            <w:noWrap w:val="0"/>
            <w:vAlign w:val="center"/>
          </w:tcPr>
          <w:p w14:paraId="016CEC56">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氰化物</w:t>
            </w:r>
          </w:p>
        </w:tc>
        <w:tc>
          <w:tcPr>
            <w:tcW w:w="4586" w:type="dxa"/>
            <w:noWrap w:val="0"/>
            <w:vAlign w:val="center"/>
          </w:tcPr>
          <w:p w14:paraId="56BEDB5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《水质氰化物的测定容量法和分光光度法（异烟酸-吡唑啉酮分光光度法）》（HJ484-2009）</w:t>
            </w:r>
          </w:p>
        </w:tc>
        <w:tc>
          <w:tcPr>
            <w:tcW w:w="876" w:type="dxa"/>
            <w:noWrap w:val="0"/>
            <w:vAlign w:val="center"/>
          </w:tcPr>
          <w:p w14:paraId="010733F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0.004</w:t>
            </w:r>
          </w:p>
          <w:p w14:paraId="2AC5F51C">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492" w:type="dxa"/>
            <w:noWrap w:val="0"/>
            <w:vAlign w:val="center"/>
          </w:tcPr>
          <w:p w14:paraId="40083466">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可见分光光度计/7230G</w:t>
            </w:r>
          </w:p>
        </w:tc>
        <w:tc>
          <w:tcPr>
            <w:tcW w:w="1306" w:type="dxa"/>
            <w:noWrap w:val="0"/>
            <w:vAlign w:val="center"/>
          </w:tcPr>
          <w:p w14:paraId="555D2C8C">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HZD-022-A</w:t>
            </w:r>
          </w:p>
        </w:tc>
      </w:tr>
      <w:tr w14:paraId="734F9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517C894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c>
          <w:tcPr>
            <w:tcW w:w="1029" w:type="dxa"/>
            <w:noWrap w:val="0"/>
            <w:vAlign w:val="center"/>
          </w:tcPr>
          <w:p w14:paraId="2F7DBAE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砷</w:t>
            </w:r>
          </w:p>
        </w:tc>
        <w:tc>
          <w:tcPr>
            <w:tcW w:w="4586" w:type="dxa"/>
            <w:noWrap w:val="0"/>
            <w:vAlign w:val="center"/>
          </w:tcPr>
          <w:p w14:paraId="3A02B23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《水质汞、砷、硒、铋和锑的测定原子荧光法》（HJ694-2014）</w:t>
            </w:r>
          </w:p>
        </w:tc>
        <w:tc>
          <w:tcPr>
            <w:tcW w:w="876" w:type="dxa"/>
            <w:noWrap w:val="0"/>
            <w:vAlign w:val="center"/>
          </w:tcPr>
          <w:p w14:paraId="0D66D39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0.3</w:t>
            </w:r>
          </w:p>
          <w:p w14:paraId="5384004B">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μg/L</w:t>
            </w:r>
          </w:p>
        </w:tc>
        <w:tc>
          <w:tcPr>
            <w:tcW w:w="1492" w:type="dxa"/>
            <w:noWrap w:val="0"/>
            <w:vAlign w:val="center"/>
          </w:tcPr>
          <w:p w14:paraId="24F9491B">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原子荧光光度计/AFS-8220</w:t>
            </w:r>
          </w:p>
        </w:tc>
        <w:tc>
          <w:tcPr>
            <w:tcW w:w="1306" w:type="dxa"/>
            <w:noWrap w:val="0"/>
            <w:vAlign w:val="center"/>
          </w:tcPr>
          <w:p w14:paraId="03640D62">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HZD-003-A</w:t>
            </w:r>
          </w:p>
        </w:tc>
      </w:tr>
      <w:tr w14:paraId="6AA56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6037E40B">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w:t>
            </w:r>
          </w:p>
        </w:tc>
        <w:tc>
          <w:tcPr>
            <w:tcW w:w="1029" w:type="dxa"/>
            <w:noWrap w:val="0"/>
            <w:vAlign w:val="center"/>
          </w:tcPr>
          <w:p w14:paraId="1B049C5B">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汞</w:t>
            </w:r>
          </w:p>
        </w:tc>
        <w:tc>
          <w:tcPr>
            <w:tcW w:w="4586" w:type="dxa"/>
            <w:noWrap w:val="0"/>
            <w:vAlign w:val="center"/>
          </w:tcPr>
          <w:p w14:paraId="55DEFE1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《水质汞、砷、硒、铋和锑的测定原子荧光法》（HJ694-2014）</w:t>
            </w:r>
          </w:p>
        </w:tc>
        <w:tc>
          <w:tcPr>
            <w:tcW w:w="876" w:type="dxa"/>
            <w:noWrap w:val="0"/>
            <w:vAlign w:val="center"/>
          </w:tcPr>
          <w:p w14:paraId="4F9EFF2B">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0.04</w:t>
            </w:r>
          </w:p>
          <w:p w14:paraId="398FC092">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μg/L</w:t>
            </w:r>
          </w:p>
        </w:tc>
        <w:tc>
          <w:tcPr>
            <w:tcW w:w="1492" w:type="dxa"/>
            <w:noWrap w:val="0"/>
            <w:vAlign w:val="center"/>
          </w:tcPr>
          <w:p w14:paraId="2A06CBB8">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原子荧光光度计/AFS-8220</w:t>
            </w:r>
          </w:p>
        </w:tc>
        <w:tc>
          <w:tcPr>
            <w:tcW w:w="1306" w:type="dxa"/>
            <w:noWrap w:val="0"/>
            <w:vAlign w:val="center"/>
          </w:tcPr>
          <w:p w14:paraId="3FFEAA44">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HZD-003-A</w:t>
            </w:r>
          </w:p>
        </w:tc>
      </w:tr>
      <w:tr w14:paraId="220E2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0C2565E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w:t>
            </w:r>
          </w:p>
        </w:tc>
        <w:tc>
          <w:tcPr>
            <w:tcW w:w="1029" w:type="dxa"/>
            <w:noWrap w:val="0"/>
            <w:vAlign w:val="center"/>
          </w:tcPr>
          <w:p w14:paraId="5008B7EC">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六价铬</w:t>
            </w:r>
          </w:p>
        </w:tc>
        <w:tc>
          <w:tcPr>
            <w:tcW w:w="4586" w:type="dxa"/>
            <w:noWrap w:val="0"/>
            <w:vAlign w:val="center"/>
          </w:tcPr>
          <w:p w14:paraId="3872C408">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《水质六价铬的测定二苯碳酰二肼分光光度法》（GB7467-87）</w:t>
            </w:r>
          </w:p>
        </w:tc>
        <w:tc>
          <w:tcPr>
            <w:tcW w:w="876" w:type="dxa"/>
            <w:noWrap w:val="0"/>
            <w:vAlign w:val="center"/>
          </w:tcPr>
          <w:p w14:paraId="7FD8061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0.004</w:t>
            </w:r>
          </w:p>
          <w:p w14:paraId="252D0C5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492" w:type="dxa"/>
            <w:noWrap w:val="0"/>
            <w:vAlign w:val="center"/>
          </w:tcPr>
          <w:p w14:paraId="7B5E34E6">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可见分光光度计/7230G</w:t>
            </w:r>
          </w:p>
        </w:tc>
        <w:tc>
          <w:tcPr>
            <w:tcW w:w="1306" w:type="dxa"/>
            <w:noWrap w:val="0"/>
            <w:vAlign w:val="center"/>
          </w:tcPr>
          <w:p w14:paraId="783DD46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HZD-022-A</w:t>
            </w:r>
          </w:p>
        </w:tc>
      </w:tr>
      <w:tr w14:paraId="39BF3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6C5E993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w:t>
            </w:r>
          </w:p>
        </w:tc>
        <w:tc>
          <w:tcPr>
            <w:tcW w:w="1029" w:type="dxa"/>
            <w:noWrap w:val="0"/>
            <w:vAlign w:val="center"/>
          </w:tcPr>
          <w:p w14:paraId="3953573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铅</w:t>
            </w:r>
          </w:p>
        </w:tc>
        <w:tc>
          <w:tcPr>
            <w:tcW w:w="4586" w:type="dxa"/>
            <w:noWrap w:val="0"/>
            <w:vAlign w:val="center"/>
          </w:tcPr>
          <w:p w14:paraId="216A334C">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《水和废水检测分析方法（第四版）》国家环境保护总局（2002年）第三篇第四章十六、铅（五）石墨炉原子吸收法（B）</w:t>
            </w:r>
          </w:p>
        </w:tc>
        <w:tc>
          <w:tcPr>
            <w:tcW w:w="876" w:type="dxa"/>
            <w:noWrap w:val="0"/>
            <w:vAlign w:val="center"/>
          </w:tcPr>
          <w:p w14:paraId="6AE9C9D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p w14:paraId="07A88A92">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μg/L</w:t>
            </w:r>
          </w:p>
        </w:tc>
        <w:tc>
          <w:tcPr>
            <w:tcW w:w="1492" w:type="dxa"/>
            <w:noWrap w:val="0"/>
            <w:vAlign w:val="center"/>
          </w:tcPr>
          <w:p w14:paraId="1DEB9B08">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原子吸收光谱仪/ICE-3500</w:t>
            </w:r>
          </w:p>
        </w:tc>
        <w:tc>
          <w:tcPr>
            <w:tcW w:w="1306" w:type="dxa"/>
            <w:noWrap w:val="0"/>
            <w:vAlign w:val="center"/>
          </w:tcPr>
          <w:p w14:paraId="1034E244">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HZD-020-A</w:t>
            </w:r>
          </w:p>
        </w:tc>
      </w:tr>
      <w:tr w14:paraId="5E2E0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4EFB459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w:t>
            </w:r>
          </w:p>
        </w:tc>
        <w:tc>
          <w:tcPr>
            <w:tcW w:w="1029" w:type="dxa"/>
            <w:noWrap w:val="0"/>
            <w:vAlign w:val="center"/>
          </w:tcPr>
          <w:p w14:paraId="6A6D746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镉</w:t>
            </w:r>
          </w:p>
        </w:tc>
        <w:tc>
          <w:tcPr>
            <w:tcW w:w="4586" w:type="dxa"/>
            <w:noWrap w:val="0"/>
            <w:vAlign w:val="center"/>
          </w:tcPr>
          <w:p w14:paraId="46DE3B02">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《水和废水检测分析方法（第四版）》国家环境保护总局（2002年）第三篇第四章七、镉石墨炉原子吸收法测定镉、铜、铅（B）</w:t>
            </w:r>
          </w:p>
        </w:tc>
        <w:tc>
          <w:tcPr>
            <w:tcW w:w="876" w:type="dxa"/>
            <w:noWrap w:val="0"/>
            <w:vAlign w:val="center"/>
          </w:tcPr>
          <w:p w14:paraId="588D91D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w:t>
            </w:r>
          </w:p>
          <w:p w14:paraId="51AB1D5B">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μg/L</w:t>
            </w:r>
          </w:p>
        </w:tc>
        <w:tc>
          <w:tcPr>
            <w:tcW w:w="1492" w:type="dxa"/>
            <w:noWrap w:val="0"/>
            <w:vAlign w:val="center"/>
          </w:tcPr>
          <w:p w14:paraId="02D5DA62">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原子吸收光谱仪/ICE-3500</w:t>
            </w:r>
          </w:p>
        </w:tc>
        <w:tc>
          <w:tcPr>
            <w:tcW w:w="1306" w:type="dxa"/>
            <w:noWrap w:val="0"/>
            <w:vAlign w:val="center"/>
          </w:tcPr>
          <w:p w14:paraId="7518FD73">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HZD-020-A</w:t>
            </w:r>
          </w:p>
        </w:tc>
      </w:tr>
      <w:tr w14:paraId="655B9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03F32968">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1029" w:type="dxa"/>
            <w:noWrap w:val="0"/>
            <w:vAlign w:val="center"/>
          </w:tcPr>
          <w:p w14:paraId="7087302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铁</w:t>
            </w:r>
          </w:p>
        </w:tc>
        <w:tc>
          <w:tcPr>
            <w:tcW w:w="4586" w:type="dxa"/>
            <w:noWrap w:val="0"/>
            <w:vAlign w:val="center"/>
          </w:tcPr>
          <w:p w14:paraId="43F5FCC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《水质铁、锰的测定火焰原子吸收分光光度法》（GB11911-89）</w:t>
            </w:r>
          </w:p>
        </w:tc>
        <w:tc>
          <w:tcPr>
            <w:tcW w:w="876" w:type="dxa"/>
            <w:noWrap w:val="0"/>
            <w:vAlign w:val="center"/>
          </w:tcPr>
          <w:p w14:paraId="4AFC317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0.03</w:t>
            </w:r>
          </w:p>
          <w:p w14:paraId="36325D73">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492" w:type="dxa"/>
            <w:noWrap w:val="0"/>
            <w:vAlign w:val="center"/>
          </w:tcPr>
          <w:p w14:paraId="57DAC8D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原子吸收分光光度计/AA-7020</w:t>
            </w:r>
          </w:p>
        </w:tc>
        <w:tc>
          <w:tcPr>
            <w:tcW w:w="1306" w:type="dxa"/>
            <w:noWrap w:val="0"/>
            <w:vAlign w:val="center"/>
          </w:tcPr>
          <w:p w14:paraId="6CC2B28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HZD-020-B</w:t>
            </w:r>
          </w:p>
        </w:tc>
      </w:tr>
      <w:tr w14:paraId="2331A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236D91D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w:t>
            </w:r>
          </w:p>
        </w:tc>
        <w:tc>
          <w:tcPr>
            <w:tcW w:w="1029" w:type="dxa"/>
            <w:noWrap w:val="0"/>
            <w:vAlign w:val="center"/>
          </w:tcPr>
          <w:p w14:paraId="3A02CCB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锰</w:t>
            </w:r>
          </w:p>
        </w:tc>
        <w:tc>
          <w:tcPr>
            <w:tcW w:w="4586" w:type="dxa"/>
            <w:noWrap w:val="0"/>
            <w:vAlign w:val="center"/>
          </w:tcPr>
          <w:p w14:paraId="2C0196E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《水质铁、锰的测定火焰原子吸收分光光度法》（GB11911-89）</w:t>
            </w:r>
          </w:p>
        </w:tc>
        <w:tc>
          <w:tcPr>
            <w:tcW w:w="876" w:type="dxa"/>
            <w:noWrap w:val="0"/>
            <w:vAlign w:val="center"/>
          </w:tcPr>
          <w:p w14:paraId="609055AC">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0.01</w:t>
            </w:r>
          </w:p>
          <w:p w14:paraId="77E7163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492" w:type="dxa"/>
            <w:noWrap w:val="0"/>
            <w:vAlign w:val="center"/>
          </w:tcPr>
          <w:p w14:paraId="2AE6C248">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原子吸收分光光度计/AA-7020</w:t>
            </w:r>
          </w:p>
        </w:tc>
        <w:tc>
          <w:tcPr>
            <w:tcW w:w="1306" w:type="dxa"/>
            <w:noWrap w:val="0"/>
            <w:vAlign w:val="center"/>
          </w:tcPr>
          <w:p w14:paraId="3013A3B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HZD-020-B</w:t>
            </w:r>
          </w:p>
        </w:tc>
      </w:tr>
      <w:tr w14:paraId="3F317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04C018E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22</w:t>
            </w:r>
          </w:p>
        </w:tc>
        <w:tc>
          <w:tcPr>
            <w:tcW w:w="1029" w:type="dxa"/>
            <w:noWrap w:val="0"/>
            <w:vAlign w:val="center"/>
          </w:tcPr>
          <w:p w14:paraId="73F784F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总硬度</w:t>
            </w:r>
          </w:p>
        </w:tc>
        <w:tc>
          <w:tcPr>
            <w:tcW w:w="4586" w:type="dxa"/>
            <w:noWrap w:val="0"/>
            <w:vAlign w:val="center"/>
          </w:tcPr>
          <w:p w14:paraId="4633E64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《水质钙和镁总量的测定EDTA滴定法》（GB7477-1987）</w:t>
            </w:r>
          </w:p>
        </w:tc>
        <w:tc>
          <w:tcPr>
            <w:tcW w:w="876" w:type="dxa"/>
            <w:noWrap w:val="0"/>
            <w:vAlign w:val="center"/>
          </w:tcPr>
          <w:p w14:paraId="10CC20CB">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p w14:paraId="3C417A5B">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492" w:type="dxa"/>
            <w:noWrap w:val="0"/>
            <w:vAlign w:val="center"/>
          </w:tcPr>
          <w:p w14:paraId="2AC91123">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滴定管</w:t>
            </w:r>
          </w:p>
        </w:tc>
        <w:tc>
          <w:tcPr>
            <w:tcW w:w="1306" w:type="dxa"/>
            <w:noWrap w:val="0"/>
            <w:vAlign w:val="center"/>
          </w:tcPr>
          <w:p w14:paraId="403B6A16">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488B6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2775EF34">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23</w:t>
            </w:r>
          </w:p>
        </w:tc>
        <w:tc>
          <w:tcPr>
            <w:tcW w:w="1029" w:type="dxa"/>
            <w:noWrap w:val="0"/>
            <w:vAlign w:val="center"/>
          </w:tcPr>
          <w:p w14:paraId="280D483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溶解性</w:t>
            </w:r>
          </w:p>
          <w:p w14:paraId="627CBAF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总固体</w:t>
            </w:r>
          </w:p>
        </w:tc>
        <w:tc>
          <w:tcPr>
            <w:tcW w:w="4586" w:type="dxa"/>
            <w:noWrap w:val="0"/>
            <w:vAlign w:val="center"/>
          </w:tcPr>
          <w:p w14:paraId="60C9593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《生活饮用水标准检验方法感官性状和物理</w:t>
            </w:r>
            <w:r>
              <w:rPr>
                <w:rFonts w:hint="default" w:ascii="Times New Roman" w:hAnsi="Times New Roman" w:eastAsia="宋体" w:cs="Times New Roman"/>
                <w:color w:val="auto"/>
                <w:sz w:val="21"/>
                <w:szCs w:val="21"/>
                <w:highlight w:val="none"/>
                <w:lang w:eastAsia="zh-CN"/>
              </w:rPr>
              <w:t>指标</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GB/T5750.4-2006</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（8.1溶解性总固体称重法）</w:t>
            </w:r>
          </w:p>
        </w:tc>
        <w:tc>
          <w:tcPr>
            <w:tcW w:w="876" w:type="dxa"/>
            <w:noWrap w:val="0"/>
            <w:vAlign w:val="center"/>
          </w:tcPr>
          <w:p w14:paraId="23459D0C">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492" w:type="dxa"/>
            <w:noWrap w:val="0"/>
            <w:vAlign w:val="center"/>
          </w:tcPr>
          <w:p w14:paraId="1ED73624">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电子天平（万分之一）/FA2004B</w:t>
            </w:r>
          </w:p>
        </w:tc>
        <w:tc>
          <w:tcPr>
            <w:tcW w:w="1306" w:type="dxa"/>
            <w:noWrap w:val="0"/>
            <w:vAlign w:val="center"/>
          </w:tcPr>
          <w:p w14:paraId="059FFDA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HZD-011-A</w:t>
            </w:r>
          </w:p>
        </w:tc>
      </w:tr>
      <w:tr w14:paraId="502D6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04DBD5AB">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w:t>
            </w:r>
          </w:p>
        </w:tc>
        <w:tc>
          <w:tcPr>
            <w:tcW w:w="1029" w:type="dxa"/>
            <w:noWrap w:val="0"/>
            <w:vAlign w:val="center"/>
          </w:tcPr>
          <w:p w14:paraId="463FBC46">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耗氧量</w:t>
            </w:r>
          </w:p>
        </w:tc>
        <w:tc>
          <w:tcPr>
            <w:tcW w:w="4586" w:type="dxa"/>
            <w:noWrap w:val="0"/>
            <w:vAlign w:val="center"/>
          </w:tcPr>
          <w:p w14:paraId="2A29415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《生活饮用水标准检验方法有机物综合指标》</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GB/T5750.7-2006</w:t>
            </w:r>
            <w:r>
              <w:rPr>
                <w:rFonts w:hint="default" w:ascii="Times New Roman" w:hAnsi="Times New Roman" w:eastAsia="宋体" w:cs="Times New Roman"/>
                <w:color w:val="auto"/>
                <w:sz w:val="21"/>
                <w:szCs w:val="21"/>
                <w:highlight w:val="none"/>
                <w:lang w:eastAsia="zh-CN"/>
              </w:rPr>
              <w:t>）</w:t>
            </w:r>
          </w:p>
          <w:p w14:paraId="4CB397A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（1.1耗氧量酸性高锰酸钾滴定法）</w:t>
            </w:r>
          </w:p>
        </w:tc>
        <w:tc>
          <w:tcPr>
            <w:tcW w:w="876" w:type="dxa"/>
            <w:noWrap w:val="0"/>
            <w:vAlign w:val="center"/>
          </w:tcPr>
          <w:p w14:paraId="0B3211C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0.05</w:t>
            </w:r>
          </w:p>
          <w:p w14:paraId="4B6DF93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492" w:type="dxa"/>
            <w:noWrap w:val="0"/>
            <w:vAlign w:val="center"/>
          </w:tcPr>
          <w:p w14:paraId="4F9DEB96">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滴定管</w:t>
            </w:r>
          </w:p>
        </w:tc>
        <w:tc>
          <w:tcPr>
            <w:tcW w:w="1306" w:type="dxa"/>
            <w:noWrap w:val="0"/>
            <w:vAlign w:val="center"/>
          </w:tcPr>
          <w:p w14:paraId="4B8711D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77F44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644FCF6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w:t>
            </w:r>
          </w:p>
        </w:tc>
        <w:tc>
          <w:tcPr>
            <w:tcW w:w="1029" w:type="dxa"/>
            <w:noWrap w:val="0"/>
            <w:vAlign w:val="center"/>
          </w:tcPr>
          <w:p w14:paraId="3FF3210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硫酸盐</w:t>
            </w:r>
          </w:p>
        </w:tc>
        <w:tc>
          <w:tcPr>
            <w:tcW w:w="4586" w:type="dxa"/>
            <w:noWrap w:val="0"/>
            <w:vAlign w:val="center"/>
          </w:tcPr>
          <w:p w14:paraId="3D3FF28B">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《水质硫酸盐的测定铬酸钡分光光度法（试行）》（HJ/T342-2007）</w:t>
            </w:r>
          </w:p>
        </w:tc>
        <w:tc>
          <w:tcPr>
            <w:tcW w:w="876" w:type="dxa"/>
            <w:noWrap w:val="0"/>
            <w:vAlign w:val="center"/>
          </w:tcPr>
          <w:p w14:paraId="5AE48283">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p w14:paraId="333B4A7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492" w:type="dxa"/>
            <w:noWrap w:val="0"/>
            <w:vAlign w:val="center"/>
          </w:tcPr>
          <w:p w14:paraId="494835E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可见分光光度计/7230G</w:t>
            </w:r>
          </w:p>
        </w:tc>
        <w:tc>
          <w:tcPr>
            <w:tcW w:w="1306" w:type="dxa"/>
            <w:noWrap w:val="0"/>
            <w:vAlign w:val="center"/>
          </w:tcPr>
          <w:p w14:paraId="1DB0C3F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HZD-022-A</w:t>
            </w:r>
          </w:p>
        </w:tc>
      </w:tr>
      <w:tr w14:paraId="57EB7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3EC926E8">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26</w:t>
            </w:r>
          </w:p>
        </w:tc>
        <w:tc>
          <w:tcPr>
            <w:tcW w:w="1029" w:type="dxa"/>
            <w:noWrap w:val="0"/>
            <w:vAlign w:val="center"/>
          </w:tcPr>
          <w:p w14:paraId="7EDB5622">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氯化物</w:t>
            </w:r>
          </w:p>
        </w:tc>
        <w:tc>
          <w:tcPr>
            <w:tcW w:w="4586" w:type="dxa"/>
            <w:noWrap w:val="0"/>
            <w:vAlign w:val="center"/>
          </w:tcPr>
          <w:p w14:paraId="670DEB54">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《水质氯化物的测定硝酸银滴定法》</w:t>
            </w:r>
          </w:p>
          <w:p w14:paraId="1EE6BB14">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（GB11896-89）</w:t>
            </w:r>
          </w:p>
        </w:tc>
        <w:tc>
          <w:tcPr>
            <w:tcW w:w="876" w:type="dxa"/>
            <w:noWrap w:val="0"/>
            <w:vAlign w:val="center"/>
          </w:tcPr>
          <w:p w14:paraId="4BC7A73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p w14:paraId="04A33B42">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492" w:type="dxa"/>
            <w:noWrap w:val="0"/>
            <w:vAlign w:val="center"/>
          </w:tcPr>
          <w:p w14:paraId="605610C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滴定管</w:t>
            </w:r>
          </w:p>
        </w:tc>
        <w:tc>
          <w:tcPr>
            <w:tcW w:w="1306" w:type="dxa"/>
            <w:noWrap w:val="0"/>
            <w:vAlign w:val="center"/>
          </w:tcPr>
          <w:p w14:paraId="09C00334">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44B2F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539517F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27</w:t>
            </w:r>
          </w:p>
        </w:tc>
        <w:tc>
          <w:tcPr>
            <w:tcW w:w="1029" w:type="dxa"/>
            <w:noWrap w:val="0"/>
            <w:vAlign w:val="center"/>
          </w:tcPr>
          <w:p w14:paraId="022EA884">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总大肠</w:t>
            </w:r>
          </w:p>
          <w:p w14:paraId="3A64BF5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菌群</w:t>
            </w:r>
          </w:p>
        </w:tc>
        <w:tc>
          <w:tcPr>
            <w:tcW w:w="4586" w:type="dxa"/>
            <w:noWrap w:val="0"/>
            <w:vAlign w:val="center"/>
          </w:tcPr>
          <w:p w14:paraId="4A4517C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《水质总大肠菌群、粪大肠菌群和大肠埃希氏菌的测定酶底物法》（HJ1001-2018）</w:t>
            </w:r>
          </w:p>
        </w:tc>
        <w:tc>
          <w:tcPr>
            <w:tcW w:w="876" w:type="dxa"/>
            <w:noWrap w:val="0"/>
            <w:vAlign w:val="center"/>
          </w:tcPr>
          <w:p w14:paraId="3B05021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p w14:paraId="4EBAFA6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MPN/L</w:t>
            </w:r>
          </w:p>
        </w:tc>
        <w:tc>
          <w:tcPr>
            <w:tcW w:w="1492" w:type="dxa"/>
            <w:noWrap w:val="0"/>
            <w:vAlign w:val="center"/>
          </w:tcPr>
          <w:p w14:paraId="57A97BA6">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干燥/培养两用箱/PH-070A型</w:t>
            </w:r>
          </w:p>
        </w:tc>
        <w:tc>
          <w:tcPr>
            <w:tcW w:w="1306" w:type="dxa"/>
            <w:noWrap w:val="0"/>
            <w:vAlign w:val="center"/>
          </w:tcPr>
          <w:p w14:paraId="1677764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HZD-00</w:t>
            </w:r>
            <w:r>
              <w:rPr>
                <w:rFonts w:hint="default"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-B</w:t>
            </w:r>
          </w:p>
        </w:tc>
      </w:tr>
      <w:tr w14:paraId="42AC2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71595E8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28</w:t>
            </w:r>
          </w:p>
        </w:tc>
        <w:tc>
          <w:tcPr>
            <w:tcW w:w="1029" w:type="dxa"/>
            <w:noWrap w:val="0"/>
            <w:vAlign w:val="center"/>
          </w:tcPr>
          <w:p w14:paraId="036C175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细菌总数</w:t>
            </w:r>
          </w:p>
        </w:tc>
        <w:tc>
          <w:tcPr>
            <w:tcW w:w="4586" w:type="dxa"/>
            <w:noWrap w:val="0"/>
            <w:vAlign w:val="center"/>
          </w:tcPr>
          <w:p w14:paraId="13FAAF3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《水质细菌总数的测定平皿计数法》</w:t>
            </w:r>
          </w:p>
          <w:p w14:paraId="5F2F56B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（HJ1000-2018）</w:t>
            </w:r>
          </w:p>
        </w:tc>
        <w:tc>
          <w:tcPr>
            <w:tcW w:w="876" w:type="dxa"/>
            <w:noWrap w:val="0"/>
            <w:vAlign w:val="center"/>
          </w:tcPr>
          <w:p w14:paraId="77BE3D9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492" w:type="dxa"/>
            <w:noWrap w:val="0"/>
            <w:vAlign w:val="center"/>
          </w:tcPr>
          <w:p w14:paraId="3403C79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干燥/培养两用箱/PH-070A型</w:t>
            </w:r>
          </w:p>
        </w:tc>
        <w:tc>
          <w:tcPr>
            <w:tcW w:w="1306" w:type="dxa"/>
            <w:noWrap w:val="0"/>
            <w:vAlign w:val="center"/>
          </w:tcPr>
          <w:p w14:paraId="148DFC98">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HZD-006-A</w:t>
            </w:r>
          </w:p>
        </w:tc>
      </w:tr>
      <w:tr w14:paraId="55719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135FE9A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29</w:t>
            </w:r>
          </w:p>
        </w:tc>
        <w:tc>
          <w:tcPr>
            <w:tcW w:w="1029" w:type="dxa"/>
            <w:noWrap w:val="0"/>
            <w:vAlign w:val="center"/>
          </w:tcPr>
          <w:p w14:paraId="65E021D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色度</w:t>
            </w:r>
          </w:p>
        </w:tc>
        <w:tc>
          <w:tcPr>
            <w:tcW w:w="4586" w:type="dxa"/>
            <w:noWrap w:val="0"/>
            <w:vAlign w:val="center"/>
          </w:tcPr>
          <w:p w14:paraId="1A49A709">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《水质色度的测定（铂钴比色法）》</w:t>
            </w:r>
          </w:p>
          <w:p w14:paraId="02C22C0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（GB/T11903-89）</w:t>
            </w:r>
          </w:p>
        </w:tc>
        <w:tc>
          <w:tcPr>
            <w:tcW w:w="876" w:type="dxa"/>
            <w:noWrap w:val="0"/>
            <w:vAlign w:val="center"/>
          </w:tcPr>
          <w:p w14:paraId="05BF0B79">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492" w:type="dxa"/>
            <w:noWrap w:val="0"/>
            <w:vAlign w:val="center"/>
          </w:tcPr>
          <w:p w14:paraId="316563F9">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比色管</w:t>
            </w:r>
          </w:p>
        </w:tc>
        <w:tc>
          <w:tcPr>
            <w:tcW w:w="1306" w:type="dxa"/>
            <w:noWrap w:val="0"/>
            <w:vAlign w:val="center"/>
          </w:tcPr>
          <w:p w14:paraId="4D0B2A4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12229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3ACB27E3">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w:t>
            </w:r>
          </w:p>
        </w:tc>
        <w:tc>
          <w:tcPr>
            <w:tcW w:w="1029" w:type="dxa"/>
            <w:noWrap w:val="0"/>
            <w:vAlign w:val="center"/>
          </w:tcPr>
          <w:p w14:paraId="5FDC4ED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臭</w:t>
            </w:r>
          </w:p>
        </w:tc>
        <w:tc>
          <w:tcPr>
            <w:tcW w:w="4586" w:type="dxa"/>
            <w:noWrap w:val="0"/>
            <w:vAlign w:val="center"/>
          </w:tcPr>
          <w:p w14:paraId="5EDD393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《水和废水监测分析方法》（第四版）国家环境保护总局（2002年）第三篇第一章三、臭（一）文字描述法（B）</w:t>
            </w:r>
          </w:p>
        </w:tc>
        <w:tc>
          <w:tcPr>
            <w:tcW w:w="876" w:type="dxa"/>
            <w:noWrap w:val="0"/>
            <w:vAlign w:val="center"/>
          </w:tcPr>
          <w:p w14:paraId="15F092D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492" w:type="dxa"/>
            <w:noWrap w:val="0"/>
            <w:vAlign w:val="center"/>
          </w:tcPr>
          <w:p w14:paraId="54760DCE">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306" w:type="dxa"/>
            <w:noWrap w:val="0"/>
            <w:vAlign w:val="center"/>
          </w:tcPr>
          <w:p w14:paraId="763782C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23731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17E484B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31</w:t>
            </w:r>
          </w:p>
        </w:tc>
        <w:tc>
          <w:tcPr>
            <w:tcW w:w="1029" w:type="dxa"/>
            <w:noWrap w:val="0"/>
            <w:vAlign w:val="center"/>
          </w:tcPr>
          <w:p w14:paraId="648EA0E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浊度</w:t>
            </w:r>
          </w:p>
        </w:tc>
        <w:tc>
          <w:tcPr>
            <w:tcW w:w="4586" w:type="dxa"/>
            <w:noWrap w:val="0"/>
            <w:vAlign w:val="center"/>
          </w:tcPr>
          <w:p w14:paraId="3DC728A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《水质浊度的测定（目视比浊法）》</w:t>
            </w:r>
          </w:p>
          <w:p w14:paraId="31CDFED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（GB13200-91）</w:t>
            </w:r>
          </w:p>
        </w:tc>
        <w:tc>
          <w:tcPr>
            <w:tcW w:w="876" w:type="dxa"/>
            <w:noWrap w:val="0"/>
            <w:vAlign w:val="center"/>
          </w:tcPr>
          <w:p w14:paraId="17BD973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1度</w:t>
            </w:r>
          </w:p>
        </w:tc>
        <w:tc>
          <w:tcPr>
            <w:tcW w:w="1492" w:type="dxa"/>
            <w:noWrap w:val="0"/>
            <w:vAlign w:val="center"/>
          </w:tcPr>
          <w:p w14:paraId="789A6F6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306" w:type="dxa"/>
            <w:noWrap w:val="0"/>
            <w:vAlign w:val="center"/>
          </w:tcPr>
          <w:p w14:paraId="757E8C3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6C6D9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7CA6222B">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32</w:t>
            </w:r>
          </w:p>
        </w:tc>
        <w:tc>
          <w:tcPr>
            <w:tcW w:w="1029" w:type="dxa"/>
            <w:noWrap w:val="0"/>
            <w:vAlign w:val="center"/>
          </w:tcPr>
          <w:p w14:paraId="7FE1A0F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肉眼可见物</w:t>
            </w:r>
          </w:p>
        </w:tc>
        <w:tc>
          <w:tcPr>
            <w:tcW w:w="4586" w:type="dxa"/>
            <w:noWrap w:val="0"/>
            <w:vAlign w:val="center"/>
          </w:tcPr>
          <w:p w14:paraId="2065D67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《生活饮用水标准检验方法感官性状和物理指标》（GB/T5750.4-2006）（4.1直接观察法）</w:t>
            </w:r>
          </w:p>
        </w:tc>
        <w:tc>
          <w:tcPr>
            <w:tcW w:w="876" w:type="dxa"/>
            <w:noWrap w:val="0"/>
            <w:vAlign w:val="center"/>
          </w:tcPr>
          <w:p w14:paraId="619B625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492" w:type="dxa"/>
            <w:noWrap w:val="0"/>
            <w:vAlign w:val="center"/>
          </w:tcPr>
          <w:p w14:paraId="6EB636EE">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306" w:type="dxa"/>
            <w:noWrap w:val="0"/>
            <w:vAlign w:val="center"/>
          </w:tcPr>
          <w:p w14:paraId="7EE9894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2466E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48FFAE1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33</w:t>
            </w:r>
          </w:p>
        </w:tc>
        <w:tc>
          <w:tcPr>
            <w:tcW w:w="1029" w:type="dxa"/>
            <w:noWrap w:val="0"/>
            <w:vAlign w:val="center"/>
          </w:tcPr>
          <w:p w14:paraId="258B801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铜</w:t>
            </w:r>
          </w:p>
        </w:tc>
        <w:tc>
          <w:tcPr>
            <w:tcW w:w="4586" w:type="dxa"/>
            <w:noWrap w:val="0"/>
            <w:vAlign w:val="center"/>
          </w:tcPr>
          <w:p w14:paraId="1BBBF8C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《水质铜、锌、铅、镉的测定原子吸收分光光度法》（GB7475-87）</w:t>
            </w:r>
          </w:p>
        </w:tc>
        <w:tc>
          <w:tcPr>
            <w:tcW w:w="876" w:type="dxa"/>
            <w:noWrap w:val="0"/>
            <w:vAlign w:val="center"/>
          </w:tcPr>
          <w:p w14:paraId="5A9E60B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0.05</w:t>
            </w:r>
          </w:p>
          <w:p w14:paraId="5BC8FE1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c>
          <w:tcPr>
            <w:tcW w:w="1492" w:type="dxa"/>
            <w:noWrap w:val="0"/>
            <w:vAlign w:val="center"/>
          </w:tcPr>
          <w:p w14:paraId="0539E23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原子吸收分光光度计/AA-7020</w:t>
            </w:r>
          </w:p>
        </w:tc>
        <w:tc>
          <w:tcPr>
            <w:tcW w:w="1306" w:type="dxa"/>
            <w:noWrap w:val="0"/>
            <w:vAlign w:val="center"/>
          </w:tcPr>
          <w:p w14:paraId="778E3E0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HZD-020-B</w:t>
            </w:r>
          </w:p>
        </w:tc>
      </w:tr>
      <w:tr w14:paraId="26D4C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0F8F185C">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34</w:t>
            </w:r>
          </w:p>
        </w:tc>
        <w:tc>
          <w:tcPr>
            <w:tcW w:w="1029" w:type="dxa"/>
            <w:noWrap w:val="0"/>
            <w:vAlign w:val="center"/>
          </w:tcPr>
          <w:p w14:paraId="3C8FE31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锌</w:t>
            </w:r>
          </w:p>
        </w:tc>
        <w:tc>
          <w:tcPr>
            <w:tcW w:w="4586" w:type="dxa"/>
            <w:noWrap w:val="0"/>
            <w:vAlign w:val="center"/>
          </w:tcPr>
          <w:p w14:paraId="370F05D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《水质铜、锌、铅、镉的测定原子吸收分光光度法》（GB7475-87）</w:t>
            </w:r>
          </w:p>
        </w:tc>
        <w:tc>
          <w:tcPr>
            <w:tcW w:w="876" w:type="dxa"/>
            <w:noWrap w:val="0"/>
            <w:vAlign w:val="center"/>
          </w:tcPr>
          <w:p w14:paraId="5C9FF5E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0.05</w:t>
            </w:r>
          </w:p>
          <w:p w14:paraId="36A9FF2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c>
          <w:tcPr>
            <w:tcW w:w="1492" w:type="dxa"/>
            <w:noWrap w:val="0"/>
            <w:vAlign w:val="center"/>
          </w:tcPr>
          <w:p w14:paraId="51EA74A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原子吸收分光光度计/AA-7020</w:t>
            </w:r>
          </w:p>
        </w:tc>
        <w:tc>
          <w:tcPr>
            <w:tcW w:w="1306" w:type="dxa"/>
            <w:noWrap w:val="0"/>
            <w:vAlign w:val="center"/>
          </w:tcPr>
          <w:p w14:paraId="58A59D6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HZD-020-B</w:t>
            </w:r>
          </w:p>
        </w:tc>
      </w:tr>
      <w:tr w14:paraId="60F17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0450E13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w:t>
            </w:r>
          </w:p>
        </w:tc>
        <w:tc>
          <w:tcPr>
            <w:tcW w:w="1029" w:type="dxa"/>
            <w:noWrap w:val="0"/>
            <w:vAlign w:val="center"/>
          </w:tcPr>
          <w:p w14:paraId="1C7699F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铝</w:t>
            </w:r>
          </w:p>
        </w:tc>
        <w:tc>
          <w:tcPr>
            <w:tcW w:w="4586" w:type="dxa"/>
            <w:noWrap w:val="0"/>
            <w:vAlign w:val="center"/>
          </w:tcPr>
          <w:p w14:paraId="06C75C3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《水和废水监测分析方法（第四版）》国家环境保护总局（2002年）第三篇第四章二、铝（二）间接火焰原子吸收法（B）</w:t>
            </w:r>
          </w:p>
        </w:tc>
        <w:tc>
          <w:tcPr>
            <w:tcW w:w="876" w:type="dxa"/>
            <w:noWrap w:val="0"/>
            <w:vAlign w:val="center"/>
          </w:tcPr>
          <w:p w14:paraId="38202FE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0.1</w:t>
            </w:r>
          </w:p>
          <w:p w14:paraId="1B62C5B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c>
          <w:tcPr>
            <w:tcW w:w="1492" w:type="dxa"/>
            <w:noWrap w:val="0"/>
            <w:vAlign w:val="center"/>
          </w:tcPr>
          <w:p w14:paraId="244212C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原子吸收分光光度计/AA-7020</w:t>
            </w:r>
          </w:p>
        </w:tc>
        <w:tc>
          <w:tcPr>
            <w:tcW w:w="1306" w:type="dxa"/>
            <w:noWrap w:val="0"/>
            <w:vAlign w:val="center"/>
          </w:tcPr>
          <w:p w14:paraId="7AF0D5E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HZD-020-B</w:t>
            </w:r>
          </w:p>
        </w:tc>
      </w:tr>
      <w:tr w14:paraId="7E89F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0108534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36</w:t>
            </w:r>
          </w:p>
        </w:tc>
        <w:tc>
          <w:tcPr>
            <w:tcW w:w="1029" w:type="dxa"/>
            <w:noWrap w:val="0"/>
            <w:vAlign w:val="center"/>
          </w:tcPr>
          <w:p w14:paraId="5A2086A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硫化物</w:t>
            </w:r>
          </w:p>
        </w:tc>
        <w:tc>
          <w:tcPr>
            <w:tcW w:w="4586" w:type="dxa"/>
            <w:noWrap w:val="0"/>
            <w:vAlign w:val="center"/>
          </w:tcPr>
          <w:p w14:paraId="16A2D43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《水质硫化物的测定亚甲基蓝分光光度法》（HJ1226-2021）</w:t>
            </w:r>
          </w:p>
        </w:tc>
        <w:tc>
          <w:tcPr>
            <w:tcW w:w="876" w:type="dxa"/>
            <w:noWrap w:val="0"/>
            <w:vAlign w:val="center"/>
          </w:tcPr>
          <w:p w14:paraId="7AF12F5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0.003</w:t>
            </w:r>
          </w:p>
          <w:p w14:paraId="7E928DCE">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c>
          <w:tcPr>
            <w:tcW w:w="1492" w:type="dxa"/>
            <w:noWrap w:val="0"/>
            <w:vAlign w:val="center"/>
          </w:tcPr>
          <w:p w14:paraId="5200FAD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可见分光光度计/7230G</w:t>
            </w:r>
          </w:p>
        </w:tc>
        <w:tc>
          <w:tcPr>
            <w:tcW w:w="1306" w:type="dxa"/>
            <w:noWrap w:val="0"/>
            <w:vAlign w:val="center"/>
          </w:tcPr>
          <w:p w14:paraId="1AC41DA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HZD-022-A</w:t>
            </w:r>
          </w:p>
        </w:tc>
      </w:tr>
      <w:tr w14:paraId="54AE5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71903FA3">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37</w:t>
            </w:r>
          </w:p>
        </w:tc>
        <w:tc>
          <w:tcPr>
            <w:tcW w:w="1029" w:type="dxa"/>
            <w:noWrap w:val="0"/>
            <w:vAlign w:val="center"/>
          </w:tcPr>
          <w:p w14:paraId="2323EEC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阴离子表面活性剂</w:t>
            </w:r>
          </w:p>
        </w:tc>
        <w:tc>
          <w:tcPr>
            <w:tcW w:w="4586" w:type="dxa"/>
            <w:noWrap w:val="0"/>
            <w:vAlign w:val="center"/>
          </w:tcPr>
          <w:p w14:paraId="7581D92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《水质阴离子表面活性剂的测定亚甲蓝分光光度法》（GB7494-87）</w:t>
            </w:r>
          </w:p>
        </w:tc>
        <w:tc>
          <w:tcPr>
            <w:tcW w:w="876" w:type="dxa"/>
            <w:noWrap w:val="0"/>
            <w:vAlign w:val="center"/>
          </w:tcPr>
          <w:p w14:paraId="46732089">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0.05</w:t>
            </w:r>
          </w:p>
          <w:p w14:paraId="51CB97C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c>
          <w:tcPr>
            <w:tcW w:w="1492" w:type="dxa"/>
            <w:noWrap w:val="0"/>
            <w:vAlign w:val="center"/>
          </w:tcPr>
          <w:p w14:paraId="5FB0BF1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可见光分光度计/7230G</w:t>
            </w:r>
          </w:p>
        </w:tc>
        <w:tc>
          <w:tcPr>
            <w:tcW w:w="1306" w:type="dxa"/>
            <w:noWrap w:val="0"/>
            <w:vAlign w:val="center"/>
          </w:tcPr>
          <w:p w14:paraId="18A816D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HZD-022-A</w:t>
            </w:r>
          </w:p>
        </w:tc>
      </w:tr>
      <w:tr w14:paraId="3DFD5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798F0F7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38</w:t>
            </w:r>
          </w:p>
        </w:tc>
        <w:tc>
          <w:tcPr>
            <w:tcW w:w="1029" w:type="dxa"/>
            <w:noWrap w:val="0"/>
            <w:vAlign w:val="center"/>
          </w:tcPr>
          <w:p w14:paraId="3623EB6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碘化物</w:t>
            </w:r>
          </w:p>
        </w:tc>
        <w:tc>
          <w:tcPr>
            <w:tcW w:w="4586" w:type="dxa"/>
            <w:noWrap w:val="0"/>
            <w:vAlign w:val="center"/>
          </w:tcPr>
          <w:p w14:paraId="6937662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《水质碘化物的测定离子色谱法》</w:t>
            </w:r>
          </w:p>
          <w:p w14:paraId="77803D1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（HJ778-2015）</w:t>
            </w:r>
          </w:p>
        </w:tc>
        <w:tc>
          <w:tcPr>
            <w:tcW w:w="876" w:type="dxa"/>
            <w:noWrap w:val="0"/>
            <w:vAlign w:val="center"/>
          </w:tcPr>
          <w:p w14:paraId="42C2FB7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0.002</w:t>
            </w:r>
          </w:p>
          <w:p w14:paraId="4F9B7727">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c>
          <w:tcPr>
            <w:tcW w:w="1492" w:type="dxa"/>
            <w:noWrap w:val="0"/>
            <w:vAlign w:val="center"/>
          </w:tcPr>
          <w:p w14:paraId="4DDC977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离子色谱仪/ICS-600</w:t>
            </w:r>
          </w:p>
        </w:tc>
        <w:tc>
          <w:tcPr>
            <w:tcW w:w="1306" w:type="dxa"/>
            <w:noWrap w:val="0"/>
            <w:vAlign w:val="center"/>
          </w:tcPr>
          <w:p w14:paraId="6F6C0BA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HZD-001-A</w:t>
            </w:r>
          </w:p>
        </w:tc>
      </w:tr>
      <w:tr w14:paraId="5F8BE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7959249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39</w:t>
            </w:r>
          </w:p>
        </w:tc>
        <w:tc>
          <w:tcPr>
            <w:tcW w:w="1029" w:type="dxa"/>
            <w:noWrap w:val="0"/>
            <w:vAlign w:val="center"/>
          </w:tcPr>
          <w:p w14:paraId="64A7EDDE">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硒</w:t>
            </w:r>
          </w:p>
        </w:tc>
        <w:tc>
          <w:tcPr>
            <w:tcW w:w="4586" w:type="dxa"/>
            <w:noWrap w:val="0"/>
            <w:vAlign w:val="center"/>
          </w:tcPr>
          <w:p w14:paraId="011277D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《水质汞、砷、硒、铋和锑的测定原子荧光法》（HJ694-2014）</w:t>
            </w:r>
          </w:p>
        </w:tc>
        <w:tc>
          <w:tcPr>
            <w:tcW w:w="876" w:type="dxa"/>
            <w:noWrap w:val="0"/>
            <w:vAlign w:val="center"/>
          </w:tcPr>
          <w:p w14:paraId="76A67D7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w:t>
            </w:r>
          </w:p>
          <w:p w14:paraId="106AC28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μg/L</w:t>
            </w:r>
          </w:p>
        </w:tc>
        <w:tc>
          <w:tcPr>
            <w:tcW w:w="1492" w:type="dxa"/>
            <w:noWrap w:val="0"/>
            <w:vAlign w:val="center"/>
          </w:tcPr>
          <w:p w14:paraId="5F704AA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原子荧光光度计/AFS-8220</w:t>
            </w:r>
          </w:p>
        </w:tc>
        <w:tc>
          <w:tcPr>
            <w:tcW w:w="1306" w:type="dxa"/>
            <w:noWrap w:val="0"/>
            <w:vAlign w:val="center"/>
          </w:tcPr>
          <w:p w14:paraId="47794BD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HZD-003-A</w:t>
            </w:r>
          </w:p>
        </w:tc>
      </w:tr>
      <w:tr w14:paraId="0C816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74D7E24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w:t>
            </w:r>
          </w:p>
        </w:tc>
        <w:tc>
          <w:tcPr>
            <w:tcW w:w="1029" w:type="dxa"/>
            <w:noWrap w:val="0"/>
            <w:vAlign w:val="center"/>
          </w:tcPr>
          <w:p w14:paraId="7C679EB9">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钠</w:t>
            </w:r>
          </w:p>
        </w:tc>
        <w:tc>
          <w:tcPr>
            <w:tcW w:w="4586" w:type="dxa"/>
            <w:noWrap w:val="0"/>
            <w:vAlign w:val="center"/>
          </w:tcPr>
          <w:p w14:paraId="7F9D0A10">
            <w:pPr>
              <w:keepNext w:val="0"/>
              <w:keepLines w:val="0"/>
              <w:pageBreakBefore w:val="0"/>
              <w:widowControl/>
              <w:suppressLineNumbers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《水质钾和钠的测定火焰原子吸收分光光度法》（GB/T11904-1989）</w:t>
            </w:r>
          </w:p>
        </w:tc>
        <w:tc>
          <w:tcPr>
            <w:tcW w:w="876" w:type="dxa"/>
            <w:noWrap w:val="0"/>
            <w:vAlign w:val="center"/>
          </w:tcPr>
          <w:p w14:paraId="0969149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0.01</w:t>
            </w:r>
          </w:p>
          <w:p w14:paraId="64A7410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c>
          <w:tcPr>
            <w:tcW w:w="1492" w:type="dxa"/>
            <w:noWrap w:val="0"/>
            <w:vAlign w:val="center"/>
          </w:tcPr>
          <w:p w14:paraId="53E75B04">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原子吸收分光光度计/AA-7020</w:t>
            </w:r>
          </w:p>
        </w:tc>
        <w:tc>
          <w:tcPr>
            <w:tcW w:w="1306" w:type="dxa"/>
            <w:noWrap w:val="0"/>
            <w:vAlign w:val="center"/>
          </w:tcPr>
          <w:p w14:paraId="6DDA3DD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HZD-020-B</w:t>
            </w:r>
          </w:p>
        </w:tc>
      </w:tr>
      <w:tr w14:paraId="70562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10" w:type="dxa"/>
            <w:noWrap w:val="0"/>
            <w:vAlign w:val="center"/>
          </w:tcPr>
          <w:p w14:paraId="602EF46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41</w:t>
            </w:r>
          </w:p>
        </w:tc>
        <w:tc>
          <w:tcPr>
            <w:tcW w:w="1029" w:type="dxa"/>
            <w:noWrap w:val="0"/>
            <w:vAlign w:val="center"/>
          </w:tcPr>
          <w:p w14:paraId="12C9673E">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氟化物</w:t>
            </w:r>
          </w:p>
        </w:tc>
        <w:tc>
          <w:tcPr>
            <w:tcW w:w="4586" w:type="dxa"/>
            <w:noWrap w:val="0"/>
            <w:vAlign w:val="center"/>
          </w:tcPr>
          <w:p w14:paraId="065D927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《水质氟化物的测定离子选择电极法》</w:t>
            </w:r>
          </w:p>
          <w:p w14:paraId="740180C7">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（GB7484-87）</w:t>
            </w:r>
          </w:p>
        </w:tc>
        <w:tc>
          <w:tcPr>
            <w:tcW w:w="876" w:type="dxa"/>
            <w:noWrap w:val="0"/>
            <w:vAlign w:val="center"/>
          </w:tcPr>
          <w:p w14:paraId="21CDBC7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0.05</w:t>
            </w:r>
          </w:p>
          <w:p w14:paraId="4A5CF9E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c>
          <w:tcPr>
            <w:tcW w:w="1492" w:type="dxa"/>
            <w:noWrap w:val="0"/>
            <w:vAlign w:val="center"/>
          </w:tcPr>
          <w:p w14:paraId="67EC0B3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pH计/PHSJ-4F</w:t>
            </w:r>
          </w:p>
        </w:tc>
        <w:tc>
          <w:tcPr>
            <w:tcW w:w="1306" w:type="dxa"/>
            <w:noWrap w:val="0"/>
            <w:vAlign w:val="center"/>
          </w:tcPr>
          <w:p w14:paraId="1763F4D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HZD-009-A</w:t>
            </w:r>
          </w:p>
        </w:tc>
      </w:tr>
    </w:tbl>
    <w:p w14:paraId="6561BCD0">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kern w:val="0"/>
          <w:highlight w:val="none"/>
          <w:lang w:val="zh-CN"/>
        </w:rPr>
      </w:pPr>
      <w:r>
        <w:rPr>
          <w:rFonts w:hint="default" w:ascii="Times New Roman" w:hAnsi="Times New Roman" w:eastAsia="宋体" w:cs="Times New Roman"/>
          <w:color w:val="auto"/>
          <w:kern w:val="0"/>
          <w:highlight w:val="none"/>
          <w:lang w:val="en-US" w:eastAsia="zh-CN"/>
        </w:rPr>
        <w:t>4</w:t>
      </w:r>
      <w:r>
        <w:rPr>
          <w:rFonts w:hint="default" w:ascii="Times New Roman" w:hAnsi="Times New Roman" w:eastAsia="宋体" w:cs="Times New Roman"/>
          <w:color w:val="auto"/>
          <w:kern w:val="0"/>
          <w:highlight w:val="none"/>
          <w:lang w:val="zh-CN"/>
        </w:rPr>
        <w:t>、监测结果</w:t>
      </w:r>
    </w:p>
    <w:p w14:paraId="08CB7DF6">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kern w:val="0"/>
          <w:highlight w:val="none"/>
          <w:lang w:val="zh-CN"/>
        </w:rPr>
      </w:pPr>
      <w:r>
        <w:rPr>
          <w:rFonts w:hint="default" w:ascii="Times New Roman" w:hAnsi="Times New Roman" w:eastAsia="宋体" w:cs="Times New Roman"/>
          <w:color w:val="auto"/>
          <w:kern w:val="0"/>
          <w:highlight w:val="none"/>
          <w:lang w:val="zh-CN"/>
        </w:rPr>
        <w:t>地下水水位监测结果见表4.2-8，地下水水质监测结果见表4.2-9、表4.2-</w:t>
      </w:r>
      <w:r>
        <w:rPr>
          <w:rFonts w:hint="default" w:ascii="Times New Roman" w:hAnsi="Times New Roman" w:eastAsia="宋体" w:cs="Times New Roman"/>
          <w:color w:val="auto"/>
          <w:kern w:val="0"/>
          <w:highlight w:val="none"/>
          <w:lang w:val="en-US" w:eastAsia="zh-CN"/>
        </w:rPr>
        <w:t>10</w:t>
      </w:r>
      <w:r>
        <w:rPr>
          <w:rFonts w:hint="default" w:ascii="Times New Roman" w:hAnsi="Times New Roman" w:eastAsia="宋体" w:cs="Times New Roman"/>
          <w:color w:val="auto"/>
          <w:kern w:val="0"/>
          <w:highlight w:val="none"/>
          <w:lang w:val="zh-CN"/>
        </w:rPr>
        <w:t>。</w:t>
      </w:r>
    </w:p>
    <w:p w14:paraId="78CBF1B4">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2"/>
        <w:jc w:val="center"/>
        <w:textAlignment w:val="auto"/>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表4.2-8各地下水环境现状监测点井深水位一览表</w:t>
      </w:r>
    </w:p>
    <w:tbl>
      <w:tblPr>
        <w:tblStyle w:val="40"/>
        <w:tblW w:w="8277"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0" w:type="dxa"/>
          <w:bottom w:w="0" w:type="dxa"/>
          <w:right w:w="0" w:type="dxa"/>
        </w:tblCellMar>
      </w:tblPr>
      <w:tblGrid>
        <w:gridCol w:w="1484"/>
        <w:gridCol w:w="3088"/>
        <w:gridCol w:w="741"/>
        <w:gridCol w:w="741"/>
        <w:gridCol w:w="741"/>
        <w:gridCol w:w="741"/>
        <w:gridCol w:w="741"/>
      </w:tblGrid>
      <w:tr w14:paraId="112ACB6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363" w:type="dxa"/>
            <w:tcBorders>
              <w:top w:val="single" w:color="auto" w:sz="4" w:space="0"/>
              <w:left w:val="single" w:color="auto" w:sz="4" w:space="0"/>
              <w:bottom w:val="single" w:color="auto" w:sz="4" w:space="0"/>
              <w:right w:val="single" w:color="auto" w:sz="4" w:space="0"/>
            </w:tcBorders>
            <w:noWrap w:val="0"/>
            <w:vAlign w:val="center"/>
          </w:tcPr>
          <w:p w14:paraId="565E0992">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b/>
                <w:bCs/>
                <w:color w:val="FF0000"/>
                <w:sz w:val="21"/>
                <w:szCs w:val="21"/>
                <w:highlight w:val="none"/>
              </w:rPr>
              <w:t>点位</w:t>
            </w:r>
          </w:p>
        </w:tc>
        <w:tc>
          <w:tcPr>
            <w:tcW w:w="2835" w:type="dxa"/>
            <w:tcBorders>
              <w:top w:val="single" w:color="auto" w:sz="4" w:space="0"/>
              <w:left w:val="single" w:color="auto" w:sz="4" w:space="0"/>
              <w:bottom w:val="single" w:color="auto" w:sz="4" w:space="0"/>
              <w:right w:val="single" w:color="auto" w:sz="4" w:space="0"/>
            </w:tcBorders>
            <w:noWrap w:val="0"/>
            <w:vAlign w:val="center"/>
          </w:tcPr>
          <w:p w14:paraId="01C32636">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FF0000"/>
                <w:sz w:val="21"/>
                <w:szCs w:val="21"/>
                <w:highlight w:val="none"/>
                <w:lang w:val="en-US" w:eastAsia="zh-CN"/>
              </w:rPr>
            </w:pPr>
            <w:r>
              <w:rPr>
                <w:rFonts w:hint="default" w:ascii="Times New Roman" w:hAnsi="Times New Roman" w:eastAsia="宋体" w:cs="Times New Roman"/>
                <w:b/>
                <w:bCs/>
                <w:color w:val="FF0000"/>
                <w:sz w:val="21"/>
                <w:szCs w:val="21"/>
                <w:highlight w:val="none"/>
                <w:lang w:eastAsia="zh-CN"/>
              </w:rPr>
              <w:t>坐标</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6BCBB9C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FF0000"/>
                <w:sz w:val="21"/>
                <w:szCs w:val="21"/>
                <w:highlight w:val="none"/>
                <w:lang w:val="en-US" w:eastAsia="zh-CN"/>
              </w:rPr>
            </w:pPr>
            <w:r>
              <w:rPr>
                <w:rFonts w:hint="default" w:ascii="Times New Roman" w:hAnsi="Times New Roman" w:eastAsia="宋体" w:cs="Times New Roman"/>
                <w:b/>
                <w:bCs/>
                <w:color w:val="FF0000"/>
                <w:sz w:val="21"/>
                <w:szCs w:val="21"/>
                <w:highlight w:val="none"/>
                <w:lang w:val="en-US" w:eastAsia="zh-CN"/>
              </w:rPr>
              <w:t>井深（m）</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59D9AADB">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FF0000"/>
                <w:sz w:val="21"/>
                <w:szCs w:val="21"/>
                <w:highlight w:val="none"/>
                <w:lang w:val="en-US" w:eastAsia="zh-CN"/>
              </w:rPr>
            </w:pPr>
            <w:r>
              <w:rPr>
                <w:rFonts w:hint="default" w:ascii="Times New Roman" w:hAnsi="Times New Roman" w:eastAsia="宋体" w:cs="Times New Roman"/>
                <w:b/>
                <w:bCs/>
                <w:color w:val="FF0000"/>
                <w:sz w:val="21"/>
                <w:szCs w:val="21"/>
                <w:highlight w:val="none"/>
                <w:lang w:val="en-US" w:eastAsia="zh-CN"/>
              </w:rPr>
              <w:t>水深（m）</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1F905795">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FF0000"/>
                <w:sz w:val="21"/>
                <w:szCs w:val="21"/>
                <w:highlight w:val="none"/>
                <w:lang w:val="en-US" w:eastAsia="zh-CN"/>
              </w:rPr>
            </w:pPr>
            <w:r>
              <w:rPr>
                <w:rFonts w:hint="default" w:ascii="Times New Roman" w:hAnsi="Times New Roman" w:eastAsia="宋体" w:cs="Times New Roman"/>
                <w:b/>
                <w:bCs/>
                <w:color w:val="FF0000"/>
                <w:sz w:val="21"/>
                <w:szCs w:val="21"/>
                <w:highlight w:val="none"/>
                <w:lang w:val="en-US" w:eastAsia="zh-CN"/>
              </w:rPr>
              <w:t>海拔（m）</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1991350F">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FF0000"/>
                <w:sz w:val="21"/>
                <w:szCs w:val="21"/>
                <w:highlight w:val="none"/>
                <w:lang w:val="en-US" w:eastAsia="zh-CN"/>
              </w:rPr>
            </w:pPr>
            <w:r>
              <w:rPr>
                <w:rFonts w:hint="default" w:ascii="Times New Roman" w:hAnsi="Times New Roman" w:eastAsia="宋体" w:cs="Times New Roman"/>
                <w:b/>
                <w:bCs/>
                <w:color w:val="FF0000"/>
                <w:sz w:val="21"/>
                <w:szCs w:val="21"/>
                <w:highlight w:val="none"/>
                <w:lang w:val="en-US" w:eastAsia="zh-CN"/>
              </w:rPr>
              <w:t>水位（m）</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3D939E00">
            <w:pPr>
              <w:keepNext w:val="0"/>
              <w:keepLines w:val="0"/>
              <w:pageBreakBefore w:val="0"/>
              <w:widowControl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FF0000"/>
                <w:sz w:val="21"/>
                <w:szCs w:val="21"/>
                <w:highlight w:val="none"/>
                <w:lang w:val="en-US" w:eastAsia="zh-CN"/>
              </w:rPr>
            </w:pPr>
            <w:r>
              <w:rPr>
                <w:rFonts w:hint="default" w:ascii="Times New Roman" w:hAnsi="Times New Roman" w:eastAsia="宋体" w:cs="Times New Roman"/>
                <w:b/>
                <w:bCs/>
                <w:color w:val="FF0000"/>
                <w:sz w:val="21"/>
                <w:szCs w:val="21"/>
                <w:highlight w:val="none"/>
                <w:lang w:val="en-US" w:eastAsia="zh-CN"/>
              </w:rPr>
              <w:t>埋深（m）</w:t>
            </w:r>
          </w:p>
        </w:tc>
      </w:tr>
      <w:tr w14:paraId="211B437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363" w:type="dxa"/>
            <w:tcBorders>
              <w:top w:val="single" w:color="auto" w:sz="4" w:space="0"/>
              <w:left w:val="single" w:color="auto" w:sz="4" w:space="0"/>
              <w:bottom w:val="single" w:color="auto" w:sz="4" w:space="0"/>
              <w:right w:val="single" w:color="auto" w:sz="4" w:space="0"/>
            </w:tcBorders>
            <w:noWrap w:val="0"/>
            <w:vAlign w:val="center"/>
          </w:tcPr>
          <w:p w14:paraId="6F7E5797">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北侧水井</w:t>
            </w:r>
          </w:p>
        </w:tc>
        <w:tc>
          <w:tcPr>
            <w:tcW w:w="2835" w:type="dxa"/>
            <w:tcBorders>
              <w:top w:val="single" w:color="auto" w:sz="4" w:space="0"/>
              <w:left w:val="single" w:color="auto" w:sz="4" w:space="0"/>
              <w:bottom w:val="single" w:color="auto" w:sz="4" w:space="0"/>
              <w:right w:val="single" w:color="auto" w:sz="4" w:space="0"/>
            </w:tcBorders>
            <w:noWrap w:val="0"/>
            <w:vAlign w:val="center"/>
          </w:tcPr>
          <w:p w14:paraId="3A3220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E</w:t>
            </w:r>
            <w:r>
              <w:rPr>
                <w:rFonts w:hint="default" w:ascii="Times New Roman" w:hAnsi="Times New Roman" w:eastAsia="宋体" w:cs="Times New Roman"/>
                <w:color w:val="FF0000"/>
                <w:sz w:val="21"/>
                <w:szCs w:val="21"/>
                <w:highlight w:val="none"/>
                <w:lang w:eastAsia="zh-CN"/>
              </w:rPr>
              <w:t>108°55′57.75″</w:t>
            </w:r>
            <w:r>
              <w:rPr>
                <w:rFonts w:hint="default"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lang w:val="en-US" w:eastAsia="zh-CN"/>
              </w:rPr>
              <w:t>N</w:t>
            </w:r>
            <w:r>
              <w:rPr>
                <w:rFonts w:hint="default" w:ascii="Times New Roman" w:hAnsi="Times New Roman" w:eastAsia="宋体" w:cs="Times New Roman"/>
                <w:color w:val="FF0000"/>
                <w:sz w:val="21"/>
                <w:szCs w:val="21"/>
                <w:highlight w:val="none"/>
                <w:lang w:eastAsia="zh-CN"/>
              </w:rPr>
              <w:t>41°7′34.87″</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141F8C3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125</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3DA405C7">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33</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5BBCBE7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1066</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4CE99EC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974</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52D684E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92</w:t>
            </w:r>
          </w:p>
        </w:tc>
      </w:tr>
      <w:tr w14:paraId="2D74C50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363" w:type="dxa"/>
            <w:tcBorders>
              <w:top w:val="single" w:color="auto" w:sz="4" w:space="0"/>
              <w:left w:val="single" w:color="auto" w:sz="4" w:space="0"/>
              <w:bottom w:val="single" w:color="auto" w:sz="4" w:space="0"/>
              <w:right w:val="single" w:color="auto" w:sz="4" w:space="0"/>
            </w:tcBorders>
            <w:noWrap w:val="0"/>
            <w:vAlign w:val="center"/>
          </w:tcPr>
          <w:p w14:paraId="11275D2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场区水井</w:t>
            </w:r>
          </w:p>
        </w:tc>
        <w:tc>
          <w:tcPr>
            <w:tcW w:w="2835" w:type="dxa"/>
            <w:tcBorders>
              <w:top w:val="single" w:color="auto" w:sz="4" w:space="0"/>
              <w:left w:val="single" w:color="auto" w:sz="4" w:space="0"/>
              <w:bottom w:val="single" w:color="auto" w:sz="4" w:space="0"/>
              <w:right w:val="single" w:color="auto" w:sz="4" w:space="0"/>
            </w:tcBorders>
            <w:noWrap w:val="0"/>
            <w:vAlign w:val="center"/>
          </w:tcPr>
          <w:p w14:paraId="0D475C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E</w:t>
            </w:r>
            <w:r>
              <w:rPr>
                <w:rFonts w:hint="default" w:ascii="Times New Roman" w:hAnsi="Times New Roman" w:eastAsia="宋体" w:cs="Times New Roman"/>
                <w:color w:val="FF0000"/>
                <w:sz w:val="21"/>
                <w:szCs w:val="21"/>
                <w:highlight w:val="none"/>
                <w:lang w:eastAsia="zh-CN"/>
              </w:rPr>
              <w:t>108°56′5.36″</w:t>
            </w:r>
            <w:r>
              <w:rPr>
                <w:rFonts w:hint="default"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lang w:val="en-US" w:eastAsia="zh-CN"/>
              </w:rPr>
              <w:t>N</w:t>
            </w:r>
            <w:r>
              <w:rPr>
                <w:rFonts w:hint="default" w:ascii="Times New Roman" w:hAnsi="Times New Roman" w:eastAsia="宋体" w:cs="Times New Roman"/>
                <w:color w:val="FF0000"/>
                <w:sz w:val="21"/>
                <w:szCs w:val="21"/>
                <w:highlight w:val="none"/>
                <w:lang w:eastAsia="zh-CN"/>
              </w:rPr>
              <w:t>41°7′9.31″</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549A324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120</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7579427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30</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7CF4883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1052</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7B0EED8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962</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714D6AC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90</w:t>
            </w:r>
          </w:p>
        </w:tc>
      </w:tr>
      <w:tr w14:paraId="3B70039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363" w:type="dxa"/>
            <w:tcBorders>
              <w:top w:val="single" w:color="auto" w:sz="4" w:space="0"/>
              <w:left w:val="single" w:color="auto" w:sz="4" w:space="0"/>
              <w:bottom w:val="single" w:color="auto" w:sz="4" w:space="0"/>
              <w:right w:val="single" w:color="auto" w:sz="4" w:space="0"/>
            </w:tcBorders>
            <w:noWrap w:val="0"/>
            <w:vAlign w:val="center"/>
          </w:tcPr>
          <w:p w14:paraId="5972F9E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东南侧水井</w:t>
            </w:r>
          </w:p>
        </w:tc>
        <w:tc>
          <w:tcPr>
            <w:tcW w:w="2835" w:type="dxa"/>
            <w:tcBorders>
              <w:top w:val="single" w:color="auto" w:sz="4" w:space="0"/>
              <w:left w:val="single" w:color="auto" w:sz="4" w:space="0"/>
              <w:bottom w:val="single" w:color="auto" w:sz="4" w:space="0"/>
              <w:right w:val="single" w:color="auto" w:sz="4" w:space="0"/>
            </w:tcBorders>
            <w:noWrap w:val="0"/>
            <w:vAlign w:val="center"/>
          </w:tcPr>
          <w:p w14:paraId="502F6F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E108°56′14.18″</w:t>
            </w:r>
            <w:r>
              <w:rPr>
                <w:rFonts w:hint="default"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lang w:val="en-US" w:eastAsia="zh-CN"/>
              </w:rPr>
              <w:t>N41°6′56.72″</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417D586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120</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4808598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30</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7A94CD0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1042</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0598D6E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952</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57140C2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90</w:t>
            </w:r>
          </w:p>
        </w:tc>
      </w:tr>
      <w:tr w14:paraId="664BE77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363" w:type="dxa"/>
            <w:tcBorders>
              <w:top w:val="single" w:color="auto" w:sz="4" w:space="0"/>
              <w:left w:val="single" w:color="auto" w:sz="4" w:space="0"/>
              <w:bottom w:val="single" w:color="auto" w:sz="4" w:space="0"/>
              <w:right w:val="single" w:color="auto" w:sz="4" w:space="0"/>
            </w:tcBorders>
            <w:noWrap w:val="0"/>
            <w:vAlign w:val="center"/>
          </w:tcPr>
          <w:p w14:paraId="746EE8D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东侧水井</w:t>
            </w:r>
          </w:p>
        </w:tc>
        <w:tc>
          <w:tcPr>
            <w:tcW w:w="2835" w:type="dxa"/>
            <w:tcBorders>
              <w:top w:val="single" w:color="auto" w:sz="4" w:space="0"/>
              <w:left w:val="single" w:color="auto" w:sz="4" w:space="0"/>
              <w:bottom w:val="single" w:color="auto" w:sz="4" w:space="0"/>
              <w:right w:val="single" w:color="auto" w:sz="4" w:space="0"/>
            </w:tcBorders>
            <w:noWrap w:val="0"/>
            <w:vAlign w:val="center"/>
          </w:tcPr>
          <w:p w14:paraId="4DD934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108°56′26.41″</w:t>
            </w:r>
            <w:r>
              <w:rPr>
                <w:rFonts w:hint="default"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lang w:val="en-US" w:eastAsia="zh-CN"/>
              </w:rPr>
              <w:t>N41°7′2.77″</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72EB188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123</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76555267">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34</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39FAFD8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1049</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713775B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960</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00C9DF7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89</w:t>
            </w:r>
          </w:p>
        </w:tc>
      </w:tr>
      <w:tr w14:paraId="0350237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363" w:type="dxa"/>
            <w:tcBorders>
              <w:top w:val="single" w:color="auto" w:sz="4" w:space="0"/>
              <w:left w:val="single" w:color="auto" w:sz="4" w:space="0"/>
              <w:bottom w:val="single" w:color="auto" w:sz="4" w:space="0"/>
              <w:right w:val="single" w:color="auto" w:sz="4" w:space="0"/>
            </w:tcBorders>
            <w:noWrap w:val="0"/>
            <w:vAlign w:val="center"/>
          </w:tcPr>
          <w:p w14:paraId="6C61C35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南侧水井1#</w:t>
            </w:r>
          </w:p>
        </w:tc>
        <w:tc>
          <w:tcPr>
            <w:tcW w:w="2835" w:type="dxa"/>
            <w:tcBorders>
              <w:top w:val="single" w:color="auto" w:sz="4" w:space="0"/>
              <w:left w:val="single" w:color="auto" w:sz="4" w:space="0"/>
              <w:bottom w:val="single" w:color="auto" w:sz="4" w:space="0"/>
              <w:right w:val="single" w:color="auto" w:sz="4" w:space="0"/>
            </w:tcBorders>
            <w:noWrap w:val="0"/>
            <w:vAlign w:val="center"/>
          </w:tcPr>
          <w:p w14:paraId="61A5BF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E108°56′10.46″</w:t>
            </w:r>
            <w:r>
              <w:rPr>
                <w:rFonts w:hint="default"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lang w:val="en-US" w:eastAsia="zh-CN"/>
              </w:rPr>
              <w:t>N41°6′46.35″</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307425B0">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121</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15040687">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30</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5FF9208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1036</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1078B60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945</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3B86755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91</w:t>
            </w:r>
          </w:p>
        </w:tc>
      </w:tr>
      <w:tr w14:paraId="3D6CE5F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363" w:type="dxa"/>
            <w:tcBorders>
              <w:top w:val="single" w:color="auto" w:sz="4" w:space="0"/>
              <w:left w:val="single" w:color="auto" w:sz="4" w:space="0"/>
              <w:bottom w:val="single" w:color="auto" w:sz="4" w:space="0"/>
              <w:right w:val="single" w:color="auto" w:sz="4" w:space="0"/>
            </w:tcBorders>
            <w:noWrap w:val="0"/>
            <w:vAlign w:val="center"/>
          </w:tcPr>
          <w:p w14:paraId="7ADCBD2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南侧水井2#</w:t>
            </w:r>
          </w:p>
        </w:tc>
        <w:tc>
          <w:tcPr>
            <w:tcW w:w="2835" w:type="dxa"/>
            <w:tcBorders>
              <w:top w:val="single" w:color="auto" w:sz="4" w:space="0"/>
              <w:left w:val="single" w:color="auto" w:sz="4" w:space="0"/>
              <w:bottom w:val="single" w:color="auto" w:sz="4" w:space="0"/>
              <w:right w:val="single" w:color="auto" w:sz="4" w:space="0"/>
            </w:tcBorders>
            <w:noWrap w:val="0"/>
            <w:vAlign w:val="center"/>
          </w:tcPr>
          <w:p w14:paraId="3A5E5C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108°56′11.70″</w:t>
            </w:r>
            <w:r>
              <w:rPr>
                <w:rFonts w:hint="default"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lang w:val="en-US" w:eastAsia="zh-CN"/>
              </w:rPr>
              <w:t>N41°6′33.21″</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2E49C44E">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120</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3039B72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30</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04E80C8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1026</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655D9CC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936</w:t>
            </w:r>
          </w:p>
        </w:tc>
        <w:tc>
          <w:tcPr>
            <w:tcW w:w="680" w:type="dxa"/>
            <w:tcBorders>
              <w:top w:val="single" w:color="auto" w:sz="4" w:space="0"/>
              <w:left w:val="single" w:color="auto" w:sz="4" w:space="0"/>
              <w:bottom w:val="single" w:color="auto" w:sz="4" w:space="0"/>
              <w:right w:val="single" w:color="auto" w:sz="4" w:space="0"/>
            </w:tcBorders>
            <w:noWrap w:val="0"/>
            <w:vAlign w:val="center"/>
          </w:tcPr>
          <w:p w14:paraId="569F188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lang w:val="en-US" w:eastAsia="zh-CN"/>
              </w:rPr>
              <w:t>90</w:t>
            </w:r>
          </w:p>
        </w:tc>
      </w:tr>
    </w:tbl>
    <w:p w14:paraId="141AD206">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表4.2-9评价区水质现状监测统计结果（单位：mg/L，PH无量纲）</w:t>
      </w:r>
    </w:p>
    <w:tbl>
      <w:tblPr>
        <w:tblStyle w:val="40"/>
        <w:tblW w:w="8277"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0" w:type="dxa"/>
          <w:bottom w:w="0" w:type="dxa"/>
          <w:right w:w="0" w:type="dxa"/>
        </w:tblCellMar>
      </w:tblPr>
      <w:tblGrid>
        <w:gridCol w:w="520"/>
        <w:gridCol w:w="1786"/>
        <w:gridCol w:w="936"/>
        <w:gridCol w:w="1381"/>
        <w:gridCol w:w="1381"/>
        <w:gridCol w:w="1383"/>
        <w:gridCol w:w="890"/>
      </w:tblGrid>
      <w:tr w14:paraId="616A2BF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vMerge w:val="restart"/>
            <w:tcBorders>
              <w:bottom w:val="single" w:color="auto" w:sz="4" w:space="0"/>
              <w:right w:val="single" w:color="auto" w:sz="4" w:space="0"/>
            </w:tcBorders>
            <w:noWrap w:val="0"/>
            <w:vAlign w:val="center"/>
          </w:tcPr>
          <w:p w14:paraId="2F31911B">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w:t>
            </w:r>
          </w:p>
          <w:p w14:paraId="208662A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号</w:t>
            </w:r>
          </w:p>
        </w:tc>
        <w:tc>
          <w:tcPr>
            <w:tcW w:w="2300" w:type="dxa"/>
            <w:vMerge w:val="restart"/>
            <w:tcBorders>
              <w:left w:val="single" w:color="auto" w:sz="4" w:space="0"/>
              <w:bottom w:val="single" w:color="auto" w:sz="4" w:space="0"/>
              <w:right w:val="single" w:color="auto" w:sz="4" w:space="0"/>
            </w:tcBorders>
            <w:noWrap w:val="0"/>
            <w:vAlign w:val="center"/>
          </w:tcPr>
          <w:p w14:paraId="3B41B564">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检测</w:t>
            </w:r>
          </w:p>
          <w:p w14:paraId="4B965AD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w:t>
            </w:r>
          </w:p>
        </w:tc>
        <w:tc>
          <w:tcPr>
            <w:tcW w:w="1203" w:type="dxa"/>
            <w:vMerge w:val="restart"/>
            <w:tcBorders>
              <w:left w:val="single" w:color="auto" w:sz="4" w:space="0"/>
              <w:bottom w:val="single" w:color="auto" w:sz="4" w:space="0"/>
              <w:right w:val="single" w:color="auto" w:sz="4" w:space="0"/>
            </w:tcBorders>
            <w:noWrap w:val="0"/>
            <w:vAlign w:val="center"/>
          </w:tcPr>
          <w:p w14:paraId="1ED534A2">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6477" w:type="dxa"/>
            <w:gridSpan w:val="4"/>
            <w:tcBorders>
              <w:left w:val="single" w:color="auto" w:sz="4" w:space="0"/>
              <w:bottom w:val="single" w:color="auto" w:sz="4" w:space="0"/>
            </w:tcBorders>
            <w:noWrap w:val="0"/>
            <w:vAlign w:val="center"/>
          </w:tcPr>
          <w:p w14:paraId="1FB2E2B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采样点位与检测日期</w:t>
            </w:r>
          </w:p>
          <w:p w14:paraId="049E9DE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（2022年</w:t>
            </w:r>
            <w:r>
              <w:rPr>
                <w:rFonts w:hint="default" w:ascii="Times New Roman" w:hAnsi="Times New Roman" w:eastAsia="宋体" w:cs="Times New Roman"/>
                <w:color w:val="auto"/>
                <w:sz w:val="21"/>
                <w:szCs w:val="21"/>
                <w:highlight w:val="none"/>
                <w:lang w:eastAsia="zh-CN"/>
              </w:rPr>
              <w:t>12月</w:t>
            </w:r>
            <w:r>
              <w:rPr>
                <w:rFonts w:hint="default" w:ascii="Times New Roman" w:hAnsi="Times New Roman" w:eastAsia="宋体" w:cs="Times New Roman"/>
                <w:color w:val="auto"/>
                <w:sz w:val="21"/>
                <w:szCs w:val="21"/>
                <w:highlight w:val="none"/>
                <w:lang w:val="en-US" w:eastAsia="zh-CN"/>
              </w:rPr>
              <w:t>04</w:t>
            </w:r>
            <w:r>
              <w:rPr>
                <w:rFonts w:hint="default" w:ascii="Times New Roman" w:hAnsi="Times New Roman" w:eastAsia="宋体" w:cs="Times New Roman"/>
                <w:color w:val="auto"/>
                <w:sz w:val="21"/>
                <w:szCs w:val="21"/>
                <w:highlight w:val="none"/>
              </w:rPr>
              <w:t>日</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2022年</w:t>
            </w:r>
            <w:r>
              <w:rPr>
                <w:rFonts w:hint="default" w:ascii="Times New Roman" w:hAnsi="Times New Roman" w:eastAsia="宋体" w:cs="Times New Roman"/>
                <w:color w:val="auto"/>
                <w:sz w:val="21"/>
                <w:szCs w:val="21"/>
                <w:highlight w:val="none"/>
                <w:lang w:eastAsia="zh-CN"/>
              </w:rPr>
              <w:t>12月</w:t>
            </w:r>
            <w:r>
              <w:rPr>
                <w:rFonts w:hint="default" w:ascii="Times New Roman" w:hAnsi="Times New Roman" w:eastAsia="宋体" w:cs="Times New Roman"/>
                <w:color w:val="auto"/>
                <w:sz w:val="21"/>
                <w:szCs w:val="21"/>
                <w:highlight w:val="none"/>
                <w:lang w:val="en-US" w:eastAsia="zh-CN"/>
              </w:rPr>
              <w:t>07</w:t>
            </w:r>
            <w:r>
              <w:rPr>
                <w:rFonts w:hint="default" w:ascii="Times New Roman" w:hAnsi="Times New Roman" w:eastAsia="宋体" w:cs="Times New Roman"/>
                <w:color w:val="auto"/>
                <w:sz w:val="21"/>
                <w:szCs w:val="21"/>
                <w:highlight w:val="none"/>
              </w:rPr>
              <w:t>日）</w:t>
            </w:r>
          </w:p>
        </w:tc>
      </w:tr>
      <w:tr w14:paraId="561596B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vMerge w:val="continue"/>
            <w:tcBorders>
              <w:top w:val="single" w:color="auto" w:sz="4" w:space="0"/>
              <w:bottom w:val="single" w:color="auto" w:sz="4" w:space="0"/>
              <w:right w:val="single" w:color="auto" w:sz="4" w:space="0"/>
            </w:tcBorders>
            <w:noWrap w:val="0"/>
            <w:vAlign w:val="center"/>
          </w:tcPr>
          <w:p w14:paraId="3D1EA9A4">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300" w:type="dxa"/>
            <w:vMerge w:val="continue"/>
            <w:tcBorders>
              <w:top w:val="single" w:color="auto" w:sz="4" w:space="0"/>
              <w:left w:val="single" w:color="auto" w:sz="4" w:space="0"/>
              <w:bottom w:val="single" w:color="auto" w:sz="4" w:space="0"/>
              <w:right w:val="single" w:color="auto" w:sz="4" w:space="0"/>
            </w:tcBorders>
            <w:noWrap w:val="0"/>
            <w:vAlign w:val="center"/>
          </w:tcPr>
          <w:p w14:paraId="4C81729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203" w:type="dxa"/>
            <w:vMerge w:val="continue"/>
            <w:tcBorders>
              <w:top w:val="single" w:color="auto" w:sz="4" w:space="0"/>
              <w:left w:val="single" w:color="auto" w:sz="4" w:space="0"/>
              <w:bottom w:val="single" w:color="auto" w:sz="4" w:space="0"/>
              <w:right w:val="single" w:color="auto" w:sz="4" w:space="0"/>
            </w:tcBorders>
            <w:noWrap w:val="0"/>
            <w:vAlign w:val="center"/>
          </w:tcPr>
          <w:p w14:paraId="522D44E8">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6477" w:type="dxa"/>
            <w:gridSpan w:val="4"/>
            <w:tcBorders>
              <w:top w:val="single" w:color="auto" w:sz="4" w:space="0"/>
              <w:left w:val="single" w:color="auto" w:sz="4" w:space="0"/>
              <w:bottom w:val="single" w:color="auto" w:sz="4" w:space="0"/>
            </w:tcBorders>
            <w:noWrap w:val="0"/>
            <w:vAlign w:val="center"/>
          </w:tcPr>
          <w:p w14:paraId="0E52FDC2">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采样日期：2022年</w:t>
            </w:r>
            <w:r>
              <w:rPr>
                <w:rFonts w:hint="default" w:ascii="Times New Roman" w:hAnsi="Times New Roman" w:eastAsia="宋体" w:cs="Times New Roman"/>
                <w:color w:val="auto"/>
                <w:sz w:val="21"/>
                <w:szCs w:val="21"/>
                <w:highlight w:val="none"/>
                <w:lang w:eastAsia="zh-CN"/>
              </w:rPr>
              <w:t>12月</w:t>
            </w:r>
            <w:r>
              <w:rPr>
                <w:rFonts w:hint="default" w:ascii="Times New Roman" w:hAnsi="Times New Roman" w:eastAsia="宋体" w:cs="Times New Roman"/>
                <w:color w:val="auto"/>
                <w:sz w:val="21"/>
                <w:szCs w:val="21"/>
                <w:highlight w:val="none"/>
                <w:lang w:val="en-US" w:eastAsia="zh-CN"/>
              </w:rPr>
              <w:t>04</w:t>
            </w:r>
            <w:r>
              <w:rPr>
                <w:rFonts w:hint="default" w:ascii="Times New Roman" w:hAnsi="Times New Roman" w:eastAsia="宋体" w:cs="Times New Roman"/>
                <w:color w:val="auto"/>
                <w:sz w:val="21"/>
                <w:szCs w:val="21"/>
                <w:highlight w:val="none"/>
              </w:rPr>
              <w:t>日</w:t>
            </w:r>
          </w:p>
        </w:tc>
      </w:tr>
      <w:tr w14:paraId="01BD5D6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vMerge w:val="continue"/>
            <w:tcBorders>
              <w:top w:val="single" w:color="auto" w:sz="4" w:space="0"/>
              <w:bottom w:val="single" w:color="auto" w:sz="4" w:space="0"/>
              <w:right w:val="single" w:color="auto" w:sz="4" w:space="0"/>
            </w:tcBorders>
            <w:noWrap w:val="0"/>
            <w:vAlign w:val="center"/>
          </w:tcPr>
          <w:p w14:paraId="40338893">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2300" w:type="dxa"/>
            <w:vMerge w:val="continue"/>
            <w:tcBorders>
              <w:top w:val="single" w:color="auto" w:sz="4" w:space="0"/>
              <w:left w:val="single" w:color="auto" w:sz="4" w:space="0"/>
              <w:bottom w:val="single" w:color="auto" w:sz="4" w:space="0"/>
              <w:right w:val="single" w:color="auto" w:sz="4" w:space="0"/>
            </w:tcBorders>
            <w:noWrap w:val="0"/>
            <w:vAlign w:val="center"/>
          </w:tcPr>
          <w:p w14:paraId="10DA855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203" w:type="dxa"/>
            <w:vMerge w:val="continue"/>
            <w:tcBorders>
              <w:top w:val="single" w:color="auto" w:sz="4" w:space="0"/>
              <w:left w:val="single" w:color="auto" w:sz="4" w:space="0"/>
              <w:bottom w:val="single" w:color="auto" w:sz="4" w:space="0"/>
              <w:right w:val="single" w:color="auto" w:sz="4" w:space="0"/>
            </w:tcBorders>
            <w:noWrap w:val="0"/>
            <w:vAlign w:val="center"/>
          </w:tcPr>
          <w:p w14:paraId="25925C5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777" w:type="dxa"/>
            <w:tcBorders>
              <w:top w:val="single" w:color="auto" w:sz="4" w:space="0"/>
              <w:left w:val="single" w:color="auto" w:sz="4" w:space="0"/>
              <w:bottom w:val="single" w:color="auto" w:sz="4" w:space="0"/>
              <w:right w:val="single" w:color="auto" w:sz="4" w:space="0"/>
            </w:tcBorders>
            <w:noWrap w:val="0"/>
            <w:vAlign w:val="center"/>
          </w:tcPr>
          <w:p w14:paraId="502CB2A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W1</w:t>
            </w:r>
            <w:r>
              <w:rPr>
                <w:rFonts w:hint="default" w:ascii="Times New Roman" w:hAnsi="Times New Roman" w:eastAsia="宋体" w:cs="Times New Roman"/>
                <w:color w:val="auto"/>
                <w:kern w:val="2"/>
                <w:sz w:val="21"/>
                <w:szCs w:val="21"/>
                <w:highlight w:val="none"/>
                <w:lang w:val="en-US" w:eastAsia="zh-CN" w:bidi="ar-SA"/>
              </w:rPr>
              <w:t>北侧水井</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59958C3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W2</w:t>
            </w:r>
            <w:r>
              <w:rPr>
                <w:rFonts w:hint="default" w:ascii="Times New Roman" w:hAnsi="Times New Roman" w:eastAsia="宋体" w:cs="Times New Roman"/>
                <w:color w:val="auto"/>
                <w:kern w:val="2"/>
                <w:sz w:val="21"/>
                <w:szCs w:val="21"/>
                <w:highlight w:val="none"/>
                <w:lang w:val="en-US" w:eastAsia="zh-CN" w:bidi="ar-SA"/>
              </w:rPr>
              <w:t>场区水井</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761725CC">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W3</w:t>
            </w:r>
            <w:r>
              <w:rPr>
                <w:rFonts w:hint="default" w:ascii="Times New Roman" w:hAnsi="Times New Roman" w:eastAsia="宋体" w:cs="Times New Roman"/>
                <w:color w:val="auto"/>
                <w:kern w:val="2"/>
                <w:sz w:val="21"/>
                <w:szCs w:val="21"/>
                <w:highlight w:val="none"/>
                <w:lang w:val="en-US" w:eastAsia="zh-CN" w:bidi="ar-SA"/>
              </w:rPr>
              <w:t>东南侧水井</w:t>
            </w:r>
          </w:p>
        </w:tc>
        <w:tc>
          <w:tcPr>
            <w:tcW w:w="1144" w:type="dxa"/>
            <w:tcBorders>
              <w:top w:val="single" w:color="auto" w:sz="4" w:space="0"/>
              <w:left w:val="single" w:color="auto" w:sz="4" w:space="0"/>
              <w:bottom w:val="single" w:color="auto" w:sz="4" w:space="0"/>
            </w:tcBorders>
            <w:noWrap w:val="0"/>
            <w:vAlign w:val="center"/>
          </w:tcPr>
          <w:p w14:paraId="2131657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标准限值</w:t>
            </w:r>
          </w:p>
        </w:tc>
      </w:tr>
      <w:tr w14:paraId="27FA782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40C29574">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276D36DD">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pH</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3871DC33">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无量纲</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21C38718">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7.51</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2C5C65E0">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7.49</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31FD655B">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7.62</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04D2CEF4">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6.5~8.5</w:t>
            </w:r>
          </w:p>
        </w:tc>
      </w:tr>
      <w:tr w14:paraId="6601483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21AC60F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2F73A06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可溶</w:t>
            </w:r>
            <w:r>
              <w:rPr>
                <w:rFonts w:hint="default" w:ascii="Times New Roman" w:hAnsi="Times New Roman" w:eastAsia="宋体" w:cs="Times New Roman"/>
                <w:color w:val="auto"/>
                <w:kern w:val="0"/>
                <w:sz w:val="21"/>
                <w:szCs w:val="21"/>
                <w:highlight w:val="none"/>
                <w:lang w:bidi="ar"/>
              </w:rPr>
              <w:t>性阳</w:t>
            </w:r>
            <w:r>
              <w:rPr>
                <w:rFonts w:hint="default" w:ascii="Times New Roman" w:hAnsi="Times New Roman" w:eastAsia="宋体" w:cs="Times New Roman"/>
                <w:color w:val="auto"/>
                <w:sz w:val="21"/>
                <w:szCs w:val="21"/>
                <w:highlight w:val="none"/>
              </w:rPr>
              <w:t>离子K</w:t>
            </w:r>
            <w:r>
              <w:rPr>
                <w:rFonts w:hint="default" w:ascii="Times New Roman" w:hAnsi="Times New Roman" w:eastAsia="宋体" w:cs="Times New Roman"/>
                <w:color w:val="auto"/>
                <w:sz w:val="21"/>
                <w:szCs w:val="21"/>
                <w:highlight w:val="none"/>
                <w:vertAlign w:val="superscript"/>
              </w:rPr>
              <w:t>+</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4E9DAAA2">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25603025">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8.99</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2AB7BD4F">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10.9</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5EC8743A">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11.3</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66D26E5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39EBAB3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578A9D0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0F086E0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可溶</w:t>
            </w:r>
            <w:r>
              <w:rPr>
                <w:rFonts w:hint="default" w:ascii="Times New Roman" w:hAnsi="Times New Roman" w:eastAsia="宋体" w:cs="Times New Roman"/>
                <w:color w:val="auto"/>
                <w:kern w:val="0"/>
                <w:sz w:val="21"/>
                <w:szCs w:val="21"/>
                <w:highlight w:val="none"/>
                <w:lang w:bidi="ar"/>
              </w:rPr>
              <w:t>性阳离</w:t>
            </w:r>
            <w:r>
              <w:rPr>
                <w:rFonts w:hint="default" w:ascii="Times New Roman" w:hAnsi="Times New Roman" w:eastAsia="宋体" w:cs="Times New Roman"/>
                <w:color w:val="auto"/>
                <w:sz w:val="21"/>
                <w:szCs w:val="21"/>
                <w:highlight w:val="none"/>
              </w:rPr>
              <w:t>子Na</w:t>
            </w:r>
            <w:r>
              <w:rPr>
                <w:rFonts w:hint="default" w:ascii="Times New Roman" w:hAnsi="Times New Roman" w:eastAsia="宋体" w:cs="Times New Roman"/>
                <w:color w:val="auto"/>
                <w:sz w:val="21"/>
                <w:szCs w:val="21"/>
                <w:highlight w:val="none"/>
                <w:vertAlign w:val="superscript"/>
              </w:rPr>
              <w:t>+</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102AD79C">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70100619">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53.6</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679AF9C1">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60.2</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79ED3209">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66.4</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21FDDAA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3E3DE31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5B661D38">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4B92653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可</w:t>
            </w:r>
            <w:r>
              <w:rPr>
                <w:rFonts w:hint="default" w:ascii="Times New Roman" w:hAnsi="Times New Roman" w:eastAsia="宋体" w:cs="Times New Roman"/>
                <w:color w:val="auto"/>
                <w:kern w:val="0"/>
                <w:sz w:val="21"/>
                <w:szCs w:val="21"/>
                <w:highlight w:val="none"/>
                <w:lang w:bidi="ar"/>
              </w:rPr>
              <w:t>溶性阳离</w:t>
            </w:r>
            <w:r>
              <w:rPr>
                <w:rFonts w:hint="default" w:ascii="Times New Roman" w:hAnsi="Times New Roman" w:eastAsia="宋体" w:cs="Times New Roman"/>
                <w:color w:val="auto"/>
                <w:sz w:val="21"/>
                <w:szCs w:val="21"/>
                <w:highlight w:val="none"/>
              </w:rPr>
              <w:t>子Ca</w:t>
            </w:r>
            <w:r>
              <w:rPr>
                <w:rFonts w:hint="default" w:ascii="Times New Roman" w:hAnsi="Times New Roman" w:eastAsia="宋体" w:cs="Times New Roman"/>
                <w:color w:val="auto"/>
                <w:sz w:val="21"/>
                <w:szCs w:val="21"/>
                <w:highlight w:val="none"/>
                <w:vertAlign w:val="superscript"/>
              </w:rPr>
              <w:t>2+</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489E089C">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7D4D4353">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146</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30B9E71A">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158</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7C466D29">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143</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6576E353">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0B9791B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179BD8D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1EF42F16">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可溶</w:t>
            </w:r>
            <w:r>
              <w:rPr>
                <w:rFonts w:hint="default" w:ascii="Times New Roman" w:hAnsi="Times New Roman" w:eastAsia="宋体" w:cs="Times New Roman"/>
                <w:color w:val="auto"/>
                <w:kern w:val="0"/>
                <w:sz w:val="21"/>
                <w:szCs w:val="21"/>
                <w:highlight w:val="none"/>
                <w:lang w:bidi="ar"/>
              </w:rPr>
              <w:t>性</w:t>
            </w:r>
            <w:r>
              <w:rPr>
                <w:rFonts w:hint="default" w:ascii="Times New Roman" w:hAnsi="Times New Roman" w:eastAsia="宋体" w:cs="Times New Roman"/>
                <w:color w:val="auto"/>
                <w:sz w:val="21"/>
                <w:szCs w:val="21"/>
                <w:highlight w:val="none"/>
              </w:rPr>
              <w:t>阳离子Mg</w:t>
            </w:r>
            <w:r>
              <w:rPr>
                <w:rFonts w:hint="default" w:ascii="Times New Roman" w:hAnsi="Times New Roman" w:eastAsia="宋体" w:cs="Times New Roman"/>
                <w:color w:val="auto"/>
                <w:sz w:val="21"/>
                <w:szCs w:val="21"/>
                <w:highlight w:val="none"/>
                <w:vertAlign w:val="superscript"/>
              </w:rPr>
              <w:t>2+</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4021E60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57FF62B3">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70.2</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30B49FE0">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76.3</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1D4F2626">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80.6</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12C643D3">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399C4A6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4EB7120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6BFA300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无机阴离子Cl</w:t>
            </w:r>
            <w:r>
              <w:rPr>
                <w:rFonts w:hint="default" w:ascii="Times New Roman" w:hAnsi="Times New Roman" w:eastAsia="宋体" w:cs="Times New Roman"/>
                <w:color w:val="auto"/>
                <w:sz w:val="21"/>
                <w:szCs w:val="21"/>
                <w:highlight w:val="none"/>
                <w:vertAlign w:val="superscript"/>
              </w:rPr>
              <w:t>-</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480CED3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583FB9CB">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261</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0BD6ED1A">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258</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40CC816E">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246</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442E636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51CDD84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351EC4C3">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624AF93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无机阴离子SO</w:t>
            </w:r>
            <w:r>
              <w:rPr>
                <w:rFonts w:hint="default" w:ascii="Times New Roman" w:hAnsi="Times New Roman" w:eastAsia="宋体" w:cs="Times New Roman"/>
                <w:color w:val="auto"/>
                <w:sz w:val="21"/>
                <w:szCs w:val="21"/>
                <w:highlight w:val="none"/>
                <w:vertAlign w:val="subscript"/>
              </w:rPr>
              <w:t>4</w:t>
            </w:r>
            <w:r>
              <w:rPr>
                <w:rFonts w:hint="default" w:ascii="Times New Roman" w:hAnsi="Times New Roman" w:eastAsia="宋体" w:cs="Times New Roman"/>
                <w:color w:val="auto"/>
                <w:sz w:val="21"/>
                <w:szCs w:val="21"/>
                <w:highlight w:val="none"/>
                <w:vertAlign w:val="superscript"/>
              </w:rPr>
              <w:t>2-</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5C074AF2">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45CF7B26">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249</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1971778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262</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2863E31B">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271</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1F2FB0A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73937DA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4C20023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21CCAB0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重碳酸盐</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4A2221B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5489BA2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236</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74787753">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249</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45490D0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263</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293F8E5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43F43E7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5CEBC15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7B5D677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碳酸盐</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78CBD01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45755A31">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0</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1510FA6C">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0</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6EAE91EE">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44D9598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342AE93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6FD67EB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275DD9C4">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氨氮</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7DB8C33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069A8E32">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0.262</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61CB39FA">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0.205</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05F19272">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0.224</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05E0BED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≤0.50</w:t>
            </w:r>
          </w:p>
        </w:tc>
      </w:tr>
      <w:tr w14:paraId="7A1D7EF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31E05BC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2E3320F2">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亚硝酸盐氮</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50012A1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4C20065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0.010</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5DB2127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0.015</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7768D363">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0.013</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0645061C">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w:t>
            </w:r>
          </w:p>
        </w:tc>
      </w:tr>
      <w:tr w14:paraId="79C13DC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74482F2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0E4F6DB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硝酸盐氮</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58D4357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1931780F">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10.2</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097C3B11">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11.6</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47D35866">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12.3</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786A2E4C">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w:t>
            </w:r>
          </w:p>
        </w:tc>
      </w:tr>
      <w:tr w14:paraId="794E6FD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627A57A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1E0C3D3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挥发酚</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554643C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1C9F1994">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0.0003L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6AF1E75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0.0003L</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6915C703">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0.0003L</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41B07F8C">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≤0.002</w:t>
            </w:r>
          </w:p>
        </w:tc>
      </w:tr>
      <w:tr w14:paraId="3F2B35A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762370A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6E8DB6D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氰化物</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6915154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6D62354A">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0.004L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43E08F01">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0.004L</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70A9E025">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0.004L</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614FAFC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≤0.05</w:t>
            </w:r>
          </w:p>
        </w:tc>
      </w:tr>
      <w:tr w14:paraId="6046CDB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17C6BE5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3D86DDE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汞</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636EE26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1A0F72DE">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0.00004L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68DC9708">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0.00004L</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50B1D12A">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0.00004L</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02E7A03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≤0.001</w:t>
            </w:r>
          </w:p>
        </w:tc>
      </w:tr>
      <w:tr w14:paraId="53B8AAD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4EFBFF76">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0844200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砷</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140591B6">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19BBB0D9">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0.0003L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4D9064BA">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0.0003L</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58D6ACE0">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0.0003L</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73A3EB8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≤0.01</w:t>
            </w:r>
          </w:p>
        </w:tc>
      </w:tr>
      <w:tr w14:paraId="73BB66F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733C351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007719D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镉</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7E9A6084">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0A12FF1A">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0.0001L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211FB940">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0.0001L</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01307732">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0.0001L</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7D1362B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≤0.005</w:t>
            </w:r>
          </w:p>
        </w:tc>
      </w:tr>
      <w:tr w14:paraId="7482A65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2CEF6EB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7D08137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六价铬</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10C7F6C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1D004EE3">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0.004L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044E2CC5">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0.004L</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005AD8B6">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0.004L</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3458127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≤0.05</w:t>
            </w:r>
          </w:p>
        </w:tc>
      </w:tr>
      <w:tr w14:paraId="2D77D0E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367F0BB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6D225C8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铅</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312530A4">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0E6EC263">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0.001L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21496B36">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0.001L</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5A12E8E8">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0.001L</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4E2C7C0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≤0.01</w:t>
            </w:r>
          </w:p>
        </w:tc>
      </w:tr>
      <w:tr w14:paraId="30EAB3D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7612DE13">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3D88CFF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铁</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07D8296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6082F53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0.03L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5E4C9A7B">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0.03L</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328471D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0.03L</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3BE84F73">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≤0.3</w:t>
            </w:r>
          </w:p>
        </w:tc>
      </w:tr>
      <w:tr w14:paraId="34828BE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2607C8D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62135B6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锰</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4DBED5CB">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18B50879">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0.01L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1BD81B30">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0.01L</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696D8D47">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0.01L</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02C25028">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≤0.10</w:t>
            </w:r>
          </w:p>
        </w:tc>
      </w:tr>
      <w:tr w14:paraId="3C9B580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1A24B03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22</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5FB9AF98">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总硬度</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5C9B77E6">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0F457485">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635</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66D80776">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681</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5069B156">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692</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07D6CE1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≤450</w:t>
            </w:r>
          </w:p>
        </w:tc>
      </w:tr>
      <w:tr w14:paraId="23F74AC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5000DAC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23</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6CA325E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kern w:val="0"/>
                <w:sz w:val="21"/>
                <w:szCs w:val="21"/>
                <w:highlight w:val="none"/>
                <w:lang w:bidi="ar"/>
              </w:rPr>
            </w:pPr>
            <w:r>
              <w:rPr>
                <w:rFonts w:hint="default" w:ascii="Times New Roman" w:hAnsi="Times New Roman" w:eastAsia="宋体" w:cs="Times New Roman"/>
                <w:color w:val="0000FF"/>
                <w:kern w:val="0"/>
                <w:sz w:val="21"/>
                <w:szCs w:val="21"/>
                <w:highlight w:val="none"/>
                <w:lang w:bidi="ar"/>
              </w:rPr>
              <w:t>溶解性总固体</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087613E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61BEB49A">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0000FF"/>
                <w:kern w:val="0"/>
                <w:sz w:val="21"/>
                <w:szCs w:val="21"/>
                <w:highlight w:val="none"/>
                <w:lang w:val="en-US" w:eastAsia="zh-CN" w:bidi="ar"/>
              </w:rPr>
            </w:pPr>
            <w:r>
              <w:rPr>
                <w:rFonts w:hint="default" w:ascii="Times New Roman" w:hAnsi="Times New Roman" w:eastAsia="宋体" w:cs="Times New Roman"/>
                <w:b/>
                <w:bCs/>
                <w:color w:val="0000FF"/>
                <w:kern w:val="0"/>
                <w:sz w:val="21"/>
                <w:szCs w:val="21"/>
                <w:highlight w:val="none"/>
                <w:lang w:val="en-US" w:eastAsia="zh-CN" w:bidi="ar"/>
              </w:rPr>
              <w:t>1964</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6B057083">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0000FF"/>
                <w:kern w:val="0"/>
                <w:sz w:val="21"/>
                <w:szCs w:val="21"/>
                <w:highlight w:val="none"/>
                <w:lang w:val="en-US" w:eastAsia="zh-CN" w:bidi="ar"/>
              </w:rPr>
            </w:pPr>
            <w:r>
              <w:rPr>
                <w:rFonts w:hint="default" w:ascii="Times New Roman" w:hAnsi="Times New Roman" w:eastAsia="宋体" w:cs="Times New Roman"/>
                <w:b/>
                <w:bCs/>
                <w:color w:val="0000FF"/>
                <w:kern w:val="0"/>
                <w:sz w:val="21"/>
                <w:szCs w:val="21"/>
                <w:highlight w:val="none"/>
                <w:lang w:val="en-US" w:eastAsia="zh-CN" w:bidi="ar"/>
              </w:rPr>
              <w:t>1935</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60D15E85">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0000FF"/>
                <w:kern w:val="0"/>
                <w:sz w:val="21"/>
                <w:szCs w:val="21"/>
                <w:highlight w:val="none"/>
                <w:lang w:val="en-US" w:eastAsia="zh-CN" w:bidi="ar"/>
              </w:rPr>
            </w:pPr>
            <w:r>
              <w:rPr>
                <w:rFonts w:hint="default" w:ascii="Times New Roman" w:hAnsi="Times New Roman" w:eastAsia="宋体" w:cs="Times New Roman"/>
                <w:b/>
                <w:bCs/>
                <w:color w:val="0000FF"/>
                <w:kern w:val="0"/>
                <w:sz w:val="21"/>
                <w:szCs w:val="21"/>
                <w:highlight w:val="none"/>
                <w:lang w:val="en-US" w:eastAsia="zh-CN" w:bidi="ar"/>
              </w:rPr>
              <w:t>1988</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00B96CA3">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≤1000</w:t>
            </w:r>
          </w:p>
        </w:tc>
      </w:tr>
      <w:tr w14:paraId="02782BC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2DEB0688">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668CC8D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耗氧量</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443C06E4">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7C13CFE9">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1.46</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7A3E4DF8">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1.53</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0D0B4DBE">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1.29</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2B734E3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r>
      <w:tr w14:paraId="4351583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06C78F34">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2678555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硫酸盐</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24A7E06B">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2721416C">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253</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383E8986">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268</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5F41298D">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279</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42488B3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w:t>
            </w:r>
          </w:p>
        </w:tc>
      </w:tr>
      <w:tr w14:paraId="707B708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3DFACF1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26</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1340F64C">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氯化物</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544A6658">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1D559BA4">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269</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4DBDBF14">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263</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15DC1721">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254</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6351712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w:t>
            </w:r>
          </w:p>
        </w:tc>
      </w:tr>
      <w:tr w14:paraId="37BF28A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4BC3EBA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27</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05ECC85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总大肠菌群数</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63F173E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MPN/100mL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3FC18A3D">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08B644E1">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75398CAA">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0035D9E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r>
      <w:tr w14:paraId="3E02916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57661814">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28</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2AFA302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细菌总数</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1382567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CFU/mL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38379AC7">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36</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3B2520E6">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59</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1C22489E">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21</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2FEFF0A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w:t>
            </w:r>
          </w:p>
        </w:tc>
      </w:tr>
      <w:tr w14:paraId="07C07C7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235583D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29</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04F5C58E">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色度</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5E43E4C3">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度</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0CE5DB57">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5</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4D2901CB">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5</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6D55E3D8">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5</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08D9F3F1">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w:t>
            </w:r>
          </w:p>
        </w:tc>
      </w:tr>
      <w:tr w14:paraId="4BCB374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0596730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30</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4CD8C2D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臭</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303240C7">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56032DC8">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无</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2362A54C">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无</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5E848C85">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无</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280F0F24">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无</w:t>
            </w:r>
          </w:p>
        </w:tc>
      </w:tr>
      <w:tr w14:paraId="46BBF45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4E24C37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31</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6435479E">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浊度</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512EB01E">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度</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37BD14F2">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36605EFB">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22BA04A1">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7F0F9FDD">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r>
      <w:tr w14:paraId="7FFB491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45B6C8D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32</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489809A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肉眼可见物</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4544E0AF">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38722B3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color w:val="auto"/>
                <w:kern w:val="2"/>
                <w:sz w:val="21"/>
                <w:szCs w:val="21"/>
                <w:highlight w:val="none"/>
                <w:lang w:val="en-US" w:eastAsia="zh-CN" w:bidi="ar-SA"/>
              </w:rPr>
              <w:t>无</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173D9FAE">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无</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1EF2E2C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color w:val="auto"/>
                <w:kern w:val="2"/>
                <w:sz w:val="21"/>
                <w:szCs w:val="21"/>
                <w:highlight w:val="none"/>
                <w:lang w:val="en-US" w:eastAsia="zh-CN" w:bidi="ar-SA"/>
              </w:rPr>
              <w:t>无</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0123B1F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无</w:t>
            </w:r>
          </w:p>
        </w:tc>
      </w:tr>
      <w:tr w14:paraId="2497DBC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6BF93A8B">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33</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6C584B9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铜</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66F03F64">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09973BFD">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0.05L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3FB775A2">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0.05L</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412C7478">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0.05L</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621BA189">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≤1.00</w:t>
            </w:r>
          </w:p>
        </w:tc>
      </w:tr>
      <w:tr w14:paraId="4848EBA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6F2F5046">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34</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1362336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锌</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1686B1DF">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3E4A02E9">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0.05L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20367DB3">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0.05L</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66F868E0">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0.05L</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6D18D834">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≤1.00</w:t>
            </w:r>
          </w:p>
        </w:tc>
      </w:tr>
      <w:tr w14:paraId="3E6AAB7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0EA5AA6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35</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2F0002FC">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铝</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1ACD57E9">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0ED19CB2">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0.1L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1DB07935">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0.1L</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35D642A8">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0.1L</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5DB476EC">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≤0.20</w:t>
            </w:r>
          </w:p>
        </w:tc>
      </w:tr>
      <w:tr w14:paraId="3D4D2F9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197EBAA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36</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42E898A4">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硫化物</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609CA736">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45A439D7">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rPr>
              <w:t>0.001</w:t>
            </w:r>
            <w:r>
              <w:rPr>
                <w:rFonts w:hint="default" w:ascii="Times New Roman" w:hAnsi="Times New Roman" w:eastAsia="宋体" w:cs="Times New Roman"/>
                <w:color w:val="auto"/>
                <w:sz w:val="21"/>
                <w:szCs w:val="21"/>
                <w:highlight w:val="none"/>
                <w:lang w:val="en-US" w:eastAsia="zh-CN"/>
              </w:rPr>
              <w:t>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2D058BCA">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0.001</w:t>
            </w:r>
            <w:r>
              <w:rPr>
                <w:rFonts w:hint="default" w:ascii="Times New Roman" w:hAnsi="Times New Roman" w:eastAsia="宋体" w:cs="Times New Roman"/>
                <w:color w:val="auto"/>
                <w:sz w:val="21"/>
                <w:szCs w:val="21"/>
                <w:highlight w:val="none"/>
                <w:lang w:val="en-US" w:eastAsia="zh-CN"/>
              </w:rPr>
              <w:t>L</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53B5ADD6">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rPr>
              <w:t>0.001</w:t>
            </w:r>
            <w:r>
              <w:rPr>
                <w:rFonts w:hint="default" w:ascii="Times New Roman" w:hAnsi="Times New Roman" w:eastAsia="宋体" w:cs="Times New Roman"/>
                <w:color w:val="auto"/>
                <w:sz w:val="21"/>
                <w:szCs w:val="21"/>
                <w:highlight w:val="none"/>
                <w:lang w:val="en-US" w:eastAsia="zh-CN"/>
              </w:rPr>
              <w:t>L</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27704862">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≤0.01</w:t>
            </w:r>
          </w:p>
        </w:tc>
      </w:tr>
      <w:tr w14:paraId="2E8E5B4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678FA35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37</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4573BFED">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阴离子表面活性剂</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364882E3">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75D80EB4">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val="en-US" w:eastAsia="zh-CN"/>
              </w:rPr>
              <w:t>0.003L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188A7198">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0.003L</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792DFE63">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val="en-US" w:eastAsia="zh-CN"/>
              </w:rPr>
              <w:t>0.003L</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4E4DEFCE">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≤0.02</w:t>
            </w:r>
          </w:p>
        </w:tc>
      </w:tr>
      <w:tr w14:paraId="37DBC27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601E453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38</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4E0A4A0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碘化物</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7543FA64">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3EACA505">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color w:val="auto"/>
                <w:kern w:val="2"/>
                <w:sz w:val="21"/>
                <w:szCs w:val="21"/>
                <w:highlight w:val="none"/>
                <w:lang w:val="en-US" w:eastAsia="zh-CN" w:bidi="ar-SA"/>
              </w:rPr>
              <w:t>0.002L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6ED80809">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0.002L</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018AB00D">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color w:val="auto"/>
                <w:kern w:val="2"/>
                <w:sz w:val="21"/>
                <w:szCs w:val="21"/>
                <w:highlight w:val="none"/>
                <w:lang w:val="en-US" w:eastAsia="zh-CN" w:bidi="ar-SA"/>
              </w:rPr>
              <w:t>0.002L</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784DFBE7">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≤0.08</w:t>
            </w:r>
          </w:p>
        </w:tc>
      </w:tr>
      <w:tr w14:paraId="19FE3C7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3D47BF6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39</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090ED8B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硒</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7BD465AE">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727370C5">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color w:val="auto"/>
                <w:kern w:val="2"/>
                <w:sz w:val="21"/>
                <w:szCs w:val="21"/>
                <w:highlight w:val="none"/>
                <w:lang w:val="en-US" w:eastAsia="zh-CN" w:bidi="ar-SA"/>
              </w:rPr>
              <w:t>0.0004L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0BFA947A">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0.0004L</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45904E2F">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color w:val="auto"/>
                <w:kern w:val="2"/>
                <w:sz w:val="21"/>
                <w:szCs w:val="21"/>
                <w:highlight w:val="none"/>
                <w:lang w:val="en-US" w:eastAsia="zh-CN" w:bidi="ar-SA"/>
              </w:rPr>
              <w:t>0.0004L</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1304CC5F">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≤0.01</w:t>
            </w:r>
          </w:p>
        </w:tc>
      </w:tr>
      <w:tr w14:paraId="45A2E4F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3FD7B42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40</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34CBC65E">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钠</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5E37099A">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006D771A">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55.6</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6327F273">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63.5</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3B7E3791">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69.0</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380B0B94">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≤200</w:t>
            </w:r>
          </w:p>
        </w:tc>
      </w:tr>
      <w:tr w14:paraId="72D5669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27C48B0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41</w:t>
            </w:r>
          </w:p>
        </w:tc>
        <w:tc>
          <w:tcPr>
            <w:tcW w:w="2300" w:type="dxa"/>
            <w:tcBorders>
              <w:top w:val="single" w:color="auto" w:sz="4" w:space="0"/>
              <w:left w:val="single" w:color="auto" w:sz="4" w:space="0"/>
              <w:bottom w:val="single" w:color="auto" w:sz="4" w:space="0"/>
              <w:right w:val="single" w:color="auto" w:sz="4" w:space="0"/>
            </w:tcBorders>
            <w:noWrap w:val="0"/>
            <w:vAlign w:val="center"/>
          </w:tcPr>
          <w:p w14:paraId="22F4D6E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氟化物</w:t>
            </w:r>
          </w:p>
        </w:tc>
        <w:tc>
          <w:tcPr>
            <w:tcW w:w="1203" w:type="dxa"/>
            <w:tcBorders>
              <w:top w:val="single" w:color="auto" w:sz="4" w:space="0"/>
              <w:left w:val="single" w:color="auto" w:sz="4" w:space="0"/>
              <w:bottom w:val="single" w:color="auto" w:sz="4" w:space="0"/>
              <w:right w:val="single" w:color="auto" w:sz="4" w:space="0"/>
            </w:tcBorders>
            <w:noWrap w:val="0"/>
            <w:vAlign w:val="center"/>
          </w:tcPr>
          <w:p w14:paraId="6CC943BF">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67A2D0A6">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0.87</w:t>
            </w:r>
          </w:p>
        </w:tc>
        <w:tc>
          <w:tcPr>
            <w:tcW w:w="1777" w:type="dxa"/>
            <w:tcBorders>
              <w:top w:val="single" w:color="auto" w:sz="4" w:space="0"/>
              <w:left w:val="single" w:color="auto" w:sz="4" w:space="0"/>
              <w:bottom w:val="single" w:color="auto" w:sz="4" w:space="0"/>
              <w:right w:val="single" w:color="auto" w:sz="4" w:space="0"/>
            </w:tcBorders>
            <w:noWrap w:val="0"/>
            <w:vAlign w:val="center"/>
          </w:tcPr>
          <w:p w14:paraId="5B5CEE34">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0.81</w:t>
            </w:r>
          </w:p>
        </w:tc>
        <w:tc>
          <w:tcPr>
            <w:tcW w:w="1779" w:type="dxa"/>
            <w:tcBorders>
              <w:top w:val="single" w:color="auto" w:sz="4" w:space="0"/>
              <w:left w:val="single" w:color="auto" w:sz="4" w:space="0"/>
              <w:bottom w:val="single" w:color="auto" w:sz="4" w:space="0"/>
              <w:right w:val="single" w:color="auto" w:sz="4" w:space="0"/>
            </w:tcBorders>
            <w:noWrap w:val="0"/>
            <w:vAlign w:val="center"/>
          </w:tcPr>
          <w:p w14:paraId="2A9EC779">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0.92</w:t>
            </w:r>
          </w:p>
        </w:tc>
        <w:tc>
          <w:tcPr>
            <w:tcW w:w="1144" w:type="dxa"/>
            <w:tcBorders>
              <w:top w:val="single" w:color="auto" w:sz="4" w:space="0"/>
              <w:left w:val="single" w:color="auto" w:sz="4" w:space="0"/>
              <w:bottom w:val="single" w:color="auto" w:sz="4" w:space="0"/>
              <w:right w:val="single" w:color="auto" w:sz="4" w:space="0"/>
            </w:tcBorders>
            <w:noWrap w:val="0"/>
            <w:vAlign w:val="center"/>
          </w:tcPr>
          <w:p w14:paraId="62746730">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w:t>
            </w:r>
          </w:p>
        </w:tc>
      </w:tr>
      <w:tr w14:paraId="7E3A0C9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666" w:type="dxa"/>
            <w:tcBorders>
              <w:top w:val="single" w:color="auto" w:sz="4" w:space="0"/>
              <w:bottom w:val="single" w:color="auto" w:sz="4" w:space="0"/>
              <w:right w:val="single" w:color="auto" w:sz="4" w:space="0"/>
            </w:tcBorders>
            <w:noWrap w:val="0"/>
            <w:vAlign w:val="center"/>
          </w:tcPr>
          <w:p w14:paraId="0927252C">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备注</w:t>
            </w:r>
          </w:p>
        </w:tc>
        <w:tc>
          <w:tcPr>
            <w:tcW w:w="9980" w:type="dxa"/>
            <w:gridSpan w:val="6"/>
            <w:tcBorders>
              <w:top w:val="single" w:color="auto" w:sz="4" w:space="0"/>
              <w:left w:val="single" w:color="auto" w:sz="4" w:space="0"/>
              <w:bottom w:val="single" w:color="auto" w:sz="4" w:space="0"/>
              <w:right w:val="single" w:color="auto" w:sz="4" w:space="0"/>
            </w:tcBorders>
            <w:noWrap w:val="0"/>
            <w:vAlign w:val="center"/>
          </w:tcPr>
          <w:p w14:paraId="3F68AA5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1.检测点位和执行标准由委托方提供，地下水执行《地下水质量标准》（GB/T14848-2017）Ⅲ类标准；</w:t>
            </w:r>
          </w:p>
          <w:p w14:paraId="528EE79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2.“L”表示未检出或低于检出限，检出限详见检测方法一览表。</w:t>
            </w:r>
          </w:p>
        </w:tc>
      </w:tr>
    </w:tbl>
    <w:p w14:paraId="1821BFB4">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bookmarkStart w:id="336" w:name="_Toc436308537"/>
      <w:bookmarkStart w:id="337" w:name="_Toc346129905"/>
      <w:bookmarkStart w:id="338" w:name="_Toc386049607"/>
      <w:bookmarkStart w:id="339" w:name="_Toc346615961"/>
      <w:bookmarkStart w:id="340" w:name="_Toc491351713"/>
      <w:bookmarkStart w:id="341" w:name="_Toc346129694"/>
      <w:bookmarkStart w:id="342" w:name="_Toc439163213"/>
      <w:bookmarkStart w:id="343" w:name="_Toc491351852"/>
      <w:bookmarkStart w:id="344" w:name="_Toc439163836"/>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、现状评价</w:t>
      </w:r>
    </w:p>
    <w:p w14:paraId="6420737F">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（1）评价标准</w:t>
      </w:r>
      <w:bookmarkEnd w:id="336"/>
      <w:bookmarkEnd w:id="337"/>
      <w:bookmarkEnd w:id="338"/>
      <w:bookmarkEnd w:id="339"/>
      <w:bookmarkEnd w:id="340"/>
      <w:bookmarkEnd w:id="341"/>
      <w:bookmarkEnd w:id="342"/>
      <w:bookmarkEnd w:id="343"/>
      <w:bookmarkEnd w:id="344"/>
    </w:p>
    <w:p w14:paraId="23F4D16E">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bookmarkStart w:id="345" w:name="_Ref432775268"/>
      <w:r>
        <w:rPr>
          <w:rFonts w:hint="default" w:ascii="Times New Roman" w:hAnsi="Times New Roman" w:eastAsia="宋体" w:cs="Times New Roman"/>
          <w:color w:val="auto"/>
          <w:highlight w:val="none"/>
        </w:rPr>
        <w:t>本次地下水水质现状评价，检测项目均执行《</w:t>
      </w:r>
      <w:r>
        <w:rPr>
          <w:rFonts w:hint="default" w:ascii="Times New Roman" w:hAnsi="Times New Roman" w:eastAsia="宋体" w:cs="Times New Roman"/>
          <w:color w:val="auto"/>
          <w:highlight w:val="none"/>
          <w:lang w:eastAsia="zh-CN"/>
        </w:rPr>
        <w:t>地下水质量标准</w:t>
      </w:r>
      <w:r>
        <w:rPr>
          <w:rFonts w:hint="default" w:ascii="Times New Roman" w:hAnsi="Times New Roman" w:eastAsia="宋体" w:cs="Times New Roman"/>
          <w:color w:val="auto"/>
          <w:highlight w:val="none"/>
        </w:rPr>
        <w:t>》（GB/T14848</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2017）的</w:t>
      </w:r>
      <w:r>
        <w:rPr>
          <w:rFonts w:hint="default" w:ascii="Times New Roman" w:hAnsi="Times New Roman" w:eastAsia="宋体" w:cs="Times New Roman"/>
          <w:color w:val="auto"/>
          <w:highlight w:val="none"/>
          <w:lang w:eastAsia="zh-CN"/>
        </w:rPr>
        <w:t>Ⅲ</w:t>
      </w:r>
      <w:r>
        <w:rPr>
          <w:rFonts w:hint="default" w:ascii="Times New Roman" w:hAnsi="Times New Roman" w:eastAsia="宋体" w:cs="Times New Roman"/>
          <w:color w:val="auto"/>
          <w:highlight w:val="none"/>
        </w:rPr>
        <w:t>类标准。</w:t>
      </w:r>
    </w:p>
    <w:bookmarkEnd w:id="345"/>
    <w:p w14:paraId="64684EE7">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（2）评价方法</w:t>
      </w:r>
    </w:p>
    <w:p w14:paraId="273A88D8">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采用单因子标准指数法进行评价。当水质参数的标准指数大于1时，表明该水质参数超过了规定的水质标准，已经不能满足相应的使用要求。标准指数值越大，超标越严重。标准指数计算公式分为以下两种情况：</w:t>
      </w:r>
    </w:p>
    <w:p w14:paraId="70AB2BA0">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1）对于评价标准为定值的水质因子，其标准指数计算公式如下：</w:t>
      </w:r>
    </w:p>
    <w:p w14:paraId="63A1C7C1">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p>
    <w:p w14:paraId="792B32CF">
      <w:pPr>
        <w:pageBreakBefore w:val="0"/>
        <w:widowControl w:val="0"/>
        <w:kinsoku/>
        <w:wordWrap/>
        <w:overflowPunct/>
        <w:topLinePunct/>
        <w:autoSpaceDE w:val="0"/>
        <w:autoSpaceDN/>
        <w:bidi w:val="0"/>
        <w:adjustRightInd/>
        <w:snapToGrid w:val="0"/>
        <w:spacing w:line="360" w:lineRule="auto"/>
        <w:ind w:left="0" w:leftChars="0" w:right="0" w:rightChars="0" w:firstLine="0" w:firstLineChars="0"/>
        <w:textAlignment w:val="auto"/>
        <w:rPr>
          <w:rFonts w:hint="default" w:ascii="Times New Roman" w:hAnsi="Times New Roman" w:eastAsia="宋体" w:cs="Times New Roman"/>
          <w:color w:val="auto"/>
          <w:highlight w:val="none"/>
        </w:rPr>
      </w:pPr>
      <m:oMathPara>
        <m:oMathParaPr>
          <m:jc m:val="center"/>
        </m:oMathParaPr>
        <m:oMath>
          <m:sSub>
            <m:sSubPr>
              <m:ctrlPr>
                <w:rPr>
                  <w:rFonts w:hint="default" w:ascii="Cambria Math" w:hAnsi="Cambria Math" w:eastAsia="宋体" w:cs="Times New Roman"/>
                  <w:i/>
                  <w:color w:val="auto"/>
                  <w:szCs w:val="30"/>
                  <w:highlight w:val="none"/>
                </w:rPr>
              </m:ctrlPr>
            </m:sSubPr>
            <m:e>
              <m:r>
                <m:rPr/>
                <w:rPr>
                  <w:rFonts w:hint="default" w:ascii="Cambria Math" w:hAnsi="Cambria Math" w:eastAsia="宋体" w:cs="Times New Roman"/>
                  <w:color w:val="auto"/>
                  <w:highlight w:val="none"/>
                </w:rPr>
                <m:t>P</m:t>
              </m:r>
              <m:ctrlPr>
                <w:rPr>
                  <w:rFonts w:hint="default" w:ascii="Cambria Math" w:hAnsi="Cambria Math" w:eastAsia="宋体" w:cs="Times New Roman"/>
                  <w:i/>
                  <w:color w:val="auto"/>
                  <w:szCs w:val="30"/>
                  <w:highlight w:val="none"/>
                </w:rPr>
              </m:ctrlPr>
            </m:e>
            <m:sub>
              <m:r>
                <m:rPr/>
                <w:rPr>
                  <w:rFonts w:hint="default" w:ascii="Cambria Math" w:hAnsi="Cambria Math" w:eastAsia="宋体" w:cs="Times New Roman"/>
                  <w:color w:val="auto"/>
                  <w:highlight w:val="none"/>
                </w:rPr>
                <m:t>i</m:t>
              </m:r>
              <m:ctrlPr>
                <w:rPr>
                  <w:rFonts w:hint="default" w:ascii="Cambria Math" w:hAnsi="Cambria Math" w:eastAsia="宋体" w:cs="Times New Roman"/>
                  <w:i/>
                  <w:color w:val="auto"/>
                  <w:szCs w:val="30"/>
                  <w:highlight w:val="none"/>
                </w:rPr>
              </m:ctrlPr>
            </m:sub>
          </m:sSub>
          <m:r>
            <m:rPr/>
            <w:rPr>
              <w:rFonts w:hint="default" w:ascii="Cambria Math" w:hAnsi="Cambria Math" w:eastAsia="宋体" w:cs="Times New Roman"/>
              <w:color w:val="auto"/>
              <w:highlight w:val="none"/>
            </w:rPr>
            <m:t>=</m:t>
          </m:r>
          <m:f>
            <m:fPr>
              <m:ctrlPr>
                <w:rPr>
                  <w:rFonts w:hint="default" w:ascii="Cambria Math" w:hAnsi="Cambria Math" w:eastAsia="宋体" w:cs="Times New Roman"/>
                  <w:i/>
                  <w:color w:val="auto"/>
                  <w:szCs w:val="30"/>
                  <w:highlight w:val="none"/>
                </w:rPr>
              </m:ctrlPr>
            </m:fPr>
            <m:num>
              <m:sSub>
                <m:sSubPr>
                  <m:ctrlPr>
                    <w:rPr>
                      <w:rFonts w:hint="default" w:ascii="Cambria Math" w:hAnsi="Cambria Math" w:eastAsia="宋体" w:cs="Times New Roman"/>
                      <w:i/>
                      <w:color w:val="auto"/>
                      <w:szCs w:val="30"/>
                      <w:highlight w:val="none"/>
                    </w:rPr>
                  </m:ctrlPr>
                </m:sSubPr>
                <m:e>
                  <m:r>
                    <m:rPr/>
                    <w:rPr>
                      <w:rFonts w:hint="default" w:ascii="Cambria Math" w:hAnsi="Cambria Math" w:eastAsia="宋体" w:cs="Times New Roman"/>
                      <w:color w:val="auto"/>
                      <w:highlight w:val="none"/>
                    </w:rPr>
                    <m:t>C</m:t>
                  </m:r>
                  <m:ctrlPr>
                    <w:rPr>
                      <w:rFonts w:hint="default" w:ascii="Cambria Math" w:hAnsi="Cambria Math" w:eastAsia="宋体" w:cs="Times New Roman"/>
                      <w:i/>
                      <w:color w:val="auto"/>
                      <w:szCs w:val="30"/>
                      <w:highlight w:val="none"/>
                    </w:rPr>
                  </m:ctrlPr>
                </m:e>
                <m:sub>
                  <m:r>
                    <m:rPr/>
                    <w:rPr>
                      <w:rFonts w:hint="default" w:ascii="Cambria Math" w:hAnsi="Cambria Math" w:eastAsia="宋体" w:cs="Times New Roman"/>
                      <w:color w:val="auto"/>
                      <w:highlight w:val="none"/>
                    </w:rPr>
                    <m:t>i</m:t>
                  </m:r>
                  <m:ctrlPr>
                    <w:rPr>
                      <w:rFonts w:hint="default" w:ascii="Cambria Math" w:hAnsi="Cambria Math" w:eastAsia="宋体" w:cs="Times New Roman"/>
                      <w:i/>
                      <w:color w:val="auto"/>
                      <w:szCs w:val="30"/>
                      <w:highlight w:val="none"/>
                    </w:rPr>
                  </m:ctrlPr>
                </m:sub>
              </m:sSub>
              <m:ctrlPr>
                <w:rPr>
                  <w:rFonts w:hint="default" w:ascii="Cambria Math" w:hAnsi="Cambria Math" w:eastAsia="宋体" w:cs="Times New Roman"/>
                  <w:i/>
                  <w:color w:val="auto"/>
                  <w:szCs w:val="30"/>
                  <w:highlight w:val="none"/>
                </w:rPr>
              </m:ctrlPr>
            </m:num>
            <m:den>
              <m:sSub>
                <m:sSubPr>
                  <m:ctrlPr>
                    <w:rPr>
                      <w:rFonts w:hint="default" w:ascii="Cambria Math" w:hAnsi="Cambria Math" w:eastAsia="宋体" w:cs="Times New Roman"/>
                      <w:i/>
                      <w:color w:val="auto"/>
                      <w:szCs w:val="30"/>
                      <w:highlight w:val="none"/>
                    </w:rPr>
                  </m:ctrlPr>
                </m:sSubPr>
                <m:e>
                  <m:r>
                    <m:rPr/>
                    <w:rPr>
                      <w:rFonts w:hint="default" w:ascii="Cambria Math" w:hAnsi="Cambria Math" w:eastAsia="宋体" w:cs="Times New Roman"/>
                      <w:color w:val="auto"/>
                      <w:highlight w:val="none"/>
                    </w:rPr>
                    <m:t>C</m:t>
                  </m:r>
                  <m:ctrlPr>
                    <w:rPr>
                      <w:rFonts w:hint="default" w:ascii="Cambria Math" w:hAnsi="Cambria Math" w:eastAsia="宋体" w:cs="Times New Roman"/>
                      <w:i/>
                      <w:color w:val="auto"/>
                      <w:szCs w:val="30"/>
                      <w:highlight w:val="none"/>
                    </w:rPr>
                  </m:ctrlPr>
                </m:e>
                <m:sub>
                  <m:r>
                    <m:rPr/>
                    <w:rPr>
                      <w:rFonts w:hint="default" w:ascii="Cambria Math" w:hAnsi="Cambria Math" w:eastAsia="宋体" w:cs="Times New Roman"/>
                      <w:color w:val="auto"/>
                      <w:highlight w:val="none"/>
                    </w:rPr>
                    <m:t>si</m:t>
                  </m:r>
                  <m:ctrlPr>
                    <w:rPr>
                      <w:rFonts w:hint="default" w:ascii="Cambria Math" w:hAnsi="Cambria Math" w:eastAsia="宋体" w:cs="Times New Roman"/>
                      <w:i/>
                      <w:color w:val="auto"/>
                      <w:szCs w:val="30"/>
                      <w:highlight w:val="none"/>
                    </w:rPr>
                  </m:ctrlPr>
                </m:sub>
              </m:sSub>
              <m:ctrlPr>
                <w:rPr>
                  <w:rFonts w:hint="default" w:ascii="Cambria Math" w:hAnsi="Cambria Math" w:eastAsia="宋体" w:cs="Times New Roman"/>
                  <w:i/>
                  <w:color w:val="auto"/>
                  <w:szCs w:val="30"/>
                  <w:highlight w:val="none"/>
                </w:rPr>
              </m:ctrlPr>
            </m:den>
          </m:f>
        </m:oMath>
      </m:oMathPara>
    </w:p>
    <w:p w14:paraId="0654B826">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p>
    <w:p w14:paraId="2FB7223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m:oMath>
        <m:sSub>
          <m:sSubPr>
            <m:ctrlPr>
              <w:rPr>
                <w:rFonts w:hint="default" w:ascii="Cambria Math" w:hAnsi="Cambria Math" w:eastAsia="宋体" w:cs="Times New Roman"/>
                <w:i/>
                <w:color w:val="auto"/>
                <w:szCs w:val="30"/>
                <w:highlight w:val="none"/>
              </w:rPr>
            </m:ctrlPr>
          </m:sSubPr>
          <m:e>
            <m:r>
              <m:rPr/>
              <w:rPr>
                <w:rFonts w:hint="default" w:ascii="Cambria Math" w:hAnsi="Cambria Math" w:eastAsia="宋体" w:cs="Times New Roman"/>
                <w:color w:val="auto"/>
                <w:highlight w:val="none"/>
              </w:rPr>
              <m:t>P</m:t>
            </m:r>
            <m:ctrlPr>
              <w:rPr>
                <w:rFonts w:hint="default" w:ascii="Cambria Math" w:hAnsi="Cambria Math" w:eastAsia="宋体" w:cs="Times New Roman"/>
                <w:i/>
                <w:color w:val="auto"/>
                <w:szCs w:val="30"/>
                <w:highlight w:val="none"/>
              </w:rPr>
            </m:ctrlPr>
          </m:e>
          <m:sub>
            <m:r>
              <m:rPr/>
              <w:rPr>
                <w:rFonts w:hint="default" w:ascii="Cambria Math" w:hAnsi="Cambria Math" w:eastAsia="宋体" w:cs="Times New Roman"/>
                <w:color w:val="auto"/>
                <w:highlight w:val="none"/>
              </w:rPr>
              <m:t>i</m:t>
            </m:r>
            <m:ctrlPr>
              <w:rPr>
                <w:rFonts w:hint="default" w:ascii="Cambria Math" w:hAnsi="Cambria Math" w:eastAsia="宋体" w:cs="Times New Roman"/>
                <w:i/>
                <w:color w:val="auto"/>
                <w:szCs w:val="30"/>
                <w:highlight w:val="none"/>
              </w:rPr>
            </m:ctrlPr>
          </m:sub>
        </m:sSub>
      </m:oMath>
      <w:r>
        <w:rPr>
          <w:rFonts w:hint="default" w:ascii="Times New Roman" w:hAnsi="Times New Roman" w:eastAsia="宋体" w:cs="Times New Roman"/>
          <w:color w:val="auto"/>
          <w:highlight w:val="none"/>
        </w:rPr>
        <w:t>—第i个水质因子的标准指数，量纲为1；</w:t>
      </w:r>
    </w:p>
    <w:p w14:paraId="07AB1146">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m:oMath>
        <m:sSub>
          <m:sSubPr>
            <m:ctrlPr>
              <w:rPr>
                <w:rFonts w:hint="default" w:ascii="Cambria Math" w:hAnsi="Cambria Math" w:eastAsia="宋体" w:cs="Times New Roman"/>
                <w:i/>
                <w:color w:val="auto"/>
                <w:szCs w:val="30"/>
                <w:highlight w:val="none"/>
              </w:rPr>
            </m:ctrlPr>
          </m:sSubPr>
          <m:e>
            <m:r>
              <m:rPr/>
              <w:rPr>
                <w:rFonts w:hint="default" w:ascii="Cambria Math" w:hAnsi="Cambria Math" w:eastAsia="宋体" w:cs="Times New Roman"/>
                <w:color w:val="auto"/>
                <w:highlight w:val="none"/>
              </w:rPr>
              <m:t>C</m:t>
            </m:r>
            <m:ctrlPr>
              <w:rPr>
                <w:rFonts w:hint="default" w:ascii="Cambria Math" w:hAnsi="Cambria Math" w:eastAsia="宋体" w:cs="Times New Roman"/>
                <w:i/>
                <w:color w:val="auto"/>
                <w:szCs w:val="30"/>
                <w:highlight w:val="none"/>
              </w:rPr>
            </m:ctrlPr>
          </m:e>
          <m:sub>
            <m:r>
              <m:rPr/>
              <w:rPr>
                <w:rFonts w:hint="default" w:ascii="Cambria Math" w:hAnsi="Cambria Math" w:eastAsia="宋体" w:cs="Times New Roman"/>
                <w:color w:val="auto"/>
                <w:highlight w:val="none"/>
              </w:rPr>
              <m:t>i</m:t>
            </m:r>
            <m:ctrlPr>
              <w:rPr>
                <w:rFonts w:hint="default" w:ascii="Cambria Math" w:hAnsi="Cambria Math" w:eastAsia="宋体" w:cs="Times New Roman"/>
                <w:i/>
                <w:color w:val="auto"/>
                <w:szCs w:val="30"/>
                <w:highlight w:val="none"/>
              </w:rPr>
            </m:ctrlPr>
          </m:sub>
        </m:sSub>
      </m:oMath>
      <w:r>
        <w:rPr>
          <w:rFonts w:hint="default" w:ascii="Times New Roman" w:hAnsi="Times New Roman" w:eastAsia="宋体" w:cs="Times New Roman"/>
          <w:color w:val="auto"/>
          <w:highlight w:val="none"/>
        </w:rPr>
        <w:t>—第i个水质因子的监测浓度值，mg/L；</w:t>
      </w:r>
    </w:p>
    <w:p w14:paraId="497A1E65">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m:oMath>
        <m:sSub>
          <m:sSubPr>
            <m:ctrlPr>
              <w:rPr>
                <w:rFonts w:hint="default" w:ascii="Cambria Math" w:hAnsi="Cambria Math" w:eastAsia="宋体" w:cs="Times New Roman"/>
                <w:i/>
                <w:color w:val="auto"/>
                <w:szCs w:val="30"/>
                <w:highlight w:val="none"/>
              </w:rPr>
            </m:ctrlPr>
          </m:sSubPr>
          <m:e>
            <m:r>
              <m:rPr/>
              <w:rPr>
                <w:rFonts w:hint="default" w:ascii="Cambria Math" w:hAnsi="Cambria Math" w:eastAsia="宋体" w:cs="Times New Roman"/>
                <w:color w:val="auto"/>
                <w:highlight w:val="none"/>
              </w:rPr>
              <m:t>C</m:t>
            </m:r>
            <m:ctrlPr>
              <w:rPr>
                <w:rFonts w:hint="default" w:ascii="Cambria Math" w:hAnsi="Cambria Math" w:eastAsia="宋体" w:cs="Times New Roman"/>
                <w:i/>
                <w:color w:val="auto"/>
                <w:szCs w:val="30"/>
                <w:highlight w:val="none"/>
              </w:rPr>
            </m:ctrlPr>
          </m:e>
          <m:sub>
            <m:r>
              <m:rPr/>
              <w:rPr>
                <w:rFonts w:hint="default" w:ascii="Cambria Math" w:hAnsi="Cambria Math" w:eastAsia="宋体" w:cs="Times New Roman"/>
                <w:color w:val="auto"/>
                <w:highlight w:val="none"/>
              </w:rPr>
              <m:t>si</m:t>
            </m:r>
            <m:ctrlPr>
              <w:rPr>
                <w:rFonts w:hint="default" w:ascii="Cambria Math" w:hAnsi="Cambria Math" w:eastAsia="宋体" w:cs="Times New Roman"/>
                <w:i/>
                <w:color w:val="auto"/>
                <w:szCs w:val="30"/>
                <w:highlight w:val="none"/>
              </w:rPr>
            </m:ctrlPr>
          </m:sub>
        </m:sSub>
      </m:oMath>
      <w:r>
        <w:rPr>
          <w:rFonts w:hint="default" w:ascii="Times New Roman" w:hAnsi="Times New Roman" w:eastAsia="宋体" w:cs="Times New Roman"/>
          <w:color w:val="auto"/>
          <w:highlight w:val="none"/>
        </w:rPr>
        <w:t>—第i个水质因子的标准浓度值，mg/L。</w:t>
      </w:r>
    </w:p>
    <w:p w14:paraId="22CDDEB6">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2）对于评价标准为区间值的水质因子（如pH值），其标准指数计算公式如下：</w:t>
      </w:r>
    </w:p>
    <w:p w14:paraId="79D90437">
      <w:pPr>
        <w:pageBreakBefore w:val="0"/>
        <w:widowControl w:val="0"/>
        <w:kinsoku/>
        <w:wordWrap/>
        <w:overflowPunct/>
        <w:topLinePunct/>
        <w:autoSpaceDE w:val="0"/>
        <w:autoSpaceDN/>
        <w:bidi w:val="0"/>
        <w:adjustRightInd/>
        <w:snapToGrid w:val="0"/>
        <w:spacing w:line="360" w:lineRule="auto"/>
        <w:ind w:left="0" w:leftChars="0" w:right="0" w:rightChars="0" w:firstLine="0" w:firstLineChars="0"/>
        <w:textAlignment w:val="auto"/>
        <w:rPr>
          <w:rFonts w:hint="default" w:ascii="Times New Roman" w:hAnsi="Times New Roman" w:eastAsia="宋体" w:cs="Times New Roman"/>
          <w:color w:val="auto"/>
          <w:highlight w:val="none"/>
        </w:rPr>
      </w:pPr>
      <m:oMathPara>
        <m:oMathParaPr>
          <m:jc m:val="center"/>
        </m:oMathParaPr>
        <m:oMath>
          <m:sSub>
            <m:sSubPr>
              <m:ctrlPr>
                <w:rPr>
                  <w:rFonts w:hint="default" w:ascii="Cambria Math" w:hAnsi="Cambria Math" w:eastAsia="宋体" w:cs="Times New Roman"/>
                  <w:i/>
                  <w:color w:val="auto"/>
                  <w:szCs w:val="30"/>
                  <w:highlight w:val="none"/>
                </w:rPr>
              </m:ctrlPr>
            </m:sSubPr>
            <m:e>
              <m:r>
                <m:rPr/>
                <w:rPr>
                  <w:rFonts w:hint="default" w:ascii="Cambria Math" w:hAnsi="Cambria Math" w:eastAsia="宋体" w:cs="Times New Roman"/>
                  <w:color w:val="auto"/>
                  <w:highlight w:val="none"/>
                </w:rPr>
                <m:t>P</m:t>
              </m:r>
              <m:ctrlPr>
                <w:rPr>
                  <w:rFonts w:hint="default" w:ascii="Cambria Math" w:hAnsi="Cambria Math" w:eastAsia="宋体" w:cs="Times New Roman"/>
                  <w:i/>
                  <w:color w:val="auto"/>
                  <w:szCs w:val="30"/>
                  <w:highlight w:val="none"/>
                </w:rPr>
              </m:ctrlPr>
            </m:e>
            <m:sub>
              <m:r>
                <m:rPr/>
                <w:rPr>
                  <w:rFonts w:hint="default" w:ascii="Cambria Math" w:hAnsi="Cambria Math" w:eastAsia="宋体" w:cs="Times New Roman"/>
                  <w:color w:val="auto"/>
                  <w:highlight w:val="none"/>
                </w:rPr>
                <m:t>pH</m:t>
              </m:r>
              <m:ctrlPr>
                <w:rPr>
                  <w:rFonts w:hint="default" w:ascii="Cambria Math" w:hAnsi="Cambria Math" w:eastAsia="宋体" w:cs="Times New Roman"/>
                  <w:i/>
                  <w:color w:val="auto"/>
                  <w:szCs w:val="30"/>
                  <w:highlight w:val="none"/>
                </w:rPr>
              </m:ctrlPr>
            </m:sub>
          </m:sSub>
          <m:r>
            <m:rPr/>
            <w:rPr>
              <w:rFonts w:hint="default" w:ascii="Cambria Math" w:hAnsi="Cambria Math" w:eastAsia="宋体" w:cs="Times New Roman"/>
              <w:color w:val="auto"/>
              <w:highlight w:val="none"/>
            </w:rPr>
            <m:t>=</m:t>
          </m:r>
          <m:f>
            <m:fPr>
              <m:ctrlPr>
                <w:rPr>
                  <w:rFonts w:hint="default" w:ascii="Cambria Math" w:hAnsi="Cambria Math" w:eastAsia="宋体" w:cs="Times New Roman"/>
                  <w:i/>
                  <w:color w:val="auto"/>
                  <w:szCs w:val="30"/>
                  <w:highlight w:val="none"/>
                </w:rPr>
              </m:ctrlPr>
            </m:fPr>
            <m:num>
              <m:r>
                <m:rPr/>
                <w:rPr>
                  <w:rFonts w:hint="default" w:ascii="Cambria Math" w:hAnsi="Cambria Math" w:eastAsia="宋体" w:cs="Times New Roman"/>
                  <w:color w:val="auto"/>
                  <w:highlight w:val="none"/>
                </w:rPr>
                <m:t>7.0−pH</m:t>
              </m:r>
              <m:ctrlPr>
                <w:rPr>
                  <w:rFonts w:hint="default" w:ascii="Cambria Math" w:hAnsi="Cambria Math" w:eastAsia="宋体" w:cs="Times New Roman"/>
                  <w:i/>
                  <w:color w:val="auto"/>
                  <w:szCs w:val="30"/>
                  <w:highlight w:val="none"/>
                </w:rPr>
              </m:ctrlPr>
            </m:num>
            <m:den>
              <m:r>
                <m:rPr/>
                <w:rPr>
                  <w:rFonts w:hint="default" w:ascii="Cambria Math" w:hAnsi="Cambria Math" w:eastAsia="宋体" w:cs="Times New Roman"/>
                  <w:color w:val="auto"/>
                  <w:highlight w:val="none"/>
                </w:rPr>
                <m:t>7.0−</m:t>
              </m:r>
              <m:sSub>
                <m:sSubPr>
                  <m:ctrlPr>
                    <w:rPr>
                      <w:rFonts w:hint="default" w:ascii="Cambria Math" w:hAnsi="Cambria Math" w:eastAsia="宋体" w:cs="Times New Roman"/>
                      <w:i/>
                      <w:color w:val="auto"/>
                      <w:szCs w:val="30"/>
                      <w:highlight w:val="none"/>
                    </w:rPr>
                  </m:ctrlPr>
                </m:sSubPr>
                <m:e>
                  <m:r>
                    <m:rPr/>
                    <w:rPr>
                      <w:rFonts w:hint="default" w:ascii="Cambria Math" w:hAnsi="Cambria Math" w:eastAsia="宋体" w:cs="Times New Roman"/>
                      <w:color w:val="auto"/>
                      <w:highlight w:val="none"/>
                    </w:rPr>
                    <m:t>pH</m:t>
                  </m:r>
                  <m:ctrlPr>
                    <w:rPr>
                      <w:rFonts w:hint="default" w:ascii="Cambria Math" w:hAnsi="Cambria Math" w:eastAsia="宋体" w:cs="Times New Roman"/>
                      <w:i/>
                      <w:color w:val="auto"/>
                      <w:szCs w:val="30"/>
                      <w:highlight w:val="none"/>
                    </w:rPr>
                  </m:ctrlPr>
                </m:e>
                <m:sub>
                  <m:r>
                    <m:rPr/>
                    <w:rPr>
                      <w:rFonts w:hint="default" w:ascii="Cambria Math" w:hAnsi="Cambria Math" w:eastAsia="宋体" w:cs="Times New Roman"/>
                      <w:color w:val="auto"/>
                      <w:highlight w:val="none"/>
                    </w:rPr>
                    <m:t>sd</m:t>
                  </m:r>
                  <m:ctrlPr>
                    <w:rPr>
                      <w:rFonts w:hint="default" w:ascii="Cambria Math" w:hAnsi="Cambria Math" w:eastAsia="宋体" w:cs="Times New Roman"/>
                      <w:i/>
                      <w:color w:val="auto"/>
                      <w:szCs w:val="30"/>
                      <w:highlight w:val="none"/>
                    </w:rPr>
                  </m:ctrlPr>
                </m:sub>
              </m:sSub>
              <m:ctrlPr>
                <w:rPr>
                  <w:rFonts w:hint="default" w:ascii="Cambria Math" w:hAnsi="Cambria Math" w:eastAsia="宋体" w:cs="Times New Roman"/>
                  <w:i/>
                  <w:color w:val="auto"/>
                  <w:szCs w:val="30"/>
                  <w:highlight w:val="none"/>
                </w:rPr>
              </m:ctrlPr>
            </m:den>
          </m:f>
          <m:r>
            <m:rPr/>
            <w:rPr>
              <w:rFonts w:hint="default" w:ascii="Cambria Math" w:hAnsi="Cambria Math" w:eastAsia="宋体" w:cs="Times New Roman"/>
              <w:color w:val="auto"/>
              <w:highlight w:val="none"/>
            </w:rPr>
            <m:t xml:space="preserve"> pH</m:t>
          </m:r>
          <m:r>
            <m:rPr>
              <m:sty m:val="p"/>
            </m:rPr>
            <w:rPr>
              <w:rFonts w:hint="default" w:ascii="Cambria Math" w:hAnsi="Cambria Math" w:eastAsia="宋体" w:cs="Times New Roman"/>
              <w:color w:val="auto"/>
              <w:highlight w:val="none"/>
            </w:rPr>
            <m:t>≤7时</m:t>
          </m:r>
        </m:oMath>
      </m:oMathPara>
    </w:p>
    <w:p w14:paraId="1FADBFA6">
      <w:pPr>
        <w:pageBreakBefore w:val="0"/>
        <w:widowControl w:val="0"/>
        <w:kinsoku/>
        <w:wordWrap/>
        <w:overflowPunct/>
        <w:topLinePunct/>
        <w:autoSpaceDE w:val="0"/>
        <w:autoSpaceDN/>
        <w:bidi w:val="0"/>
        <w:adjustRightInd/>
        <w:snapToGrid w:val="0"/>
        <w:spacing w:line="360" w:lineRule="auto"/>
        <w:ind w:left="0" w:leftChars="0" w:right="0" w:rightChars="0" w:firstLine="0" w:firstLineChars="0"/>
        <w:textAlignment w:val="auto"/>
        <w:rPr>
          <w:rFonts w:hint="default" w:ascii="Times New Roman" w:hAnsi="Times New Roman" w:eastAsia="宋体" w:cs="Times New Roman"/>
          <w:color w:val="auto"/>
          <w:highlight w:val="none"/>
        </w:rPr>
      </w:pPr>
      <m:oMathPara>
        <m:oMathParaPr>
          <m:jc m:val="center"/>
        </m:oMathParaPr>
        <m:oMath>
          <m:sSub>
            <m:sSubPr>
              <m:ctrlPr>
                <w:rPr>
                  <w:rFonts w:hint="default" w:ascii="Cambria Math" w:hAnsi="Cambria Math" w:eastAsia="宋体" w:cs="Times New Roman"/>
                  <w:i/>
                  <w:color w:val="auto"/>
                  <w:szCs w:val="30"/>
                  <w:highlight w:val="none"/>
                </w:rPr>
              </m:ctrlPr>
            </m:sSubPr>
            <m:e>
              <m:r>
                <m:rPr/>
                <w:rPr>
                  <w:rFonts w:hint="default" w:ascii="Cambria Math" w:hAnsi="Cambria Math" w:eastAsia="宋体" w:cs="Times New Roman"/>
                  <w:color w:val="auto"/>
                  <w:highlight w:val="none"/>
                </w:rPr>
                <m:t>P</m:t>
              </m:r>
              <m:ctrlPr>
                <w:rPr>
                  <w:rFonts w:hint="default" w:ascii="Cambria Math" w:hAnsi="Cambria Math" w:eastAsia="宋体" w:cs="Times New Roman"/>
                  <w:i/>
                  <w:color w:val="auto"/>
                  <w:szCs w:val="30"/>
                  <w:highlight w:val="none"/>
                </w:rPr>
              </m:ctrlPr>
            </m:e>
            <m:sub>
              <m:r>
                <m:rPr/>
                <w:rPr>
                  <w:rFonts w:hint="default" w:ascii="Cambria Math" w:hAnsi="Cambria Math" w:eastAsia="宋体" w:cs="Times New Roman"/>
                  <w:color w:val="auto"/>
                  <w:highlight w:val="none"/>
                </w:rPr>
                <m:t>pH</m:t>
              </m:r>
              <m:ctrlPr>
                <w:rPr>
                  <w:rFonts w:hint="default" w:ascii="Cambria Math" w:hAnsi="Cambria Math" w:eastAsia="宋体" w:cs="Times New Roman"/>
                  <w:i/>
                  <w:color w:val="auto"/>
                  <w:szCs w:val="30"/>
                  <w:highlight w:val="none"/>
                </w:rPr>
              </m:ctrlPr>
            </m:sub>
          </m:sSub>
          <m:r>
            <m:rPr/>
            <w:rPr>
              <w:rFonts w:hint="default" w:ascii="Cambria Math" w:hAnsi="Cambria Math" w:eastAsia="宋体" w:cs="Times New Roman"/>
              <w:color w:val="auto"/>
              <w:highlight w:val="none"/>
            </w:rPr>
            <m:t>=</m:t>
          </m:r>
          <m:f>
            <m:fPr>
              <m:ctrlPr>
                <w:rPr>
                  <w:rFonts w:hint="default" w:ascii="Cambria Math" w:hAnsi="Cambria Math" w:eastAsia="宋体" w:cs="Times New Roman"/>
                  <w:i/>
                  <w:color w:val="auto"/>
                  <w:szCs w:val="30"/>
                  <w:highlight w:val="none"/>
                </w:rPr>
              </m:ctrlPr>
            </m:fPr>
            <m:num>
              <m:r>
                <m:rPr/>
                <w:rPr>
                  <w:rFonts w:hint="default" w:ascii="Cambria Math" w:hAnsi="Cambria Math" w:eastAsia="宋体" w:cs="Times New Roman"/>
                  <w:color w:val="auto"/>
                  <w:highlight w:val="none"/>
                </w:rPr>
                <m:t>pH−</m:t>
              </m:r>
              <m:r>
                <m:rPr>
                  <m:sty m:val="p"/>
                </m:rPr>
                <w:rPr>
                  <w:rFonts w:hint="default" w:ascii="Cambria Math" w:hAnsi="Cambria Math" w:eastAsia="宋体" w:cs="Times New Roman"/>
                  <w:color w:val="auto"/>
                  <w:highlight w:val="none"/>
                </w:rPr>
                <m:t>7.0</m:t>
              </m:r>
              <m:ctrlPr>
                <w:rPr>
                  <w:rFonts w:hint="default" w:ascii="Cambria Math" w:hAnsi="Cambria Math" w:eastAsia="宋体" w:cs="Times New Roman"/>
                  <w:i/>
                  <w:color w:val="auto"/>
                  <w:szCs w:val="30"/>
                  <w:highlight w:val="none"/>
                </w:rPr>
              </m:ctrlPr>
            </m:num>
            <m:den>
              <m:sSub>
                <m:sSubPr>
                  <m:ctrlPr>
                    <w:rPr>
                      <w:rFonts w:hint="default" w:ascii="Cambria Math" w:hAnsi="Cambria Math" w:eastAsia="宋体" w:cs="Times New Roman"/>
                      <w:i/>
                      <w:color w:val="auto"/>
                      <w:szCs w:val="30"/>
                      <w:highlight w:val="none"/>
                    </w:rPr>
                  </m:ctrlPr>
                </m:sSubPr>
                <m:e>
                  <m:r>
                    <m:rPr/>
                    <w:rPr>
                      <w:rFonts w:hint="default" w:ascii="Cambria Math" w:hAnsi="Cambria Math" w:eastAsia="宋体" w:cs="Times New Roman"/>
                      <w:color w:val="auto"/>
                      <w:highlight w:val="none"/>
                    </w:rPr>
                    <m:t>pH</m:t>
                  </m:r>
                  <m:ctrlPr>
                    <w:rPr>
                      <w:rFonts w:hint="default" w:ascii="Cambria Math" w:hAnsi="Cambria Math" w:eastAsia="宋体" w:cs="Times New Roman"/>
                      <w:i/>
                      <w:color w:val="auto"/>
                      <w:szCs w:val="30"/>
                      <w:highlight w:val="none"/>
                    </w:rPr>
                  </m:ctrlPr>
                </m:e>
                <m:sub>
                  <m:r>
                    <m:rPr/>
                    <w:rPr>
                      <w:rFonts w:hint="default" w:ascii="Cambria Math" w:hAnsi="Cambria Math" w:eastAsia="宋体" w:cs="Times New Roman"/>
                      <w:color w:val="auto"/>
                      <w:highlight w:val="none"/>
                    </w:rPr>
                    <m:t>su</m:t>
                  </m:r>
                  <m:ctrlPr>
                    <w:rPr>
                      <w:rFonts w:hint="default" w:ascii="Cambria Math" w:hAnsi="Cambria Math" w:eastAsia="宋体" w:cs="Times New Roman"/>
                      <w:i/>
                      <w:color w:val="auto"/>
                      <w:szCs w:val="30"/>
                      <w:highlight w:val="none"/>
                    </w:rPr>
                  </m:ctrlPr>
                </m:sub>
              </m:sSub>
              <m:r>
                <m:rPr/>
                <w:rPr>
                  <w:rFonts w:hint="default" w:ascii="Cambria Math" w:hAnsi="Cambria Math" w:eastAsia="宋体" w:cs="Times New Roman"/>
                  <w:color w:val="auto"/>
                  <w:highlight w:val="none"/>
                </w:rPr>
                <m:t>−</m:t>
              </m:r>
              <m:r>
                <m:rPr>
                  <m:sty m:val="p"/>
                </m:rPr>
                <w:rPr>
                  <w:rFonts w:hint="default" w:ascii="Cambria Math" w:hAnsi="Cambria Math" w:eastAsia="宋体" w:cs="Times New Roman"/>
                  <w:color w:val="auto"/>
                  <w:highlight w:val="none"/>
                </w:rPr>
                <m:t>7.0</m:t>
              </m:r>
              <m:ctrlPr>
                <w:rPr>
                  <w:rFonts w:hint="default" w:ascii="Cambria Math" w:hAnsi="Cambria Math" w:eastAsia="宋体" w:cs="Times New Roman"/>
                  <w:i/>
                  <w:color w:val="auto"/>
                  <w:szCs w:val="30"/>
                  <w:highlight w:val="none"/>
                </w:rPr>
              </m:ctrlPr>
            </m:den>
          </m:f>
          <m:r>
            <m:rPr/>
            <w:rPr>
              <w:rFonts w:hint="default" w:ascii="Cambria Math" w:hAnsi="Cambria Math" w:eastAsia="宋体" w:cs="Times New Roman"/>
              <w:color w:val="auto"/>
              <w:highlight w:val="none"/>
            </w:rPr>
            <m:t xml:space="preserve"> pH</m:t>
          </m:r>
          <m:r>
            <m:rPr>
              <m:sty m:val="p"/>
            </m:rPr>
            <w:rPr>
              <w:rFonts w:hint="default" w:ascii="Cambria Math" w:hAnsi="Cambria Math" w:eastAsia="宋体" w:cs="Times New Roman"/>
              <w:color w:val="auto"/>
              <w:highlight w:val="none"/>
            </w:rPr>
            <m:t>&gt;</m:t>
          </m:r>
          <m:r>
            <m:rPr/>
            <w:rPr>
              <w:rFonts w:hint="default" w:ascii="Cambria Math" w:hAnsi="Cambria Math" w:eastAsia="宋体" w:cs="Times New Roman"/>
              <w:color w:val="auto"/>
              <w:highlight w:val="none"/>
            </w:rPr>
            <m:t>7</m:t>
          </m:r>
          <m:r>
            <m:rPr>
              <m:sty m:val="p"/>
            </m:rPr>
            <w:rPr>
              <w:rFonts w:hint="default" w:ascii="Cambria Math" w:hAnsi="Cambria Math" w:eastAsia="宋体" w:cs="Times New Roman"/>
              <w:color w:val="auto"/>
              <w:highlight w:val="none"/>
            </w:rPr>
            <m:t>时</m:t>
          </m:r>
        </m:oMath>
      </m:oMathPara>
    </w:p>
    <w:p w14:paraId="69589D08">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p>
    <w:p w14:paraId="324889F1">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m:oMath>
        <m:sSub>
          <m:sSubPr>
            <m:ctrlPr>
              <w:rPr>
                <w:rFonts w:hint="default" w:ascii="Cambria Math" w:hAnsi="Cambria Math" w:eastAsia="宋体" w:cs="Times New Roman"/>
                <w:i/>
                <w:color w:val="auto"/>
                <w:szCs w:val="30"/>
                <w:highlight w:val="none"/>
              </w:rPr>
            </m:ctrlPr>
          </m:sSubPr>
          <m:e>
            <m:r>
              <m:rPr/>
              <w:rPr>
                <w:rFonts w:hint="default" w:ascii="Cambria Math" w:hAnsi="Cambria Math" w:eastAsia="宋体" w:cs="Times New Roman"/>
                <w:color w:val="auto"/>
                <w:highlight w:val="none"/>
              </w:rPr>
              <m:t>P</m:t>
            </m:r>
            <m:ctrlPr>
              <w:rPr>
                <w:rFonts w:hint="default" w:ascii="Cambria Math" w:hAnsi="Cambria Math" w:eastAsia="宋体" w:cs="Times New Roman"/>
                <w:i/>
                <w:color w:val="auto"/>
                <w:szCs w:val="30"/>
                <w:highlight w:val="none"/>
              </w:rPr>
            </m:ctrlPr>
          </m:e>
          <m:sub>
            <m:r>
              <m:rPr/>
              <w:rPr>
                <w:rFonts w:hint="default" w:ascii="Cambria Math" w:hAnsi="Cambria Math" w:eastAsia="宋体" w:cs="Times New Roman"/>
                <w:color w:val="auto"/>
                <w:highlight w:val="none"/>
              </w:rPr>
              <m:t>pH</m:t>
            </m:r>
            <m:ctrlPr>
              <w:rPr>
                <w:rFonts w:hint="default" w:ascii="Cambria Math" w:hAnsi="Cambria Math" w:eastAsia="宋体" w:cs="Times New Roman"/>
                <w:i/>
                <w:color w:val="auto"/>
                <w:szCs w:val="30"/>
                <w:highlight w:val="none"/>
              </w:rPr>
            </m:ctrlPr>
          </m:sub>
        </m:sSub>
      </m:oMath>
      <w:r>
        <w:rPr>
          <w:rFonts w:hint="default" w:ascii="Times New Roman" w:hAnsi="Times New Roman" w:eastAsia="宋体" w:cs="Times New Roman"/>
          <w:color w:val="auto"/>
          <w:highlight w:val="none"/>
        </w:rPr>
        <w:t>—pH的标准指数，无量纲；</w:t>
      </w:r>
    </w:p>
    <w:p w14:paraId="3C7110C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pH—pH监测值；</w:t>
      </w:r>
    </w:p>
    <w:p w14:paraId="2A915495">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m:oMath>
        <m:sSub>
          <m:sSubPr>
            <m:ctrlPr>
              <w:rPr>
                <w:rFonts w:hint="default" w:ascii="Cambria Math" w:hAnsi="Cambria Math" w:eastAsia="宋体" w:cs="Times New Roman"/>
                <w:i/>
                <w:color w:val="auto"/>
                <w:szCs w:val="30"/>
                <w:highlight w:val="none"/>
              </w:rPr>
            </m:ctrlPr>
          </m:sSubPr>
          <m:e>
            <m:r>
              <m:rPr/>
              <w:rPr>
                <w:rFonts w:hint="default" w:ascii="Cambria Math" w:hAnsi="Cambria Math" w:eastAsia="宋体" w:cs="Times New Roman"/>
                <w:color w:val="auto"/>
                <w:highlight w:val="none"/>
              </w:rPr>
              <m:t>pH</m:t>
            </m:r>
            <m:ctrlPr>
              <w:rPr>
                <w:rFonts w:hint="default" w:ascii="Cambria Math" w:hAnsi="Cambria Math" w:eastAsia="宋体" w:cs="Times New Roman"/>
                <w:i/>
                <w:color w:val="auto"/>
                <w:szCs w:val="30"/>
                <w:highlight w:val="none"/>
              </w:rPr>
            </m:ctrlPr>
          </m:e>
          <m:sub>
            <m:r>
              <m:rPr/>
              <w:rPr>
                <w:rFonts w:hint="default" w:ascii="Cambria Math" w:hAnsi="Cambria Math" w:eastAsia="宋体" w:cs="Times New Roman"/>
                <w:color w:val="auto"/>
                <w:highlight w:val="none"/>
              </w:rPr>
              <m:t>su</m:t>
            </m:r>
            <m:ctrlPr>
              <w:rPr>
                <w:rFonts w:hint="default" w:ascii="Cambria Math" w:hAnsi="Cambria Math" w:eastAsia="宋体" w:cs="Times New Roman"/>
                <w:i/>
                <w:color w:val="auto"/>
                <w:szCs w:val="30"/>
                <w:highlight w:val="none"/>
              </w:rPr>
            </m:ctrlPr>
          </m:sub>
        </m:sSub>
      </m:oMath>
      <w:r>
        <w:rPr>
          <w:rFonts w:hint="default" w:ascii="Times New Roman" w:hAnsi="Times New Roman" w:eastAsia="宋体" w:cs="Times New Roman"/>
          <w:color w:val="auto"/>
          <w:highlight w:val="none"/>
        </w:rPr>
        <w:t>—标准中pH的上限值；</w:t>
      </w:r>
    </w:p>
    <w:p w14:paraId="08A3276D">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m:oMath>
        <m:sSub>
          <m:sSubPr>
            <m:ctrlPr>
              <w:rPr>
                <w:rFonts w:hint="default" w:ascii="Cambria Math" w:hAnsi="Cambria Math" w:eastAsia="宋体" w:cs="Times New Roman"/>
                <w:i/>
                <w:color w:val="auto"/>
                <w:szCs w:val="30"/>
                <w:highlight w:val="none"/>
              </w:rPr>
            </m:ctrlPr>
          </m:sSubPr>
          <m:e>
            <m:r>
              <m:rPr/>
              <w:rPr>
                <w:rFonts w:hint="default" w:ascii="Cambria Math" w:hAnsi="Cambria Math" w:eastAsia="宋体" w:cs="Times New Roman"/>
                <w:color w:val="auto"/>
                <w:highlight w:val="none"/>
              </w:rPr>
              <m:t>pH</m:t>
            </m:r>
            <m:ctrlPr>
              <w:rPr>
                <w:rFonts w:hint="default" w:ascii="Cambria Math" w:hAnsi="Cambria Math" w:eastAsia="宋体" w:cs="Times New Roman"/>
                <w:i/>
                <w:color w:val="auto"/>
                <w:szCs w:val="30"/>
                <w:highlight w:val="none"/>
              </w:rPr>
            </m:ctrlPr>
          </m:e>
          <m:sub>
            <m:r>
              <m:rPr/>
              <w:rPr>
                <w:rFonts w:hint="default" w:ascii="Cambria Math" w:hAnsi="Cambria Math" w:eastAsia="宋体" w:cs="Times New Roman"/>
                <w:color w:val="auto"/>
                <w:highlight w:val="none"/>
              </w:rPr>
              <m:t>sd</m:t>
            </m:r>
            <m:ctrlPr>
              <w:rPr>
                <w:rFonts w:hint="default" w:ascii="Cambria Math" w:hAnsi="Cambria Math" w:eastAsia="宋体" w:cs="Times New Roman"/>
                <w:i/>
                <w:color w:val="auto"/>
                <w:szCs w:val="30"/>
                <w:highlight w:val="none"/>
              </w:rPr>
            </m:ctrlPr>
          </m:sub>
        </m:sSub>
      </m:oMath>
      <w:r>
        <w:rPr>
          <w:rFonts w:hint="default" w:ascii="Times New Roman" w:hAnsi="Times New Roman" w:eastAsia="宋体" w:cs="Times New Roman"/>
          <w:color w:val="auto"/>
          <w:highlight w:val="none"/>
        </w:rPr>
        <w:t>—标准中pH的下限值。</w:t>
      </w:r>
    </w:p>
    <w:p w14:paraId="3F9E3EB1">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地下水现状水质评价见下表。</w:t>
      </w:r>
    </w:p>
    <w:p w14:paraId="11B7E0C4">
      <w:pPr>
        <w:pStyle w:val="7"/>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表4.2-1</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地下水水质评价结果</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695"/>
        <w:gridCol w:w="1334"/>
        <w:gridCol w:w="1335"/>
        <w:gridCol w:w="1335"/>
        <w:gridCol w:w="1289"/>
        <w:gridCol w:w="1289"/>
      </w:tblGrid>
      <w:tr w14:paraId="17DF4BA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vMerge w:val="restart"/>
            <w:tcBorders>
              <w:top w:val="single" w:color="auto" w:sz="4" w:space="0"/>
              <w:left w:val="single" w:color="auto" w:sz="4" w:space="0"/>
              <w:bottom w:val="single" w:color="auto" w:sz="4" w:space="0"/>
              <w:right w:val="single" w:color="auto" w:sz="4" w:space="0"/>
            </w:tcBorders>
            <w:vAlign w:val="center"/>
          </w:tcPr>
          <w:p w14:paraId="7057FD3B">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检测项目</w:t>
            </w:r>
          </w:p>
        </w:tc>
        <w:tc>
          <w:tcPr>
            <w:tcW w:w="4004" w:type="dxa"/>
            <w:gridSpan w:val="3"/>
            <w:tcBorders>
              <w:top w:val="single" w:color="auto" w:sz="4" w:space="0"/>
              <w:left w:val="single" w:color="auto" w:sz="4" w:space="0"/>
              <w:bottom w:val="single" w:color="auto" w:sz="4" w:space="0"/>
              <w:right w:val="single" w:color="auto" w:sz="4" w:space="0"/>
            </w:tcBorders>
            <w:vAlign w:val="center"/>
          </w:tcPr>
          <w:p w14:paraId="70BDA6C9">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标准指数</w:t>
            </w:r>
          </w:p>
        </w:tc>
        <w:tc>
          <w:tcPr>
            <w:tcW w:w="1289" w:type="dxa"/>
            <w:vMerge w:val="restart"/>
            <w:tcBorders>
              <w:top w:val="single" w:color="auto" w:sz="4" w:space="0"/>
              <w:left w:val="single" w:color="auto" w:sz="4" w:space="0"/>
              <w:bottom w:val="single" w:color="auto" w:sz="4" w:space="0"/>
              <w:right w:val="single" w:color="auto" w:sz="4" w:space="0"/>
            </w:tcBorders>
            <w:vAlign w:val="center"/>
          </w:tcPr>
          <w:p w14:paraId="543192A4">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达标情况</w:t>
            </w:r>
          </w:p>
        </w:tc>
        <w:tc>
          <w:tcPr>
            <w:tcW w:w="1289" w:type="dxa"/>
            <w:vMerge w:val="restart"/>
            <w:tcBorders>
              <w:top w:val="single" w:color="auto" w:sz="4" w:space="0"/>
              <w:left w:val="single" w:color="auto" w:sz="4" w:space="0"/>
              <w:bottom w:val="single" w:color="auto" w:sz="4" w:space="0"/>
              <w:right w:val="single" w:color="auto" w:sz="4" w:space="0"/>
            </w:tcBorders>
            <w:vAlign w:val="center"/>
          </w:tcPr>
          <w:p w14:paraId="71A54DE3">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超标率</w:t>
            </w:r>
          </w:p>
        </w:tc>
      </w:tr>
      <w:tr w14:paraId="5B4C1FD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vMerge w:val="continue"/>
            <w:tcBorders>
              <w:top w:val="single" w:color="auto" w:sz="4" w:space="0"/>
              <w:left w:val="single" w:color="auto" w:sz="4" w:space="0"/>
              <w:bottom w:val="single" w:color="auto" w:sz="4" w:space="0"/>
              <w:right w:val="single" w:color="auto" w:sz="4" w:space="0"/>
            </w:tcBorders>
            <w:vAlign w:val="center"/>
          </w:tcPr>
          <w:p w14:paraId="458FC1F2">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p>
        </w:tc>
        <w:tc>
          <w:tcPr>
            <w:tcW w:w="1334" w:type="dxa"/>
            <w:tcBorders>
              <w:top w:val="single" w:color="auto" w:sz="4" w:space="0"/>
              <w:left w:val="single" w:color="auto" w:sz="4" w:space="0"/>
              <w:bottom w:val="single" w:color="auto" w:sz="4" w:space="0"/>
              <w:right w:val="single" w:color="auto" w:sz="4" w:space="0"/>
            </w:tcBorders>
            <w:vAlign w:val="center"/>
          </w:tcPr>
          <w:p w14:paraId="0FD5F80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W1</w:t>
            </w:r>
            <w:r>
              <w:rPr>
                <w:rFonts w:hint="default" w:ascii="Times New Roman" w:hAnsi="Times New Roman" w:eastAsia="宋体" w:cs="Times New Roman"/>
                <w:color w:val="auto"/>
                <w:kern w:val="2"/>
                <w:sz w:val="21"/>
                <w:szCs w:val="21"/>
                <w:highlight w:val="none"/>
                <w:lang w:val="en-US" w:eastAsia="zh-CN" w:bidi="ar-SA"/>
              </w:rPr>
              <w:t>北侧水井</w:t>
            </w:r>
          </w:p>
        </w:tc>
        <w:tc>
          <w:tcPr>
            <w:tcW w:w="1335" w:type="dxa"/>
            <w:tcBorders>
              <w:top w:val="single" w:color="auto" w:sz="4" w:space="0"/>
              <w:left w:val="single" w:color="auto" w:sz="4" w:space="0"/>
              <w:bottom w:val="single" w:color="auto" w:sz="4" w:space="0"/>
              <w:right w:val="single" w:color="auto" w:sz="4" w:space="0"/>
            </w:tcBorders>
            <w:vAlign w:val="center"/>
          </w:tcPr>
          <w:p w14:paraId="73AB7FF6">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W2</w:t>
            </w:r>
            <w:r>
              <w:rPr>
                <w:rFonts w:hint="default" w:ascii="Times New Roman" w:hAnsi="Times New Roman" w:eastAsia="宋体" w:cs="Times New Roman"/>
                <w:color w:val="auto"/>
                <w:kern w:val="2"/>
                <w:sz w:val="21"/>
                <w:szCs w:val="21"/>
                <w:highlight w:val="none"/>
                <w:lang w:val="en-US" w:eastAsia="zh-CN" w:bidi="ar-SA"/>
              </w:rPr>
              <w:t>场区水井</w:t>
            </w:r>
          </w:p>
        </w:tc>
        <w:tc>
          <w:tcPr>
            <w:tcW w:w="1335" w:type="dxa"/>
            <w:tcBorders>
              <w:top w:val="single" w:color="auto" w:sz="4" w:space="0"/>
              <w:left w:val="single" w:color="auto" w:sz="4" w:space="0"/>
              <w:bottom w:val="single" w:color="auto" w:sz="4" w:space="0"/>
              <w:right w:val="single" w:color="auto" w:sz="4" w:space="0"/>
            </w:tcBorders>
            <w:vAlign w:val="center"/>
          </w:tcPr>
          <w:p w14:paraId="04B2FFB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W3</w:t>
            </w:r>
            <w:r>
              <w:rPr>
                <w:rFonts w:hint="default" w:ascii="Times New Roman" w:hAnsi="Times New Roman" w:eastAsia="宋体" w:cs="Times New Roman"/>
                <w:color w:val="auto"/>
                <w:kern w:val="2"/>
                <w:sz w:val="21"/>
                <w:szCs w:val="21"/>
                <w:highlight w:val="none"/>
                <w:lang w:val="en-US" w:eastAsia="zh-CN" w:bidi="ar-SA"/>
              </w:rPr>
              <w:t>东南侧水井</w:t>
            </w:r>
          </w:p>
        </w:tc>
        <w:tc>
          <w:tcPr>
            <w:tcW w:w="1289" w:type="dxa"/>
            <w:vMerge w:val="continue"/>
            <w:tcBorders>
              <w:top w:val="single" w:color="auto" w:sz="4" w:space="0"/>
              <w:left w:val="single" w:color="auto" w:sz="4" w:space="0"/>
              <w:bottom w:val="single" w:color="auto" w:sz="4" w:space="0"/>
              <w:right w:val="single" w:color="auto" w:sz="4" w:space="0"/>
            </w:tcBorders>
            <w:vAlign w:val="center"/>
          </w:tcPr>
          <w:p w14:paraId="52DB23F0">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rPr>
            </w:pPr>
          </w:p>
        </w:tc>
        <w:tc>
          <w:tcPr>
            <w:tcW w:w="1289" w:type="dxa"/>
            <w:vMerge w:val="continue"/>
            <w:tcBorders>
              <w:top w:val="single" w:color="auto" w:sz="4" w:space="0"/>
              <w:left w:val="single" w:color="auto" w:sz="4" w:space="0"/>
              <w:bottom w:val="single" w:color="auto" w:sz="4" w:space="0"/>
              <w:right w:val="single" w:color="auto" w:sz="4" w:space="0"/>
            </w:tcBorders>
            <w:vAlign w:val="center"/>
          </w:tcPr>
          <w:p w14:paraId="7C51BC7C">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rPr>
            </w:pPr>
          </w:p>
        </w:tc>
      </w:tr>
      <w:tr w14:paraId="7F06EA1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03F689B7">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pH</w:t>
            </w:r>
          </w:p>
        </w:tc>
        <w:tc>
          <w:tcPr>
            <w:tcW w:w="1334" w:type="dxa"/>
            <w:tcBorders>
              <w:top w:val="single" w:color="auto" w:sz="4" w:space="0"/>
              <w:left w:val="single" w:color="auto" w:sz="4" w:space="0"/>
              <w:bottom w:val="single" w:color="auto" w:sz="4" w:space="0"/>
              <w:right w:val="single" w:color="auto" w:sz="4" w:space="0"/>
            </w:tcBorders>
            <w:vAlign w:val="center"/>
          </w:tcPr>
          <w:p w14:paraId="7209F46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0.88</w:t>
            </w:r>
          </w:p>
        </w:tc>
        <w:tc>
          <w:tcPr>
            <w:tcW w:w="1335" w:type="dxa"/>
            <w:tcBorders>
              <w:top w:val="single" w:color="auto" w:sz="4" w:space="0"/>
              <w:left w:val="single" w:color="auto" w:sz="4" w:space="0"/>
              <w:bottom w:val="single" w:color="auto" w:sz="4" w:space="0"/>
              <w:right w:val="single" w:color="auto" w:sz="4" w:space="0"/>
            </w:tcBorders>
            <w:vAlign w:val="center"/>
          </w:tcPr>
          <w:p w14:paraId="0D0F9915">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0.88</w:t>
            </w:r>
          </w:p>
        </w:tc>
        <w:tc>
          <w:tcPr>
            <w:tcW w:w="1335" w:type="dxa"/>
            <w:tcBorders>
              <w:top w:val="single" w:color="auto" w:sz="4" w:space="0"/>
              <w:left w:val="single" w:color="auto" w:sz="4" w:space="0"/>
              <w:bottom w:val="single" w:color="auto" w:sz="4" w:space="0"/>
              <w:right w:val="single" w:color="auto" w:sz="4" w:space="0"/>
            </w:tcBorders>
            <w:vAlign w:val="center"/>
          </w:tcPr>
          <w:p w14:paraId="34DA5DD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0.90</w:t>
            </w:r>
          </w:p>
        </w:tc>
        <w:tc>
          <w:tcPr>
            <w:tcW w:w="1289" w:type="dxa"/>
            <w:tcBorders>
              <w:top w:val="single" w:color="auto" w:sz="4" w:space="0"/>
              <w:left w:val="single" w:color="auto" w:sz="4" w:space="0"/>
              <w:bottom w:val="single" w:color="auto" w:sz="4" w:space="0"/>
              <w:right w:val="single" w:color="auto" w:sz="4" w:space="0"/>
            </w:tcBorders>
            <w:vAlign w:val="center"/>
          </w:tcPr>
          <w:p w14:paraId="740004E3">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5F3EFA9F">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251E587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52497C67">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可溶</w:t>
            </w:r>
            <w:r>
              <w:rPr>
                <w:rFonts w:hint="default" w:ascii="Times New Roman" w:hAnsi="Times New Roman" w:eastAsia="宋体" w:cs="Times New Roman"/>
                <w:color w:val="auto"/>
                <w:kern w:val="0"/>
                <w:sz w:val="21"/>
                <w:szCs w:val="21"/>
                <w:highlight w:val="none"/>
                <w:lang w:bidi="ar"/>
              </w:rPr>
              <w:t>性阳</w:t>
            </w:r>
            <w:r>
              <w:rPr>
                <w:rFonts w:hint="default" w:ascii="Times New Roman" w:hAnsi="Times New Roman" w:eastAsia="宋体" w:cs="Times New Roman"/>
                <w:color w:val="auto"/>
                <w:sz w:val="21"/>
                <w:szCs w:val="21"/>
                <w:highlight w:val="none"/>
              </w:rPr>
              <w:t>离子K</w:t>
            </w:r>
            <w:r>
              <w:rPr>
                <w:rFonts w:hint="default" w:ascii="Times New Roman" w:hAnsi="Times New Roman" w:eastAsia="宋体" w:cs="Times New Roman"/>
                <w:color w:val="auto"/>
                <w:sz w:val="21"/>
                <w:szCs w:val="21"/>
                <w:highlight w:val="none"/>
                <w:vertAlign w:val="superscript"/>
              </w:rPr>
              <w:t>+</w:t>
            </w:r>
          </w:p>
        </w:tc>
        <w:tc>
          <w:tcPr>
            <w:tcW w:w="1334" w:type="dxa"/>
            <w:tcBorders>
              <w:top w:val="single" w:color="auto" w:sz="4" w:space="0"/>
              <w:left w:val="single" w:color="auto" w:sz="4" w:space="0"/>
              <w:bottom w:val="single" w:color="auto" w:sz="4" w:space="0"/>
              <w:right w:val="single" w:color="auto" w:sz="4" w:space="0"/>
            </w:tcBorders>
            <w:vAlign w:val="center"/>
          </w:tcPr>
          <w:p w14:paraId="41A3A75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335" w:type="dxa"/>
            <w:tcBorders>
              <w:top w:val="single" w:color="auto" w:sz="4" w:space="0"/>
              <w:left w:val="single" w:color="auto" w:sz="4" w:space="0"/>
              <w:bottom w:val="single" w:color="auto" w:sz="4" w:space="0"/>
              <w:right w:val="single" w:color="auto" w:sz="4" w:space="0"/>
            </w:tcBorders>
            <w:vAlign w:val="center"/>
          </w:tcPr>
          <w:p w14:paraId="453BA2FC">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335" w:type="dxa"/>
            <w:tcBorders>
              <w:top w:val="single" w:color="auto" w:sz="4" w:space="0"/>
              <w:left w:val="single" w:color="auto" w:sz="4" w:space="0"/>
              <w:bottom w:val="single" w:color="auto" w:sz="4" w:space="0"/>
              <w:right w:val="single" w:color="auto" w:sz="4" w:space="0"/>
            </w:tcBorders>
            <w:vAlign w:val="center"/>
          </w:tcPr>
          <w:p w14:paraId="16BA6EF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289" w:type="dxa"/>
            <w:tcBorders>
              <w:top w:val="single" w:color="auto" w:sz="4" w:space="0"/>
              <w:left w:val="single" w:color="auto" w:sz="4" w:space="0"/>
              <w:bottom w:val="single" w:color="auto" w:sz="4" w:space="0"/>
              <w:right w:val="single" w:color="auto" w:sz="4" w:space="0"/>
            </w:tcBorders>
            <w:vAlign w:val="center"/>
          </w:tcPr>
          <w:p w14:paraId="1342D011">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2DC56F38">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35E60B2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41ED06B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可溶</w:t>
            </w:r>
            <w:r>
              <w:rPr>
                <w:rFonts w:hint="default" w:ascii="Times New Roman" w:hAnsi="Times New Roman" w:eastAsia="宋体" w:cs="Times New Roman"/>
                <w:color w:val="auto"/>
                <w:kern w:val="0"/>
                <w:sz w:val="21"/>
                <w:szCs w:val="21"/>
                <w:highlight w:val="none"/>
                <w:lang w:bidi="ar"/>
              </w:rPr>
              <w:t>性阳离</w:t>
            </w:r>
            <w:r>
              <w:rPr>
                <w:rFonts w:hint="default" w:ascii="Times New Roman" w:hAnsi="Times New Roman" w:eastAsia="宋体" w:cs="Times New Roman"/>
                <w:color w:val="auto"/>
                <w:sz w:val="21"/>
                <w:szCs w:val="21"/>
                <w:highlight w:val="none"/>
              </w:rPr>
              <w:t>子Na</w:t>
            </w:r>
            <w:r>
              <w:rPr>
                <w:rFonts w:hint="default" w:ascii="Times New Roman" w:hAnsi="Times New Roman" w:eastAsia="宋体" w:cs="Times New Roman"/>
                <w:color w:val="auto"/>
                <w:sz w:val="21"/>
                <w:szCs w:val="21"/>
                <w:highlight w:val="none"/>
                <w:vertAlign w:val="superscript"/>
              </w:rPr>
              <w:t>+</w:t>
            </w:r>
          </w:p>
        </w:tc>
        <w:tc>
          <w:tcPr>
            <w:tcW w:w="1334" w:type="dxa"/>
            <w:tcBorders>
              <w:top w:val="single" w:color="auto" w:sz="4" w:space="0"/>
              <w:left w:val="single" w:color="auto" w:sz="4" w:space="0"/>
              <w:bottom w:val="single" w:color="auto" w:sz="4" w:space="0"/>
              <w:right w:val="single" w:color="auto" w:sz="4" w:space="0"/>
            </w:tcBorders>
            <w:vAlign w:val="center"/>
          </w:tcPr>
          <w:p w14:paraId="01155C4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335" w:type="dxa"/>
            <w:tcBorders>
              <w:top w:val="single" w:color="auto" w:sz="4" w:space="0"/>
              <w:left w:val="single" w:color="auto" w:sz="4" w:space="0"/>
              <w:bottom w:val="single" w:color="auto" w:sz="4" w:space="0"/>
              <w:right w:val="single" w:color="auto" w:sz="4" w:space="0"/>
            </w:tcBorders>
            <w:vAlign w:val="center"/>
          </w:tcPr>
          <w:p w14:paraId="243508FC">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335" w:type="dxa"/>
            <w:tcBorders>
              <w:top w:val="single" w:color="auto" w:sz="4" w:space="0"/>
              <w:left w:val="single" w:color="auto" w:sz="4" w:space="0"/>
              <w:bottom w:val="single" w:color="auto" w:sz="4" w:space="0"/>
              <w:right w:val="single" w:color="auto" w:sz="4" w:space="0"/>
            </w:tcBorders>
            <w:vAlign w:val="center"/>
          </w:tcPr>
          <w:p w14:paraId="3B33A03A">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289" w:type="dxa"/>
            <w:tcBorders>
              <w:top w:val="single" w:color="auto" w:sz="4" w:space="0"/>
              <w:left w:val="single" w:color="auto" w:sz="4" w:space="0"/>
              <w:bottom w:val="single" w:color="auto" w:sz="4" w:space="0"/>
              <w:right w:val="single" w:color="auto" w:sz="4" w:space="0"/>
            </w:tcBorders>
            <w:vAlign w:val="center"/>
          </w:tcPr>
          <w:p w14:paraId="2F0D3555">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683D7ABC">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19A6B03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22B4E282">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可</w:t>
            </w:r>
            <w:r>
              <w:rPr>
                <w:rFonts w:hint="default" w:ascii="Times New Roman" w:hAnsi="Times New Roman" w:eastAsia="宋体" w:cs="Times New Roman"/>
                <w:color w:val="auto"/>
                <w:kern w:val="0"/>
                <w:sz w:val="21"/>
                <w:szCs w:val="21"/>
                <w:highlight w:val="none"/>
                <w:lang w:bidi="ar"/>
              </w:rPr>
              <w:t>溶性阳离</w:t>
            </w:r>
            <w:r>
              <w:rPr>
                <w:rFonts w:hint="default" w:ascii="Times New Roman" w:hAnsi="Times New Roman" w:eastAsia="宋体" w:cs="Times New Roman"/>
                <w:color w:val="auto"/>
                <w:sz w:val="21"/>
                <w:szCs w:val="21"/>
                <w:highlight w:val="none"/>
              </w:rPr>
              <w:t>子Ca</w:t>
            </w:r>
            <w:r>
              <w:rPr>
                <w:rFonts w:hint="default" w:ascii="Times New Roman" w:hAnsi="Times New Roman" w:eastAsia="宋体" w:cs="Times New Roman"/>
                <w:color w:val="auto"/>
                <w:sz w:val="21"/>
                <w:szCs w:val="21"/>
                <w:highlight w:val="none"/>
                <w:vertAlign w:val="superscript"/>
              </w:rPr>
              <w:t>2+</w:t>
            </w:r>
          </w:p>
        </w:tc>
        <w:tc>
          <w:tcPr>
            <w:tcW w:w="1334" w:type="dxa"/>
            <w:tcBorders>
              <w:top w:val="single" w:color="auto" w:sz="4" w:space="0"/>
              <w:left w:val="single" w:color="auto" w:sz="4" w:space="0"/>
              <w:bottom w:val="single" w:color="auto" w:sz="4" w:space="0"/>
              <w:right w:val="single" w:color="auto" w:sz="4" w:space="0"/>
            </w:tcBorders>
            <w:vAlign w:val="center"/>
          </w:tcPr>
          <w:p w14:paraId="1D995929">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335" w:type="dxa"/>
            <w:tcBorders>
              <w:top w:val="single" w:color="auto" w:sz="4" w:space="0"/>
              <w:left w:val="single" w:color="auto" w:sz="4" w:space="0"/>
              <w:bottom w:val="single" w:color="auto" w:sz="4" w:space="0"/>
              <w:right w:val="single" w:color="auto" w:sz="4" w:space="0"/>
            </w:tcBorders>
            <w:vAlign w:val="center"/>
          </w:tcPr>
          <w:p w14:paraId="412A383F">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335" w:type="dxa"/>
            <w:tcBorders>
              <w:top w:val="single" w:color="auto" w:sz="4" w:space="0"/>
              <w:left w:val="single" w:color="auto" w:sz="4" w:space="0"/>
              <w:bottom w:val="single" w:color="auto" w:sz="4" w:space="0"/>
              <w:right w:val="single" w:color="auto" w:sz="4" w:space="0"/>
            </w:tcBorders>
            <w:vAlign w:val="center"/>
          </w:tcPr>
          <w:p w14:paraId="7E2E4F8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289" w:type="dxa"/>
            <w:tcBorders>
              <w:top w:val="single" w:color="auto" w:sz="4" w:space="0"/>
              <w:left w:val="single" w:color="auto" w:sz="4" w:space="0"/>
              <w:bottom w:val="single" w:color="auto" w:sz="4" w:space="0"/>
              <w:right w:val="single" w:color="auto" w:sz="4" w:space="0"/>
            </w:tcBorders>
            <w:vAlign w:val="center"/>
          </w:tcPr>
          <w:p w14:paraId="4F2A770D">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7AB7C02A">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7BE793E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2713A9E6">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可溶</w:t>
            </w:r>
            <w:r>
              <w:rPr>
                <w:rFonts w:hint="default" w:ascii="Times New Roman" w:hAnsi="Times New Roman" w:eastAsia="宋体" w:cs="Times New Roman"/>
                <w:color w:val="auto"/>
                <w:kern w:val="0"/>
                <w:sz w:val="21"/>
                <w:szCs w:val="21"/>
                <w:highlight w:val="none"/>
                <w:lang w:bidi="ar"/>
              </w:rPr>
              <w:t>性</w:t>
            </w:r>
            <w:r>
              <w:rPr>
                <w:rFonts w:hint="default" w:ascii="Times New Roman" w:hAnsi="Times New Roman" w:eastAsia="宋体" w:cs="Times New Roman"/>
                <w:color w:val="auto"/>
                <w:sz w:val="21"/>
                <w:szCs w:val="21"/>
                <w:highlight w:val="none"/>
              </w:rPr>
              <w:t>阳离子Mg</w:t>
            </w:r>
            <w:r>
              <w:rPr>
                <w:rFonts w:hint="default" w:ascii="Times New Roman" w:hAnsi="Times New Roman" w:eastAsia="宋体" w:cs="Times New Roman"/>
                <w:color w:val="auto"/>
                <w:sz w:val="21"/>
                <w:szCs w:val="21"/>
                <w:highlight w:val="none"/>
                <w:vertAlign w:val="superscript"/>
              </w:rPr>
              <w:t>2+</w:t>
            </w:r>
          </w:p>
        </w:tc>
        <w:tc>
          <w:tcPr>
            <w:tcW w:w="1334" w:type="dxa"/>
            <w:tcBorders>
              <w:top w:val="single" w:color="auto" w:sz="4" w:space="0"/>
              <w:left w:val="single" w:color="auto" w:sz="4" w:space="0"/>
              <w:bottom w:val="single" w:color="auto" w:sz="4" w:space="0"/>
              <w:right w:val="single" w:color="auto" w:sz="4" w:space="0"/>
            </w:tcBorders>
            <w:vAlign w:val="center"/>
          </w:tcPr>
          <w:p w14:paraId="47CA5E5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335" w:type="dxa"/>
            <w:tcBorders>
              <w:top w:val="single" w:color="auto" w:sz="4" w:space="0"/>
              <w:left w:val="single" w:color="auto" w:sz="4" w:space="0"/>
              <w:bottom w:val="single" w:color="auto" w:sz="4" w:space="0"/>
              <w:right w:val="single" w:color="auto" w:sz="4" w:space="0"/>
            </w:tcBorders>
            <w:vAlign w:val="center"/>
          </w:tcPr>
          <w:p w14:paraId="4D2180A7">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335" w:type="dxa"/>
            <w:tcBorders>
              <w:top w:val="single" w:color="auto" w:sz="4" w:space="0"/>
              <w:left w:val="single" w:color="auto" w:sz="4" w:space="0"/>
              <w:bottom w:val="single" w:color="auto" w:sz="4" w:space="0"/>
              <w:right w:val="single" w:color="auto" w:sz="4" w:space="0"/>
            </w:tcBorders>
            <w:vAlign w:val="center"/>
          </w:tcPr>
          <w:p w14:paraId="057C228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289" w:type="dxa"/>
            <w:tcBorders>
              <w:top w:val="single" w:color="auto" w:sz="4" w:space="0"/>
              <w:left w:val="single" w:color="auto" w:sz="4" w:space="0"/>
              <w:bottom w:val="single" w:color="auto" w:sz="4" w:space="0"/>
              <w:right w:val="single" w:color="auto" w:sz="4" w:space="0"/>
            </w:tcBorders>
            <w:vAlign w:val="center"/>
          </w:tcPr>
          <w:p w14:paraId="2AC39A34">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683F4B09">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1F59D7B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2CBB15B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无机阴离子Cl</w:t>
            </w:r>
            <w:r>
              <w:rPr>
                <w:rFonts w:hint="default" w:ascii="Times New Roman" w:hAnsi="Times New Roman" w:eastAsia="宋体" w:cs="Times New Roman"/>
                <w:color w:val="auto"/>
                <w:sz w:val="21"/>
                <w:szCs w:val="21"/>
                <w:highlight w:val="none"/>
                <w:vertAlign w:val="superscript"/>
              </w:rPr>
              <w:t>-</w:t>
            </w:r>
          </w:p>
        </w:tc>
        <w:tc>
          <w:tcPr>
            <w:tcW w:w="1334" w:type="dxa"/>
            <w:tcBorders>
              <w:top w:val="single" w:color="auto" w:sz="4" w:space="0"/>
              <w:left w:val="single" w:color="auto" w:sz="4" w:space="0"/>
              <w:bottom w:val="single" w:color="auto" w:sz="4" w:space="0"/>
              <w:right w:val="single" w:color="auto" w:sz="4" w:space="0"/>
            </w:tcBorders>
            <w:vAlign w:val="center"/>
          </w:tcPr>
          <w:p w14:paraId="0B9DAF9A">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335" w:type="dxa"/>
            <w:tcBorders>
              <w:top w:val="single" w:color="auto" w:sz="4" w:space="0"/>
              <w:left w:val="single" w:color="auto" w:sz="4" w:space="0"/>
              <w:bottom w:val="single" w:color="auto" w:sz="4" w:space="0"/>
              <w:right w:val="single" w:color="auto" w:sz="4" w:space="0"/>
            </w:tcBorders>
            <w:vAlign w:val="center"/>
          </w:tcPr>
          <w:p w14:paraId="14669D83">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335" w:type="dxa"/>
            <w:tcBorders>
              <w:top w:val="single" w:color="auto" w:sz="4" w:space="0"/>
              <w:left w:val="single" w:color="auto" w:sz="4" w:space="0"/>
              <w:bottom w:val="single" w:color="auto" w:sz="4" w:space="0"/>
              <w:right w:val="single" w:color="auto" w:sz="4" w:space="0"/>
            </w:tcBorders>
            <w:vAlign w:val="center"/>
          </w:tcPr>
          <w:p w14:paraId="481F72F3">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289" w:type="dxa"/>
            <w:tcBorders>
              <w:top w:val="single" w:color="auto" w:sz="4" w:space="0"/>
              <w:left w:val="single" w:color="auto" w:sz="4" w:space="0"/>
              <w:bottom w:val="single" w:color="auto" w:sz="4" w:space="0"/>
              <w:right w:val="single" w:color="auto" w:sz="4" w:space="0"/>
            </w:tcBorders>
            <w:vAlign w:val="center"/>
          </w:tcPr>
          <w:p w14:paraId="7D4C7656">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642D455B">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06E3556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455A9A1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无机阴离子SO</w:t>
            </w:r>
            <w:r>
              <w:rPr>
                <w:rFonts w:hint="default" w:ascii="Times New Roman" w:hAnsi="Times New Roman" w:eastAsia="宋体" w:cs="Times New Roman"/>
                <w:color w:val="auto"/>
                <w:sz w:val="21"/>
                <w:szCs w:val="21"/>
                <w:highlight w:val="none"/>
                <w:vertAlign w:val="subscript"/>
              </w:rPr>
              <w:t>4</w:t>
            </w:r>
            <w:r>
              <w:rPr>
                <w:rFonts w:hint="default" w:ascii="Times New Roman" w:hAnsi="Times New Roman" w:eastAsia="宋体" w:cs="Times New Roman"/>
                <w:color w:val="auto"/>
                <w:sz w:val="21"/>
                <w:szCs w:val="21"/>
                <w:highlight w:val="none"/>
                <w:vertAlign w:val="superscript"/>
              </w:rPr>
              <w:t>2-</w:t>
            </w:r>
          </w:p>
        </w:tc>
        <w:tc>
          <w:tcPr>
            <w:tcW w:w="1334" w:type="dxa"/>
            <w:tcBorders>
              <w:top w:val="single" w:color="auto" w:sz="4" w:space="0"/>
              <w:left w:val="single" w:color="auto" w:sz="4" w:space="0"/>
              <w:bottom w:val="single" w:color="auto" w:sz="4" w:space="0"/>
              <w:right w:val="single" w:color="auto" w:sz="4" w:space="0"/>
            </w:tcBorders>
            <w:vAlign w:val="center"/>
          </w:tcPr>
          <w:p w14:paraId="701EF81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335" w:type="dxa"/>
            <w:tcBorders>
              <w:top w:val="single" w:color="auto" w:sz="4" w:space="0"/>
              <w:left w:val="single" w:color="auto" w:sz="4" w:space="0"/>
              <w:bottom w:val="single" w:color="auto" w:sz="4" w:space="0"/>
              <w:right w:val="single" w:color="auto" w:sz="4" w:space="0"/>
            </w:tcBorders>
            <w:vAlign w:val="center"/>
          </w:tcPr>
          <w:p w14:paraId="3C464626">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335" w:type="dxa"/>
            <w:tcBorders>
              <w:top w:val="single" w:color="auto" w:sz="4" w:space="0"/>
              <w:left w:val="single" w:color="auto" w:sz="4" w:space="0"/>
              <w:bottom w:val="single" w:color="auto" w:sz="4" w:space="0"/>
              <w:right w:val="single" w:color="auto" w:sz="4" w:space="0"/>
            </w:tcBorders>
            <w:vAlign w:val="center"/>
          </w:tcPr>
          <w:p w14:paraId="0E72AC2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289" w:type="dxa"/>
            <w:tcBorders>
              <w:top w:val="single" w:color="auto" w:sz="4" w:space="0"/>
              <w:left w:val="single" w:color="auto" w:sz="4" w:space="0"/>
              <w:bottom w:val="single" w:color="auto" w:sz="4" w:space="0"/>
              <w:right w:val="single" w:color="auto" w:sz="4" w:space="0"/>
            </w:tcBorders>
            <w:vAlign w:val="center"/>
          </w:tcPr>
          <w:p w14:paraId="7CFFD219">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0F49B888">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51F66E6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7F05576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重碳酸盐</w:t>
            </w:r>
          </w:p>
        </w:tc>
        <w:tc>
          <w:tcPr>
            <w:tcW w:w="1334" w:type="dxa"/>
            <w:tcBorders>
              <w:top w:val="single" w:color="auto" w:sz="4" w:space="0"/>
              <w:left w:val="single" w:color="auto" w:sz="4" w:space="0"/>
              <w:bottom w:val="single" w:color="auto" w:sz="4" w:space="0"/>
              <w:right w:val="single" w:color="auto" w:sz="4" w:space="0"/>
            </w:tcBorders>
            <w:vAlign w:val="center"/>
          </w:tcPr>
          <w:p w14:paraId="41A13A1C">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335" w:type="dxa"/>
            <w:tcBorders>
              <w:top w:val="single" w:color="auto" w:sz="4" w:space="0"/>
              <w:left w:val="single" w:color="auto" w:sz="4" w:space="0"/>
              <w:bottom w:val="single" w:color="auto" w:sz="4" w:space="0"/>
              <w:right w:val="single" w:color="auto" w:sz="4" w:space="0"/>
            </w:tcBorders>
            <w:vAlign w:val="center"/>
          </w:tcPr>
          <w:p w14:paraId="43ED329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335" w:type="dxa"/>
            <w:tcBorders>
              <w:top w:val="single" w:color="auto" w:sz="4" w:space="0"/>
              <w:left w:val="single" w:color="auto" w:sz="4" w:space="0"/>
              <w:bottom w:val="single" w:color="auto" w:sz="4" w:space="0"/>
              <w:right w:val="single" w:color="auto" w:sz="4" w:space="0"/>
            </w:tcBorders>
            <w:vAlign w:val="center"/>
          </w:tcPr>
          <w:p w14:paraId="1EDFF57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289" w:type="dxa"/>
            <w:tcBorders>
              <w:top w:val="single" w:color="auto" w:sz="4" w:space="0"/>
              <w:left w:val="single" w:color="auto" w:sz="4" w:space="0"/>
              <w:bottom w:val="single" w:color="auto" w:sz="4" w:space="0"/>
              <w:right w:val="single" w:color="auto" w:sz="4" w:space="0"/>
            </w:tcBorders>
            <w:vAlign w:val="center"/>
          </w:tcPr>
          <w:p w14:paraId="1B369065">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0C151941">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14213C5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0B1E538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碳酸盐</w:t>
            </w:r>
          </w:p>
        </w:tc>
        <w:tc>
          <w:tcPr>
            <w:tcW w:w="1334" w:type="dxa"/>
            <w:tcBorders>
              <w:top w:val="single" w:color="auto" w:sz="4" w:space="0"/>
              <w:left w:val="single" w:color="auto" w:sz="4" w:space="0"/>
              <w:bottom w:val="single" w:color="auto" w:sz="4" w:space="0"/>
              <w:right w:val="single" w:color="auto" w:sz="4" w:space="0"/>
            </w:tcBorders>
            <w:vAlign w:val="center"/>
          </w:tcPr>
          <w:p w14:paraId="28E931A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335" w:type="dxa"/>
            <w:tcBorders>
              <w:top w:val="single" w:color="auto" w:sz="4" w:space="0"/>
              <w:left w:val="single" w:color="auto" w:sz="4" w:space="0"/>
              <w:bottom w:val="single" w:color="auto" w:sz="4" w:space="0"/>
              <w:right w:val="single" w:color="auto" w:sz="4" w:space="0"/>
            </w:tcBorders>
            <w:vAlign w:val="center"/>
          </w:tcPr>
          <w:p w14:paraId="2201F25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335" w:type="dxa"/>
            <w:tcBorders>
              <w:top w:val="single" w:color="auto" w:sz="4" w:space="0"/>
              <w:left w:val="single" w:color="auto" w:sz="4" w:space="0"/>
              <w:bottom w:val="single" w:color="auto" w:sz="4" w:space="0"/>
              <w:right w:val="single" w:color="auto" w:sz="4" w:space="0"/>
            </w:tcBorders>
            <w:vAlign w:val="center"/>
          </w:tcPr>
          <w:p w14:paraId="06FA7C87">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289" w:type="dxa"/>
            <w:tcBorders>
              <w:top w:val="single" w:color="auto" w:sz="4" w:space="0"/>
              <w:left w:val="single" w:color="auto" w:sz="4" w:space="0"/>
              <w:bottom w:val="single" w:color="auto" w:sz="4" w:space="0"/>
              <w:right w:val="single" w:color="auto" w:sz="4" w:space="0"/>
            </w:tcBorders>
            <w:vAlign w:val="center"/>
          </w:tcPr>
          <w:p w14:paraId="204ED36A">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7336A476">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57E1E61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41BB2EB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氨氮</w:t>
            </w:r>
          </w:p>
        </w:tc>
        <w:tc>
          <w:tcPr>
            <w:tcW w:w="1334" w:type="dxa"/>
            <w:tcBorders>
              <w:top w:val="single" w:color="auto" w:sz="4" w:space="0"/>
              <w:left w:val="single" w:color="auto" w:sz="4" w:space="0"/>
              <w:bottom w:val="single" w:color="auto" w:sz="4" w:space="0"/>
              <w:right w:val="single" w:color="auto" w:sz="4" w:space="0"/>
            </w:tcBorders>
            <w:vAlign w:val="center"/>
          </w:tcPr>
          <w:p w14:paraId="12BB1FD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0.52</w:t>
            </w:r>
          </w:p>
        </w:tc>
        <w:tc>
          <w:tcPr>
            <w:tcW w:w="1335" w:type="dxa"/>
            <w:tcBorders>
              <w:top w:val="single" w:color="auto" w:sz="4" w:space="0"/>
              <w:left w:val="single" w:color="auto" w:sz="4" w:space="0"/>
              <w:bottom w:val="single" w:color="auto" w:sz="4" w:space="0"/>
              <w:right w:val="single" w:color="auto" w:sz="4" w:space="0"/>
            </w:tcBorders>
            <w:vAlign w:val="center"/>
          </w:tcPr>
          <w:p w14:paraId="0AF8DEDD">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0.41</w:t>
            </w:r>
          </w:p>
        </w:tc>
        <w:tc>
          <w:tcPr>
            <w:tcW w:w="1335" w:type="dxa"/>
            <w:tcBorders>
              <w:top w:val="single" w:color="auto" w:sz="4" w:space="0"/>
              <w:left w:val="single" w:color="auto" w:sz="4" w:space="0"/>
              <w:bottom w:val="single" w:color="auto" w:sz="4" w:space="0"/>
              <w:right w:val="single" w:color="auto" w:sz="4" w:space="0"/>
            </w:tcBorders>
            <w:vAlign w:val="center"/>
          </w:tcPr>
          <w:p w14:paraId="11232477">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0.45</w:t>
            </w:r>
          </w:p>
        </w:tc>
        <w:tc>
          <w:tcPr>
            <w:tcW w:w="1289" w:type="dxa"/>
            <w:tcBorders>
              <w:top w:val="single" w:color="auto" w:sz="4" w:space="0"/>
              <w:left w:val="single" w:color="auto" w:sz="4" w:space="0"/>
              <w:bottom w:val="single" w:color="auto" w:sz="4" w:space="0"/>
              <w:right w:val="single" w:color="auto" w:sz="4" w:space="0"/>
            </w:tcBorders>
            <w:vAlign w:val="center"/>
          </w:tcPr>
          <w:p w14:paraId="0936455C">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5F673DF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360CC05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20F11173">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亚硝酸盐氮</w:t>
            </w:r>
          </w:p>
        </w:tc>
        <w:tc>
          <w:tcPr>
            <w:tcW w:w="1334" w:type="dxa"/>
            <w:tcBorders>
              <w:top w:val="single" w:color="auto" w:sz="4" w:space="0"/>
              <w:left w:val="single" w:color="auto" w:sz="4" w:space="0"/>
              <w:bottom w:val="single" w:color="auto" w:sz="4" w:space="0"/>
              <w:right w:val="single" w:color="auto" w:sz="4" w:space="0"/>
            </w:tcBorders>
            <w:vAlign w:val="center"/>
          </w:tcPr>
          <w:p w14:paraId="2777C05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0.01</w:t>
            </w:r>
          </w:p>
        </w:tc>
        <w:tc>
          <w:tcPr>
            <w:tcW w:w="1335" w:type="dxa"/>
            <w:tcBorders>
              <w:top w:val="single" w:color="auto" w:sz="4" w:space="0"/>
              <w:left w:val="single" w:color="auto" w:sz="4" w:space="0"/>
              <w:bottom w:val="single" w:color="auto" w:sz="4" w:space="0"/>
              <w:right w:val="single" w:color="auto" w:sz="4" w:space="0"/>
            </w:tcBorders>
            <w:vAlign w:val="center"/>
          </w:tcPr>
          <w:p w14:paraId="6EEDED1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0.02</w:t>
            </w:r>
          </w:p>
        </w:tc>
        <w:tc>
          <w:tcPr>
            <w:tcW w:w="1335" w:type="dxa"/>
            <w:tcBorders>
              <w:top w:val="single" w:color="auto" w:sz="4" w:space="0"/>
              <w:left w:val="single" w:color="auto" w:sz="4" w:space="0"/>
              <w:bottom w:val="single" w:color="auto" w:sz="4" w:space="0"/>
              <w:right w:val="single" w:color="auto" w:sz="4" w:space="0"/>
            </w:tcBorders>
            <w:vAlign w:val="center"/>
          </w:tcPr>
          <w:p w14:paraId="36116C4A">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0.01</w:t>
            </w:r>
          </w:p>
        </w:tc>
        <w:tc>
          <w:tcPr>
            <w:tcW w:w="1289" w:type="dxa"/>
            <w:tcBorders>
              <w:top w:val="single" w:color="auto" w:sz="4" w:space="0"/>
              <w:left w:val="single" w:color="auto" w:sz="4" w:space="0"/>
              <w:bottom w:val="single" w:color="auto" w:sz="4" w:space="0"/>
              <w:right w:val="single" w:color="auto" w:sz="4" w:space="0"/>
            </w:tcBorders>
            <w:vAlign w:val="center"/>
          </w:tcPr>
          <w:p w14:paraId="25AD06F6">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05FF38A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32AE041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2EC38548">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硝酸盐氮</w:t>
            </w:r>
          </w:p>
        </w:tc>
        <w:tc>
          <w:tcPr>
            <w:tcW w:w="1334" w:type="dxa"/>
            <w:tcBorders>
              <w:top w:val="single" w:color="auto" w:sz="4" w:space="0"/>
              <w:left w:val="single" w:color="auto" w:sz="4" w:space="0"/>
              <w:bottom w:val="single" w:color="auto" w:sz="4" w:space="0"/>
              <w:right w:val="single" w:color="auto" w:sz="4" w:space="0"/>
            </w:tcBorders>
            <w:vAlign w:val="center"/>
          </w:tcPr>
          <w:p w14:paraId="06E07DBB">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0.51</w:t>
            </w:r>
          </w:p>
        </w:tc>
        <w:tc>
          <w:tcPr>
            <w:tcW w:w="1335" w:type="dxa"/>
            <w:tcBorders>
              <w:top w:val="single" w:color="auto" w:sz="4" w:space="0"/>
              <w:left w:val="single" w:color="auto" w:sz="4" w:space="0"/>
              <w:bottom w:val="single" w:color="auto" w:sz="4" w:space="0"/>
              <w:right w:val="single" w:color="auto" w:sz="4" w:space="0"/>
            </w:tcBorders>
            <w:vAlign w:val="center"/>
          </w:tcPr>
          <w:p w14:paraId="73DA426C">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0.58</w:t>
            </w:r>
          </w:p>
        </w:tc>
        <w:tc>
          <w:tcPr>
            <w:tcW w:w="1335" w:type="dxa"/>
            <w:tcBorders>
              <w:top w:val="single" w:color="auto" w:sz="4" w:space="0"/>
              <w:left w:val="single" w:color="auto" w:sz="4" w:space="0"/>
              <w:bottom w:val="single" w:color="auto" w:sz="4" w:space="0"/>
              <w:right w:val="single" w:color="auto" w:sz="4" w:space="0"/>
            </w:tcBorders>
            <w:vAlign w:val="center"/>
          </w:tcPr>
          <w:p w14:paraId="433E3EE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0.62</w:t>
            </w:r>
          </w:p>
        </w:tc>
        <w:tc>
          <w:tcPr>
            <w:tcW w:w="1289" w:type="dxa"/>
            <w:tcBorders>
              <w:top w:val="single" w:color="auto" w:sz="4" w:space="0"/>
              <w:left w:val="single" w:color="auto" w:sz="4" w:space="0"/>
              <w:bottom w:val="single" w:color="auto" w:sz="4" w:space="0"/>
              <w:right w:val="single" w:color="auto" w:sz="4" w:space="0"/>
            </w:tcBorders>
            <w:vAlign w:val="center"/>
          </w:tcPr>
          <w:p w14:paraId="639385C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497A3F4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56089C9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17CD3D2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挥发酚</w:t>
            </w:r>
          </w:p>
        </w:tc>
        <w:tc>
          <w:tcPr>
            <w:tcW w:w="1334" w:type="dxa"/>
            <w:tcBorders>
              <w:top w:val="single" w:color="auto" w:sz="4" w:space="0"/>
              <w:left w:val="single" w:color="auto" w:sz="4" w:space="0"/>
              <w:bottom w:val="single" w:color="auto" w:sz="4" w:space="0"/>
              <w:right w:val="single" w:color="auto" w:sz="4" w:space="0"/>
            </w:tcBorders>
            <w:vAlign w:val="center"/>
          </w:tcPr>
          <w:p w14:paraId="51FF0E66">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0.15</w:t>
            </w:r>
          </w:p>
        </w:tc>
        <w:tc>
          <w:tcPr>
            <w:tcW w:w="1335" w:type="dxa"/>
            <w:tcBorders>
              <w:top w:val="single" w:color="auto" w:sz="4" w:space="0"/>
              <w:left w:val="single" w:color="auto" w:sz="4" w:space="0"/>
              <w:bottom w:val="single" w:color="auto" w:sz="4" w:space="0"/>
              <w:right w:val="single" w:color="auto" w:sz="4" w:space="0"/>
            </w:tcBorders>
            <w:vAlign w:val="center"/>
          </w:tcPr>
          <w:p w14:paraId="5C6FFB9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0.15</w:t>
            </w:r>
          </w:p>
        </w:tc>
        <w:tc>
          <w:tcPr>
            <w:tcW w:w="1335" w:type="dxa"/>
            <w:tcBorders>
              <w:top w:val="single" w:color="auto" w:sz="4" w:space="0"/>
              <w:left w:val="single" w:color="auto" w:sz="4" w:space="0"/>
              <w:bottom w:val="single" w:color="auto" w:sz="4" w:space="0"/>
              <w:right w:val="single" w:color="auto" w:sz="4" w:space="0"/>
            </w:tcBorders>
            <w:vAlign w:val="center"/>
          </w:tcPr>
          <w:p w14:paraId="58900D0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0.15</w:t>
            </w:r>
          </w:p>
        </w:tc>
        <w:tc>
          <w:tcPr>
            <w:tcW w:w="1289" w:type="dxa"/>
            <w:tcBorders>
              <w:top w:val="single" w:color="auto" w:sz="4" w:space="0"/>
              <w:left w:val="single" w:color="auto" w:sz="4" w:space="0"/>
              <w:bottom w:val="single" w:color="auto" w:sz="4" w:space="0"/>
              <w:right w:val="single" w:color="auto" w:sz="4" w:space="0"/>
            </w:tcBorders>
            <w:vAlign w:val="center"/>
          </w:tcPr>
          <w:p w14:paraId="7A7A29B9">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3B4428DA">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5C5AD18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3391F82A">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氰化物</w:t>
            </w:r>
          </w:p>
        </w:tc>
        <w:tc>
          <w:tcPr>
            <w:tcW w:w="1334" w:type="dxa"/>
            <w:tcBorders>
              <w:top w:val="single" w:color="auto" w:sz="4" w:space="0"/>
              <w:left w:val="single" w:color="auto" w:sz="4" w:space="0"/>
              <w:bottom w:val="single" w:color="auto" w:sz="4" w:space="0"/>
              <w:right w:val="single" w:color="auto" w:sz="4" w:space="0"/>
            </w:tcBorders>
            <w:vAlign w:val="center"/>
          </w:tcPr>
          <w:p w14:paraId="2A93C4B6">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0.08</w:t>
            </w:r>
          </w:p>
        </w:tc>
        <w:tc>
          <w:tcPr>
            <w:tcW w:w="1335" w:type="dxa"/>
            <w:tcBorders>
              <w:top w:val="single" w:color="auto" w:sz="4" w:space="0"/>
              <w:left w:val="single" w:color="auto" w:sz="4" w:space="0"/>
              <w:bottom w:val="single" w:color="auto" w:sz="4" w:space="0"/>
              <w:right w:val="single" w:color="auto" w:sz="4" w:space="0"/>
            </w:tcBorders>
            <w:vAlign w:val="center"/>
          </w:tcPr>
          <w:p w14:paraId="77D8378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0.08</w:t>
            </w:r>
          </w:p>
        </w:tc>
        <w:tc>
          <w:tcPr>
            <w:tcW w:w="1335" w:type="dxa"/>
            <w:tcBorders>
              <w:top w:val="single" w:color="auto" w:sz="4" w:space="0"/>
              <w:left w:val="single" w:color="auto" w:sz="4" w:space="0"/>
              <w:bottom w:val="single" w:color="auto" w:sz="4" w:space="0"/>
              <w:right w:val="single" w:color="auto" w:sz="4" w:space="0"/>
            </w:tcBorders>
            <w:vAlign w:val="center"/>
          </w:tcPr>
          <w:p w14:paraId="54E41CD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0.08</w:t>
            </w:r>
          </w:p>
        </w:tc>
        <w:tc>
          <w:tcPr>
            <w:tcW w:w="1289" w:type="dxa"/>
            <w:tcBorders>
              <w:top w:val="single" w:color="auto" w:sz="4" w:space="0"/>
              <w:left w:val="single" w:color="auto" w:sz="4" w:space="0"/>
              <w:bottom w:val="single" w:color="auto" w:sz="4" w:space="0"/>
              <w:right w:val="single" w:color="auto" w:sz="4" w:space="0"/>
            </w:tcBorders>
            <w:vAlign w:val="center"/>
          </w:tcPr>
          <w:p w14:paraId="6A7BCBD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56C7742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72B79AC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44823E5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汞</w:t>
            </w:r>
          </w:p>
        </w:tc>
        <w:tc>
          <w:tcPr>
            <w:tcW w:w="1334" w:type="dxa"/>
            <w:tcBorders>
              <w:top w:val="single" w:color="auto" w:sz="4" w:space="0"/>
              <w:left w:val="single" w:color="auto" w:sz="4" w:space="0"/>
              <w:bottom w:val="single" w:color="auto" w:sz="4" w:space="0"/>
              <w:right w:val="single" w:color="auto" w:sz="4" w:space="0"/>
            </w:tcBorders>
            <w:vAlign w:val="center"/>
          </w:tcPr>
          <w:p w14:paraId="47DE26CB">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0.04</w:t>
            </w:r>
          </w:p>
        </w:tc>
        <w:tc>
          <w:tcPr>
            <w:tcW w:w="1335" w:type="dxa"/>
            <w:tcBorders>
              <w:top w:val="single" w:color="auto" w:sz="4" w:space="0"/>
              <w:left w:val="single" w:color="auto" w:sz="4" w:space="0"/>
              <w:bottom w:val="single" w:color="auto" w:sz="4" w:space="0"/>
              <w:right w:val="single" w:color="auto" w:sz="4" w:space="0"/>
            </w:tcBorders>
            <w:vAlign w:val="center"/>
          </w:tcPr>
          <w:p w14:paraId="046C244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0.04</w:t>
            </w:r>
          </w:p>
        </w:tc>
        <w:tc>
          <w:tcPr>
            <w:tcW w:w="1335" w:type="dxa"/>
            <w:tcBorders>
              <w:top w:val="single" w:color="auto" w:sz="4" w:space="0"/>
              <w:left w:val="single" w:color="auto" w:sz="4" w:space="0"/>
              <w:bottom w:val="single" w:color="auto" w:sz="4" w:space="0"/>
              <w:right w:val="single" w:color="auto" w:sz="4" w:space="0"/>
            </w:tcBorders>
            <w:vAlign w:val="center"/>
          </w:tcPr>
          <w:p w14:paraId="6AC01705">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0.04</w:t>
            </w:r>
          </w:p>
        </w:tc>
        <w:tc>
          <w:tcPr>
            <w:tcW w:w="1289" w:type="dxa"/>
            <w:tcBorders>
              <w:top w:val="single" w:color="auto" w:sz="4" w:space="0"/>
              <w:left w:val="single" w:color="auto" w:sz="4" w:space="0"/>
              <w:bottom w:val="single" w:color="auto" w:sz="4" w:space="0"/>
              <w:right w:val="single" w:color="auto" w:sz="4" w:space="0"/>
            </w:tcBorders>
            <w:vAlign w:val="center"/>
          </w:tcPr>
          <w:p w14:paraId="57738EAB">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084B707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7EC402A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38CA527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砷</w:t>
            </w:r>
          </w:p>
        </w:tc>
        <w:tc>
          <w:tcPr>
            <w:tcW w:w="1334" w:type="dxa"/>
            <w:tcBorders>
              <w:top w:val="single" w:color="auto" w:sz="4" w:space="0"/>
              <w:left w:val="single" w:color="auto" w:sz="4" w:space="0"/>
              <w:bottom w:val="single" w:color="auto" w:sz="4" w:space="0"/>
              <w:right w:val="single" w:color="auto" w:sz="4" w:space="0"/>
            </w:tcBorders>
            <w:vAlign w:val="center"/>
          </w:tcPr>
          <w:p w14:paraId="70C8E4B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0.03</w:t>
            </w:r>
          </w:p>
        </w:tc>
        <w:tc>
          <w:tcPr>
            <w:tcW w:w="1335" w:type="dxa"/>
            <w:tcBorders>
              <w:top w:val="single" w:color="auto" w:sz="4" w:space="0"/>
              <w:left w:val="single" w:color="auto" w:sz="4" w:space="0"/>
              <w:bottom w:val="single" w:color="auto" w:sz="4" w:space="0"/>
              <w:right w:val="single" w:color="auto" w:sz="4" w:space="0"/>
            </w:tcBorders>
            <w:vAlign w:val="center"/>
          </w:tcPr>
          <w:p w14:paraId="782175B9">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0.03</w:t>
            </w:r>
          </w:p>
        </w:tc>
        <w:tc>
          <w:tcPr>
            <w:tcW w:w="1335" w:type="dxa"/>
            <w:tcBorders>
              <w:top w:val="single" w:color="auto" w:sz="4" w:space="0"/>
              <w:left w:val="single" w:color="auto" w:sz="4" w:space="0"/>
              <w:bottom w:val="single" w:color="auto" w:sz="4" w:space="0"/>
              <w:right w:val="single" w:color="auto" w:sz="4" w:space="0"/>
            </w:tcBorders>
            <w:vAlign w:val="center"/>
          </w:tcPr>
          <w:p w14:paraId="0753561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0.03</w:t>
            </w:r>
          </w:p>
        </w:tc>
        <w:tc>
          <w:tcPr>
            <w:tcW w:w="1289" w:type="dxa"/>
            <w:tcBorders>
              <w:top w:val="single" w:color="auto" w:sz="4" w:space="0"/>
              <w:left w:val="single" w:color="auto" w:sz="4" w:space="0"/>
              <w:bottom w:val="single" w:color="auto" w:sz="4" w:space="0"/>
              <w:right w:val="single" w:color="auto" w:sz="4" w:space="0"/>
            </w:tcBorders>
            <w:vAlign w:val="center"/>
          </w:tcPr>
          <w:p w14:paraId="23F6850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5B28B75F">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7E365DB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2E6A71F9">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镉</w:t>
            </w:r>
          </w:p>
        </w:tc>
        <w:tc>
          <w:tcPr>
            <w:tcW w:w="1334" w:type="dxa"/>
            <w:tcBorders>
              <w:top w:val="single" w:color="auto" w:sz="4" w:space="0"/>
              <w:left w:val="single" w:color="auto" w:sz="4" w:space="0"/>
              <w:bottom w:val="single" w:color="auto" w:sz="4" w:space="0"/>
              <w:right w:val="single" w:color="auto" w:sz="4" w:space="0"/>
            </w:tcBorders>
            <w:vAlign w:val="center"/>
          </w:tcPr>
          <w:p w14:paraId="586338B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0.02</w:t>
            </w:r>
          </w:p>
        </w:tc>
        <w:tc>
          <w:tcPr>
            <w:tcW w:w="1335" w:type="dxa"/>
            <w:tcBorders>
              <w:top w:val="single" w:color="auto" w:sz="4" w:space="0"/>
              <w:left w:val="single" w:color="auto" w:sz="4" w:space="0"/>
              <w:bottom w:val="single" w:color="auto" w:sz="4" w:space="0"/>
              <w:right w:val="single" w:color="auto" w:sz="4" w:space="0"/>
            </w:tcBorders>
            <w:vAlign w:val="center"/>
          </w:tcPr>
          <w:p w14:paraId="2CEC70A3">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0.02</w:t>
            </w:r>
          </w:p>
        </w:tc>
        <w:tc>
          <w:tcPr>
            <w:tcW w:w="1335" w:type="dxa"/>
            <w:tcBorders>
              <w:top w:val="single" w:color="auto" w:sz="4" w:space="0"/>
              <w:left w:val="single" w:color="auto" w:sz="4" w:space="0"/>
              <w:bottom w:val="single" w:color="auto" w:sz="4" w:space="0"/>
              <w:right w:val="single" w:color="auto" w:sz="4" w:space="0"/>
            </w:tcBorders>
            <w:vAlign w:val="center"/>
          </w:tcPr>
          <w:p w14:paraId="79203E3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0.02</w:t>
            </w:r>
          </w:p>
        </w:tc>
        <w:tc>
          <w:tcPr>
            <w:tcW w:w="1289" w:type="dxa"/>
            <w:tcBorders>
              <w:top w:val="single" w:color="auto" w:sz="4" w:space="0"/>
              <w:left w:val="single" w:color="auto" w:sz="4" w:space="0"/>
              <w:bottom w:val="single" w:color="auto" w:sz="4" w:space="0"/>
              <w:right w:val="single" w:color="auto" w:sz="4" w:space="0"/>
            </w:tcBorders>
            <w:vAlign w:val="center"/>
          </w:tcPr>
          <w:p w14:paraId="00B8837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49E97B4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50478FB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3B69636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六价铬</w:t>
            </w:r>
          </w:p>
        </w:tc>
        <w:tc>
          <w:tcPr>
            <w:tcW w:w="1334" w:type="dxa"/>
            <w:tcBorders>
              <w:top w:val="single" w:color="auto" w:sz="4" w:space="0"/>
              <w:left w:val="single" w:color="auto" w:sz="4" w:space="0"/>
              <w:bottom w:val="single" w:color="auto" w:sz="4" w:space="0"/>
              <w:right w:val="single" w:color="auto" w:sz="4" w:space="0"/>
            </w:tcBorders>
            <w:vAlign w:val="center"/>
          </w:tcPr>
          <w:p w14:paraId="55F145B9">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0.08</w:t>
            </w:r>
          </w:p>
        </w:tc>
        <w:tc>
          <w:tcPr>
            <w:tcW w:w="1335" w:type="dxa"/>
            <w:tcBorders>
              <w:top w:val="single" w:color="auto" w:sz="4" w:space="0"/>
              <w:left w:val="single" w:color="auto" w:sz="4" w:space="0"/>
              <w:bottom w:val="single" w:color="auto" w:sz="4" w:space="0"/>
              <w:right w:val="single" w:color="auto" w:sz="4" w:space="0"/>
            </w:tcBorders>
            <w:vAlign w:val="center"/>
          </w:tcPr>
          <w:p w14:paraId="3A68207D">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0.08</w:t>
            </w:r>
          </w:p>
        </w:tc>
        <w:tc>
          <w:tcPr>
            <w:tcW w:w="1335" w:type="dxa"/>
            <w:tcBorders>
              <w:top w:val="single" w:color="auto" w:sz="4" w:space="0"/>
              <w:left w:val="single" w:color="auto" w:sz="4" w:space="0"/>
              <w:bottom w:val="single" w:color="auto" w:sz="4" w:space="0"/>
              <w:right w:val="single" w:color="auto" w:sz="4" w:space="0"/>
            </w:tcBorders>
            <w:vAlign w:val="center"/>
          </w:tcPr>
          <w:p w14:paraId="2A3230E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0.08</w:t>
            </w:r>
          </w:p>
        </w:tc>
        <w:tc>
          <w:tcPr>
            <w:tcW w:w="1289" w:type="dxa"/>
            <w:tcBorders>
              <w:top w:val="single" w:color="auto" w:sz="4" w:space="0"/>
              <w:left w:val="single" w:color="auto" w:sz="4" w:space="0"/>
              <w:bottom w:val="single" w:color="auto" w:sz="4" w:space="0"/>
              <w:right w:val="single" w:color="auto" w:sz="4" w:space="0"/>
            </w:tcBorders>
            <w:vAlign w:val="center"/>
          </w:tcPr>
          <w:p w14:paraId="0EB5455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7FF2763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1F73B3E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555665B0">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铅</w:t>
            </w:r>
          </w:p>
        </w:tc>
        <w:tc>
          <w:tcPr>
            <w:tcW w:w="1334" w:type="dxa"/>
            <w:tcBorders>
              <w:top w:val="single" w:color="auto" w:sz="4" w:space="0"/>
              <w:left w:val="single" w:color="auto" w:sz="4" w:space="0"/>
              <w:bottom w:val="single" w:color="auto" w:sz="4" w:space="0"/>
              <w:right w:val="single" w:color="auto" w:sz="4" w:space="0"/>
            </w:tcBorders>
            <w:vAlign w:val="center"/>
          </w:tcPr>
          <w:p w14:paraId="1F8DDE6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w:t>
            </w:r>
          </w:p>
        </w:tc>
        <w:tc>
          <w:tcPr>
            <w:tcW w:w="1335" w:type="dxa"/>
            <w:tcBorders>
              <w:top w:val="single" w:color="auto" w:sz="4" w:space="0"/>
              <w:left w:val="single" w:color="auto" w:sz="4" w:space="0"/>
              <w:bottom w:val="single" w:color="auto" w:sz="4" w:space="0"/>
              <w:right w:val="single" w:color="auto" w:sz="4" w:space="0"/>
            </w:tcBorders>
            <w:vAlign w:val="center"/>
          </w:tcPr>
          <w:p w14:paraId="79E61A39">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w:t>
            </w:r>
          </w:p>
        </w:tc>
        <w:tc>
          <w:tcPr>
            <w:tcW w:w="1335" w:type="dxa"/>
            <w:tcBorders>
              <w:top w:val="single" w:color="auto" w:sz="4" w:space="0"/>
              <w:left w:val="single" w:color="auto" w:sz="4" w:space="0"/>
              <w:bottom w:val="single" w:color="auto" w:sz="4" w:space="0"/>
              <w:right w:val="single" w:color="auto" w:sz="4" w:space="0"/>
            </w:tcBorders>
            <w:vAlign w:val="center"/>
          </w:tcPr>
          <w:p w14:paraId="0B3873E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w:t>
            </w:r>
          </w:p>
        </w:tc>
        <w:tc>
          <w:tcPr>
            <w:tcW w:w="1289" w:type="dxa"/>
            <w:tcBorders>
              <w:top w:val="single" w:color="auto" w:sz="4" w:space="0"/>
              <w:left w:val="single" w:color="auto" w:sz="4" w:space="0"/>
              <w:bottom w:val="single" w:color="auto" w:sz="4" w:space="0"/>
              <w:right w:val="single" w:color="auto" w:sz="4" w:space="0"/>
            </w:tcBorders>
            <w:vAlign w:val="center"/>
          </w:tcPr>
          <w:p w14:paraId="0E8876F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6144FFC3">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20FC087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28F7836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铁</w:t>
            </w:r>
          </w:p>
        </w:tc>
        <w:tc>
          <w:tcPr>
            <w:tcW w:w="1334" w:type="dxa"/>
            <w:tcBorders>
              <w:top w:val="single" w:color="auto" w:sz="4" w:space="0"/>
              <w:left w:val="single" w:color="auto" w:sz="4" w:space="0"/>
              <w:bottom w:val="single" w:color="auto" w:sz="4" w:space="0"/>
              <w:right w:val="single" w:color="auto" w:sz="4" w:space="0"/>
            </w:tcBorders>
            <w:vAlign w:val="center"/>
          </w:tcPr>
          <w:p w14:paraId="43F36E17">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w:t>
            </w:r>
          </w:p>
        </w:tc>
        <w:tc>
          <w:tcPr>
            <w:tcW w:w="1335" w:type="dxa"/>
            <w:tcBorders>
              <w:top w:val="single" w:color="auto" w:sz="4" w:space="0"/>
              <w:left w:val="single" w:color="auto" w:sz="4" w:space="0"/>
              <w:bottom w:val="single" w:color="auto" w:sz="4" w:space="0"/>
              <w:right w:val="single" w:color="auto" w:sz="4" w:space="0"/>
            </w:tcBorders>
            <w:vAlign w:val="center"/>
          </w:tcPr>
          <w:p w14:paraId="29207EA3">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w:t>
            </w:r>
          </w:p>
        </w:tc>
        <w:tc>
          <w:tcPr>
            <w:tcW w:w="1335" w:type="dxa"/>
            <w:tcBorders>
              <w:top w:val="single" w:color="auto" w:sz="4" w:space="0"/>
              <w:left w:val="single" w:color="auto" w:sz="4" w:space="0"/>
              <w:bottom w:val="single" w:color="auto" w:sz="4" w:space="0"/>
              <w:right w:val="single" w:color="auto" w:sz="4" w:space="0"/>
            </w:tcBorders>
            <w:vAlign w:val="center"/>
          </w:tcPr>
          <w:p w14:paraId="774A177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w:t>
            </w:r>
          </w:p>
        </w:tc>
        <w:tc>
          <w:tcPr>
            <w:tcW w:w="1289" w:type="dxa"/>
            <w:tcBorders>
              <w:top w:val="single" w:color="auto" w:sz="4" w:space="0"/>
              <w:left w:val="single" w:color="auto" w:sz="4" w:space="0"/>
              <w:bottom w:val="single" w:color="auto" w:sz="4" w:space="0"/>
              <w:right w:val="single" w:color="auto" w:sz="4" w:space="0"/>
            </w:tcBorders>
            <w:vAlign w:val="center"/>
          </w:tcPr>
          <w:p w14:paraId="5211FD3A">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61E5BDE5">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588D5B0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14D7B338">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锰</w:t>
            </w:r>
          </w:p>
        </w:tc>
        <w:tc>
          <w:tcPr>
            <w:tcW w:w="1334" w:type="dxa"/>
            <w:tcBorders>
              <w:top w:val="single" w:color="auto" w:sz="4" w:space="0"/>
              <w:left w:val="single" w:color="auto" w:sz="4" w:space="0"/>
              <w:bottom w:val="single" w:color="auto" w:sz="4" w:space="0"/>
              <w:right w:val="single" w:color="auto" w:sz="4" w:space="0"/>
            </w:tcBorders>
            <w:vAlign w:val="center"/>
          </w:tcPr>
          <w:p w14:paraId="22776C13">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w:t>
            </w:r>
          </w:p>
        </w:tc>
        <w:tc>
          <w:tcPr>
            <w:tcW w:w="1335" w:type="dxa"/>
            <w:tcBorders>
              <w:top w:val="single" w:color="auto" w:sz="4" w:space="0"/>
              <w:left w:val="single" w:color="auto" w:sz="4" w:space="0"/>
              <w:bottom w:val="single" w:color="auto" w:sz="4" w:space="0"/>
              <w:right w:val="single" w:color="auto" w:sz="4" w:space="0"/>
            </w:tcBorders>
            <w:vAlign w:val="center"/>
          </w:tcPr>
          <w:p w14:paraId="527AD46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w:t>
            </w:r>
          </w:p>
        </w:tc>
        <w:tc>
          <w:tcPr>
            <w:tcW w:w="1335" w:type="dxa"/>
            <w:tcBorders>
              <w:top w:val="single" w:color="auto" w:sz="4" w:space="0"/>
              <w:left w:val="single" w:color="auto" w:sz="4" w:space="0"/>
              <w:bottom w:val="single" w:color="auto" w:sz="4" w:space="0"/>
              <w:right w:val="single" w:color="auto" w:sz="4" w:space="0"/>
            </w:tcBorders>
            <w:vAlign w:val="center"/>
          </w:tcPr>
          <w:p w14:paraId="35F0F25F">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w:t>
            </w:r>
          </w:p>
        </w:tc>
        <w:tc>
          <w:tcPr>
            <w:tcW w:w="1289" w:type="dxa"/>
            <w:tcBorders>
              <w:top w:val="single" w:color="auto" w:sz="4" w:space="0"/>
              <w:left w:val="single" w:color="auto" w:sz="4" w:space="0"/>
              <w:bottom w:val="single" w:color="auto" w:sz="4" w:space="0"/>
              <w:right w:val="single" w:color="auto" w:sz="4" w:space="0"/>
            </w:tcBorders>
            <w:vAlign w:val="center"/>
          </w:tcPr>
          <w:p w14:paraId="713F2C7A">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3FD5091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2FE22BF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67D7D53E">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总硬度</w:t>
            </w:r>
          </w:p>
        </w:tc>
        <w:tc>
          <w:tcPr>
            <w:tcW w:w="1334" w:type="dxa"/>
            <w:tcBorders>
              <w:top w:val="single" w:color="auto" w:sz="4" w:space="0"/>
              <w:left w:val="single" w:color="auto" w:sz="4" w:space="0"/>
              <w:bottom w:val="single" w:color="auto" w:sz="4" w:space="0"/>
              <w:right w:val="single" w:color="auto" w:sz="4" w:space="0"/>
            </w:tcBorders>
            <w:vAlign w:val="center"/>
          </w:tcPr>
          <w:p w14:paraId="4DBEF229">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1.41</w:t>
            </w:r>
          </w:p>
        </w:tc>
        <w:tc>
          <w:tcPr>
            <w:tcW w:w="1335" w:type="dxa"/>
            <w:tcBorders>
              <w:top w:val="single" w:color="auto" w:sz="4" w:space="0"/>
              <w:left w:val="single" w:color="auto" w:sz="4" w:space="0"/>
              <w:bottom w:val="single" w:color="auto" w:sz="4" w:space="0"/>
              <w:right w:val="single" w:color="auto" w:sz="4" w:space="0"/>
            </w:tcBorders>
            <w:vAlign w:val="center"/>
          </w:tcPr>
          <w:p w14:paraId="67720E2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1.51</w:t>
            </w:r>
          </w:p>
        </w:tc>
        <w:tc>
          <w:tcPr>
            <w:tcW w:w="1335" w:type="dxa"/>
            <w:tcBorders>
              <w:top w:val="single" w:color="auto" w:sz="4" w:space="0"/>
              <w:left w:val="single" w:color="auto" w:sz="4" w:space="0"/>
              <w:bottom w:val="single" w:color="auto" w:sz="4" w:space="0"/>
              <w:right w:val="single" w:color="auto" w:sz="4" w:space="0"/>
            </w:tcBorders>
            <w:vAlign w:val="center"/>
          </w:tcPr>
          <w:p w14:paraId="300C6AC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1.54</w:t>
            </w:r>
          </w:p>
        </w:tc>
        <w:tc>
          <w:tcPr>
            <w:tcW w:w="1289" w:type="dxa"/>
            <w:tcBorders>
              <w:top w:val="single" w:color="auto" w:sz="4" w:space="0"/>
              <w:left w:val="single" w:color="auto" w:sz="4" w:space="0"/>
              <w:bottom w:val="single" w:color="auto" w:sz="4" w:space="0"/>
              <w:right w:val="single" w:color="auto" w:sz="4" w:space="0"/>
            </w:tcBorders>
            <w:vAlign w:val="center"/>
          </w:tcPr>
          <w:p w14:paraId="52A68F9C">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超标</w:t>
            </w:r>
          </w:p>
        </w:tc>
        <w:tc>
          <w:tcPr>
            <w:tcW w:w="1289" w:type="dxa"/>
            <w:tcBorders>
              <w:top w:val="single" w:color="auto" w:sz="4" w:space="0"/>
              <w:left w:val="single" w:color="auto" w:sz="4" w:space="0"/>
              <w:bottom w:val="single" w:color="auto" w:sz="4" w:space="0"/>
              <w:right w:val="single" w:color="auto" w:sz="4" w:space="0"/>
            </w:tcBorders>
            <w:vAlign w:val="center"/>
          </w:tcPr>
          <w:p w14:paraId="38DE564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p>
        </w:tc>
      </w:tr>
      <w:tr w14:paraId="5FA386A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26223375">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0"/>
                <w:sz w:val="21"/>
                <w:szCs w:val="21"/>
                <w:highlight w:val="none"/>
                <w:lang w:val="en-US" w:eastAsia="zh-CN" w:bidi="ar"/>
              </w:rPr>
            </w:pPr>
            <w:r>
              <w:rPr>
                <w:rFonts w:hint="default" w:ascii="Times New Roman" w:hAnsi="Times New Roman" w:eastAsia="宋体" w:cs="Times New Roman"/>
                <w:color w:val="FF0000"/>
                <w:kern w:val="0"/>
                <w:sz w:val="21"/>
                <w:szCs w:val="21"/>
                <w:highlight w:val="none"/>
                <w:lang w:bidi="ar"/>
              </w:rPr>
              <w:t>溶解性总固体</w:t>
            </w:r>
          </w:p>
        </w:tc>
        <w:tc>
          <w:tcPr>
            <w:tcW w:w="1334" w:type="dxa"/>
            <w:tcBorders>
              <w:top w:val="single" w:color="auto" w:sz="4" w:space="0"/>
              <w:left w:val="single" w:color="auto" w:sz="4" w:space="0"/>
              <w:bottom w:val="single" w:color="auto" w:sz="4" w:space="0"/>
              <w:right w:val="single" w:color="auto" w:sz="4" w:space="0"/>
            </w:tcBorders>
            <w:vAlign w:val="center"/>
          </w:tcPr>
          <w:p w14:paraId="77091BCB">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0000FF"/>
                <w:kern w:val="0"/>
                <w:sz w:val="21"/>
                <w:szCs w:val="21"/>
                <w:highlight w:val="none"/>
                <w:lang w:val="en-US" w:eastAsia="zh-CN" w:bidi="ar"/>
              </w:rPr>
            </w:pPr>
            <w:r>
              <w:rPr>
                <w:rFonts w:hint="default" w:ascii="Times New Roman" w:hAnsi="Times New Roman" w:eastAsia="宋体" w:cs="Times New Roman"/>
                <w:b/>
                <w:bCs/>
                <w:color w:val="0000FF"/>
                <w:kern w:val="0"/>
                <w:sz w:val="21"/>
                <w:szCs w:val="21"/>
                <w:highlight w:val="none"/>
                <w:lang w:val="en-US" w:eastAsia="zh-CN" w:bidi="ar"/>
              </w:rPr>
              <w:t>1.964</w:t>
            </w:r>
          </w:p>
        </w:tc>
        <w:tc>
          <w:tcPr>
            <w:tcW w:w="1335" w:type="dxa"/>
            <w:tcBorders>
              <w:top w:val="single" w:color="auto" w:sz="4" w:space="0"/>
              <w:left w:val="single" w:color="auto" w:sz="4" w:space="0"/>
              <w:bottom w:val="single" w:color="auto" w:sz="4" w:space="0"/>
              <w:right w:val="single" w:color="auto" w:sz="4" w:space="0"/>
            </w:tcBorders>
            <w:vAlign w:val="center"/>
          </w:tcPr>
          <w:p w14:paraId="4A8154D9">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0000FF"/>
                <w:kern w:val="0"/>
                <w:sz w:val="21"/>
                <w:szCs w:val="21"/>
                <w:highlight w:val="none"/>
                <w:lang w:val="en-US" w:eastAsia="zh-CN" w:bidi="ar"/>
              </w:rPr>
            </w:pPr>
            <w:r>
              <w:rPr>
                <w:rFonts w:hint="default" w:ascii="Times New Roman" w:hAnsi="Times New Roman" w:eastAsia="宋体" w:cs="Times New Roman"/>
                <w:b/>
                <w:bCs/>
                <w:color w:val="0000FF"/>
                <w:kern w:val="0"/>
                <w:sz w:val="21"/>
                <w:szCs w:val="21"/>
                <w:highlight w:val="none"/>
                <w:lang w:val="en-US" w:eastAsia="zh-CN" w:bidi="ar"/>
              </w:rPr>
              <w:t>1.935</w:t>
            </w:r>
          </w:p>
        </w:tc>
        <w:tc>
          <w:tcPr>
            <w:tcW w:w="1335" w:type="dxa"/>
            <w:tcBorders>
              <w:top w:val="single" w:color="auto" w:sz="4" w:space="0"/>
              <w:left w:val="single" w:color="auto" w:sz="4" w:space="0"/>
              <w:bottom w:val="single" w:color="auto" w:sz="4" w:space="0"/>
              <w:right w:val="single" w:color="auto" w:sz="4" w:space="0"/>
            </w:tcBorders>
            <w:vAlign w:val="center"/>
          </w:tcPr>
          <w:p w14:paraId="3569B928">
            <w:pPr>
              <w:keepNext w:val="0"/>
              <w:keepLines w:val="0"/>
              <w:pageBreakBefore w:val="0"/>
              <w:widowControl/>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0000FF"/>
                <w:kern w:val="0"/>
                <w:sz w:val="21"/>
                <w:szCs w:val="21"/>
                <w:highlight w:val="none"/>
                <w:lang w:val="en-US" w:eastAsia="zh-CN" w:bidi="ar"/>
              </w:rPr>
            </w:pPr>
            <w:r>
              <w:rPr>
                <w:rFonts w:hint="default" w:ascii="Times New Roman" w:hAnsi="Times New Roman" w:eastAsia="宋体" w:cs="Times New Roman"/>
                <w:b/>
                <w:bCs/>
                <w:color w:val="0000FF"/>
                <w:kern w:val="0"/>
                <w:sz w:val="21"/>
                <w:szCs w:val="21"/>
                <w:highlight w:val="none"/>
                <w:lang w:val="en-US" w:eastAsia="zh-CN" w:bidi="ar"/>
              </w:rPr>
              <w:t>1.988</w:t>
            </w:r>
          </w:p>
        </w:tc>
        <w:tc>
          <w:tcPr>
            <w:tcW w:w="1289" w:type="dxa"/>
            <w:tcBorders>
              <w:top w:val="single" w:color="auto" w:sz="4" w:space="0"/>
              <w:left w:val="single" w:color="auto" w:sz="4" w:space="0"/>
              <w:bottom w:val="single" w:color="auto" w:sz="4" w:space="0"/>
              <w:right w:val="single" w:color="auto" w:sz="4" w:space="0"/>
            </w:tcBorders>
            <w:vAlign w:val="center"/>
          </w:tcPr>
          <w:p w14:paraId="0DFD7B49">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超标</w:t>
            </w:r>
          </w:p>
        </w:tc>
        <w:tc>
          <w:tcPr>
            <w:tcW w:w="1289" w:type="dxa"/>
            <w:tcBorders>
              <w:top w:val="single" w:color="auto" w:sz="4" w:space="0"/>
              <w:left w:val="single" w:color="auto" w:sz="4" w:space="0"/>
              <w:bottom w:val="single" w:color="auto" w:sz="4" w:space="0"/>
              <w:right w:val="single" w:color="auto" w:sz="4" w:space="0"/>
            </w:tcBorders>
            <w:vAlign w:val="center"/>
          </w:tcPr>
          <w:p w14:paraId="23E77EE5">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39DA499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1F5D585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耗氧量</w:t>
            </w:r>
          </w:p>
        </w:tc>
        <w:tc>
          <w:tcPr>
            <w:tcW w:w="1334" w:type="dxa"/>
            <w:tcBorders>
              <w:top w:val="single" w:color="auto" w:sz="4" w:space="0"/>
              <w:left w:val="single" w:color="auto" w:sz="4" w:space="0"/>
              <w:bottom w:val="single" w:color="auto" w:sz="4" w:space="0"/>
              <w:right w:val="single" w:color="auto" w:sz="4" w:space="0"/>
            </w:tcBorders>
            <w:vAlign w:val="center"/>
          </w:tcPr>
          <w:p w14:paraId="19E4B6C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0.49</w:t>
            </w:r>
          </w:p>
        </w:tc>
        <w:tc>
          <w:tcPr>
            <w:tcW w:w="1335" w:type="dxa"/>
            <w:tcBorders>
              <w:top w:val="single" w:color="auto" w:sz="4" w:space="0"/>
              <w:left w:val="single" w:color="auto" w:sz="4" w:space="0"/>
              <w:bottom w:val="single" w:color="auto" w:sz="4" w:space="0"/>
              <w:right w:val="single" w:color="auto" w:sz="4" w:space="0"/>
            </w:tcBorders>
            <w:vAlign w:val="center"/>
          </w:tcPr>
          <w:p w14:paraId="67742685">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0.51</w:t>
            </w:r>
          </w:p>
        </w:tc>
        <w:tc>
          <w:tcPr>
            <w:tcW w:w="1335" w:type="dxa"/>
            <w:tcBorders>
              <w:top w:val="single" w:color="auto" w:sz="4" w:space="0"/>
              <w:left w:val="single" w:color="auto" w:sz="4" w:space="0"/>
              <w:bottom w:val="single" w:color="auto" w:sz="4" w:space="0"/>
              <w:right w:val="single" w:color="auto" w:sz="4" w:space="0"/>
            </w:tcBorders>
            <w:vAlign w:val="center"/>
          </w:tcPr>
          <w:p w14:paraId="244A6E5D">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0.43</w:t>
            </w:r>
          </w:p>
        </w:tc>
        <w:tc>
          <w:tcPr>
            <w:tcW w:w="1289" w:type="dxa"/>
            <w:tcBorders>
              <w:top w:val="single" w:color="auto" w:sz="4" w:space="0"/>
              <w:left w:val="single" w:color="auto" w:sz="4" w:space="0"/>
              <w:bottom w:val="single" w:color="auto" w:sz="4" w:space="0"/>
              <w:right w:val="single" w:color="auto" w:sz="4" w:space="0"/>
            </w:tcBorders>
            <w:vAlign w:val="center"/>
          </w:tcPr>
          <w:p w14:paraId="6F8EDBD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2C866ED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69A9B03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1CC8759D">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硫酸盐</w:t>
            </w:r>
          </w:p>
        </w:tc>
        <w:tc>
          <w:tcPr>
            <w:tcW w:w="1334" w:type="dxa"/>
            <w:tcBorders>
              <w:top w:val="single" w:color="auto" w:sz="4" w:space="0"/>
              <w:left w:val="single" w:color="auto" w:sz="4" w:space="0"/>
              <w:bottom w:val="single" w:color="auto" w:sz="4" w:space="0"/>
              <w:right w:val="single" w:color="auto" w:sz="4" w:space="0"/>
            </w:tcBorders>
            <w:vAlign w:val="center"/>
          </w:tcPr>
          <w:p w14:paraId="0AF4286F">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1.01</w:t>
            </w:r>
          </w:p>
        </w:tc>
        <w:tc>
          <w:tcPr>
            <w:tcW w:w="1335" w:type="dxa"/>
            <w:tcBorders>
              <w:top w:val="single" w:color="auto" w:sz="4" w:space="0"/>
              <w:left w:val="single" w:color="auto" w:sz="4" w:space="0"/>
              <w:bottom w:val="single" w:color="auto" w:sz="4" w:space="0"/>
              <w:right w:val="single" w:color="auto" w:sz="4" w:space="0"/>
            </w:tcBorders>
            <w:vAlign w:val="center"/>
          </w:tcPr>
          <w:p w14:paraId="06BB83F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1.07</w:t>
            </w:r>
          </w:p>
        </w:tc>
        <w:tc>
          <w:tcPr>
            <w:tcW w:w="1335" w:type="dxa"/>
            <w:tcBorders>
              <w:top w:val="single" w:color="auto" w:sz="4" w:space="0"/>
              <w:left w:val="single" w:color="auto" w:sz="4" w:space="0"/>
              <w:bottom w:val="single" w:color="auto" w:sz="4" w:space="0"/>
              <w:right w:val="single" w:color="auto" w:sz="4" w:space="0"/>
            </w:tcBorders>
            <w:vAlign w:val="center"/>
          </w:tcPr>
          <w:p w14:paraId="71C8DF7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1.12</w:t>
            </w:r>
          </w:p>
        </w:tc>
        <w:tc>
          <w:tcPr>
            <w:tcW w:w="1289" w:type="dxa"/>
            <w:tcBorders>
              <w:top w:val="single" w:color="auto" w:sz="4" w:space="0"/>
              <w:left w:val="single" w:color="auto" w:sz="4" w:space="0"/>
              <w:bottom w:val="single" w:color="auto" w:sz="4" w:space="0"/>
              <w:right w:val="single" w:color="auto" w:sz="4" w:space="0"/>
            </w:tcBorders>
            <w:vAlign w:val="center"/>
          </w:tcPr>
          <w:p w14:paraId="53BF900D">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超标</w:t>
            </w:r>
          </w:p>
        </w:tc>
        <w:tc>
          <w:tcPr>
            <w:tcW w:w="1289" w:type="dxa"/>
            <w:tcBorders>
              <w:top w:val="single" w:color="auto" w:sz="4" w:space="0"/>
              <w:left w:val="single" w:color="auto" w:sz="4" w:space="0"/>
              <w:bottom w:val="single" w:color="auto" w:sz="4" w:space="0"/>
              <w:right w:val="single" w:color="auto" w:sz="4" w:space="0"/>
            </w:tcBorders>
            <w:vAlign w:val="center"/>
          </w:tcPr>
          <w:p w14:paraId="35DCBAB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57BF3EC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337A99BB">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氯化物</w:t>
            </w:r>
          </w:p>
        </w:tc>
        <w:tc>
          <w:tcPr>
            <w:tcW w:w="1334" w:type="dxa"/>
            <w:tcBorders>
              <w:top w:val="single" w:color="auto" w:sz="4" w:space="0"/>
              <w:left w:val="single" w:color="auto" w:sz="4" w:space="0"/>
              <w:bottom w:val="single" w:color="auto" w:sz="4" w:space="0"/>
              <w:right w:val="single" w:color="auto" w:sz="4" w:space="0"/>
            </w:tcBorders>
            <w:vAlign w:val="center"/>
          </w:tcPr>
          <w:p w14:paraId="360270FB">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1.08</w:t>
            </w:r>
          </w:p>
        </w:tc>
        <w:tc>
          <w:tcPr>
            <w:tcW w:w="1335" w:type="dxa"/>
            <w:tcBorders>
              <w:top w:val="single" w:color="auto" w:sz="4" w:space="0"/>
              <w:left w:val="single" w:color="auto" w:sz="4" w:space="0"/>
              <w:bottom w:val="single" w:color="auto" w:sz="4" w:space="0"/>
              <w:right w:val="single" w:color="auto" w:sz="4" w:space="0"/>
            </w:tcBorders>
            <w:vAlign w:val="center"/>
          </w:tcPr>
          <w:p w14:paraId="772FAB8D">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1.05</w:t>
            </w:r>
          </w:p>
        </w:tc>
        <w:tc>
          <w:tcPr>
            <w:tcW w:w="1335" w:type="dxa"/>
            <w:tcBorders>
              <w:top w:val="single" w:color="auto" w:sz="4" w:space="0"/>
              <w:left w:val="single" w:color="auto" w:sz="4" w:space="0"/>
              <w:bottom w:val="single" w:color="auto" w:sz="4" w:space="0"/>
              <w:right w:val="single" w:color="auto" w:sz="4" w:space="0"/>
            </w:tcBorders>
            <w:vAlign w:val="center"/>
          </w:tcPr>
          <w:p w14:paraId="35B7B4C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1.02</w:t>
            </w:r>
          </w:p>
        </w:tc>
        <w:tc>
          <w:tcPr>
            <w:tcW w:w="1289" w:type="dxa"/>
            <w:tcBorders>
              <w:top w:val="single" w:color="auto" w:sz="4" w:space="0"/>
              <w:left w:val="single" w:color="auto" w:sz="4" w:space="0"/>
              <w:bottom w:val="single" w:color="auto" w:sz="4" w:space="0"/>
              <w:right w:val="single" w:color="auto" w:sz="4" w:space="0"/>
            </w:tcBorders>
            <w:vAlign w:val="center"/>
          </w:tcPr>
          <w:p w14:paraId="6F8A8ECB">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超标</w:t>
            </w:r>
          </w:p>
        </w:tc>
        <w:tc>
          <w:tcPr>
            <w:tcW w:w="1289" w:type="dxa"/>
            <w:tcBorders>
              <w:top w:val="single" w:color="auto" w:sz="4" w:space="0"/>
              <w:left w:val="single" w:color="auto" w:sz="4" w:space="0"/>
              <w:bottom w:val="single" w:color="auto" w:sz="4" w:space="0"/>
              <w:right w:val="single" w:color="auto" w:sz="4" w:space="0"/>
            </w:tcBorders>
            <w:vAlign w:val="center"/>
          </w:tcPr>
          <w:p w14:paraId="5310F08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39B524B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62AA7971">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总大肠菌群数</w:t>
            </w:r>
          </w:p>
        </w:tc>
        <w:tc>
          <w:tcPr>
            <w:tcW w:w="1334" w:type="dxa"/>
            <w:tcBorders>
              <w:top w:val="single" w:color="auto" w:sz="4" w:space="0"/>
              <w:left w:val="single" w:color="auto" w:sz="4" w:space="0"/>
              <w:bottom w:val="single" w:color="auto" w:sz="4" w:space="0"/>
              <w:right w:val="single" w:color="auto" w:sz="4" w:space="0"/>
            </w:tcBorders>
            <w:vAlign w:val="center"/>
          </w:tcPr>
          <w:p w14:paraId="0A925089">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0.33</w:t>
            </w:r>
          </w:p>
        </w:tc>
        <w:tc>
          <w:tcPr>
            <w:tcW w:w="1335" w:type="dxa"/>
            <w:tcBorders>
              <w:top w:val="single" w:color="auto" w:sz="4" w:space="0"/>
              <w:left w:val="single" w:color="auto" w:sz="4" w:space="0"/>
              <w:bottom w:val="single" w:color="auto" w:sz="4" w:space="0"/>
              <w:right w:val="single" w:color="auto" w:sz="4" w:space="0"/>
            </w:tcBorders>
            <w:vAlign w:val="center"/>
          </w:tcPr>
          <w:p w14:paraId="4111DA6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0.67</w:t>
            </w:r>
          </w:p>
        </w:tc>
        <w:tc>
          <w:tcPr>
            <w:tcW w:w="1335" w:type="dxa"/>
            <w:tcBorders>
              <w:top w:val="single" w:color="auto" w:sz="4" w:space="0"/>
              <w:left w:val="single" w:color="auto" w:sz="4" w:space="0"/>
              <w:bottom w:val="single" w:color="auto" w:sz="4" w:space="0"/>
              <w:right w:val="single" w:color="auto" w:sz="4" w:space="0"/>
            </w:tcBorders>
            <w:vAlign w:val="center"/>
          </w:tcPr>
          <w:p w14:paraId="6BE72D96">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0.33</w:t>
            </w:r>
          </w:p>
        </w:tc>
        <w:tc>
          <w:tcPr>
            <w:tcW w:w="1289" w:type="dxa"/>
            <w:tcBorders>
              <w:top w:val="single" w:color="auto" w:sz="4" w:space="0"/>
              <w:left w:val="single" w:color="auto" w:sz="4" w:space="0"/>
              <w:bottom w:val="single" w:color="auto" w:sz="4" w:space="0"/>
              <w:right w:val="single" w:color="auto" w:sz="4" w:space="0"/>
            </w:tcBorders>
            <w:vAlign w:val="center"/>
          </w:tcPr>
          <w:p w14:paraId="0263CB0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60169A4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56EB450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5EFC8FDF">
            <w:pPr>
              <w:keepNext w:val="0"/>
              <w:keepLines w:val="0"/>
              <w:pageBreakBefore w:val="0"/>
              <w:kinsoku/>
              <w:wordWrap/>
              <w:overflowPunct/>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细菌总数</w:t>
            </w:r>
          </w:p>
        </w:tc>
        <w:tc>
          <w:tcPr>
            <w:tcW w:w="1334" w:type="dxa"/>
            <w:tcBorders>
              <w:top w:val="single" w:color="auto" w:sz="4" w:space="0"/>
              <w:left w:val="single" w:color="auto" w:sz="4" w:space="0"/>
              <w:bottom w:val="single" w:color="auto" w:sz="4" w:space="0"/>
              <w:right w:val="single" w:color="auto" w:sz="4" w:space="0"/>
            </w:tcBorders>
            <w:vAlign w:val="center"/>
          </w:tcPr>
          <w:p w14:paraId="693E9F3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0.36</w:t>
            </w:r>
          </w:p>
        </w:tc>
        <w:tc>
          <w:tcPr>
            <w:tcW w:w="1335" w:type="dxa"/>
            <w:tcBorders>
              <w:top w:val="single" w:color="auto" w:sz="4" w:space="0"/>
              <w:left w:val="single" w:color="auto" w:sz="4" w:space="0"/>
              <w:bottom w:val="single" w:color="auto" w:sz="4" w:space="0"/>
              <w:right w:val="single" w:color="auto" w:sz="4" w:space="0"/>
            </w:tcBorders>
            <w:vAlign w:val="center"/>
          </w:tcPr>
          <w:p w14:paraId="2020AA77">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0.59</w:t>
            </w:r>
          </w:p>
        </w:tc>
        <w:tc>
          <w:tcPr>
            <w:tcW w:w="1335" w:type="dxa"/>
            <w:tcBorders>
              <w:top w:val="single" w:color="auto" w:sz="4" w:space="0"/>
              <w:left w:val="single" w:color="auto" w:sz="4" w:space="0"/>
              <w:bottom w:val="single" w:color="auto" w:sz="4" w:space="0"/>
              <w:right w:val="single" w:color="auto" w:sz="4" w:space="0"/>
            </w:tcBorders>
            <w:vAlign w:val="center"/>
          </w:tcPr>
          <w:p w14:paraId="7C972C6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0.21</w:t>
            </w:r>
          </w:p>
        </w:tc>
        <w:tc>
          <w:tcPr>
            <w:tcW w:w="1289" w:type="dxa"/>
            <w:tcBorders>
              <w:top w:val="single" w:color="auto" w:sz="4" w:space="0"/>
              <w:left w:val="single" w:color="auto" w:sz="4" w:space="0"/>
              <w:bottom w:val="single" w:color="auto" w:sz="4" w:space="0"/>
              <w:right w:val="single" w:color="auto" w:sz="4" w:space="0"/>
            </w:tcBorders>
            <w:vAlign w:val="center"/>
          </w:tcPr>
          <w:p w14:paraId="4755045D">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34DA91BC">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0DD01AA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7D1B1A9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色度</w:t>
            </w:r>
          </w:p>
        </w:tc>
        <w:tc>
          <w:tcPr>
            <w:tcW w:w="1334" w:type="dxa"/>
            <w:tcBorders>
              <w:top w:val="single" w:color="auto" w:sz="4" w:space="0"/>
              <w:left w:val="single" w:color="auto" w:sz="4" w:space="0"/>
              <w:bottom w:val="single" w:color="auto" w:sz="4" w:space="0"/>
              <w:right w:val="single" w:color="auto" w:sz="4" w:space="0"/>
            </w:tcBorders>
            <w:vAlign w:val="center"/>
          </w:tcPr>
          <w:p w14:paraId="4C775A0F">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0.33</w:t>
            </w:r>
          </w:p>
        </w:tc>
        <w:tc>
          <w:tcPr>
            <w:tcW w:w="1335" w:type="dxa"/>
            <w:tcBorders>
              <w:top w:val="single" w:color="auto" w:sz="4" w:space="0"/>
              <w:left w:val="single" w:color="auto" w:sz="4" w:space="0"/>
              <w:bottom w:val="single" w:color="auto" w:sz="4" w:space="0"/>
              <w:right w:val="single" w:color="auto" w:sz="4" w:space="0"/>
            </w:tcBorders>
            <w:vAlign w:val="center"/>
          </w:tcPr>
          <w:p w14:paraId="30306D7D">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0.33</w:t>
            </w:r>
          </w:p>
        </w:tc>
        <w:tc>
          <w:tcPr>
            <w:tcW w:w="1335" w:type="dxa"/>
            <w:tcBorders>
              <w:top w:val="single" w:color="auto" w:sz="4" w:space="0"/>
              <w:left w:val="single" w:color="auto" w:sz="4" w:space="0"/>
              <w:bottom w:val="single" w:color="auto" w:sz="4" w:space="0"/>
              <w:right w:val="single" w:color="auto" w:sz="4" w:space="0"/>
            </w:tcBorders>
            <w:vAlign w:val="center"/>
          </w:tcPr>
          <w:p w14:paraId="427C443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0.33</w:t>
            </w:r>
          </w:p>
        </w:tc>
        <w:tc>
          <w:tcPr>
            <w:tcW w:w="1289" w:type="dxa"/>
            <w:tcBorders>
              <w:top w:val="single" w:color="auto" w:sz="4" w:space="0"/>
              <w:left w:val="single" w:color="auto" w:sz="4" w:space="0"/>
              <w:bottom w:val="single" w:color="auto" w:sz="4" w:space="0"/>
              <w:right w:val="single" w:color="auto" w:sz="4" w:space="0"/>
            </w:tcBorders>
            <w:vAlign w:val="center"/>
          </w:tcPr>
          <w:p w14:paraId="569F5BBD">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25F5433C">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0D35CDA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173897F7">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臭</w:t>
            </w:r>
          </w:p>
        </w:tc>
        <w:tc>
          <w:tcPr>
            <w:tcW w:w="1334" w:type="dxa"/>
            <w:tcBorders>
              <w:top w:val="single" w:color="auto" w:sz="4" w:space="0"/>
              <w:left w:val="single" w:color="auto" w:sz="4" w:space="0"/>
              <w:bottom w:val="single" w:color="auto" w:sz="4" w:space="0"/>
              <w:right w:val="single" w:color="auto" w:sz="4" w:space="0"/>
            </w:tcBorders>
            <w:vAlign w:val="center"/>
          </w:tcPr>
          <w:p w14:paraId="220CDD95">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335" w:type="dxa"/>
            <w:tcBorders>
              <w:top w:val="single" w:color="auto" w:sz="4" w:space="0"/>
              <w:left w:val="single" w:color="auto" w:sz="4" w:space="0"/>
              <w:bottom w:val="single" w:color="auto" w:sz="4" w:space="0"/>
              <w:right w:val="single" w:color="auto" w:sz="4" w:space="0"/>
            </w:tcBorders>
            <w:vAlign w:val="center"/>
          </w:tcPr>
          <w:p w14:paraId="452D883B">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335" w:type="dxa"/>
            <w:tcBorders>
              <w:top w:val="single" w:color="auto" w:sz="4" w:space="0"/>
              <w:left w:val="single" w:color="auto" w:sz="4" w:space="0"/>
              <w:bottom w:val="single" w:color="auto" w:sz="4" w:space="0"/>
              <w:right w:val="single" w:color="auto" w:sz="4" w:space="0"/>
            </w:tcBorders>
            <w:vAlign w:val="center"/>
          </w:tcPr>
          <w:p w14:paraId="11344ED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289" w:type="dxa"/>
            <w:tcBorders>
              <w:top w:val="single" w:color="auto" w:sz="4" w:space="0"/>
              <w:left w:val="single" w:color="auto" w:sz="4" w:space="0"/>
              <w:bottom w:val="single" w:color="auto" w:sz="4" w:space="0"/>
              <w:right w:val="single" w:color="auto" w:sz="4" w:space="0"/>
            </w:tcBorders>
            <w:vAlign w:val="center"/>
          </w:tcPr>
          <w:p w14:paraId="29831B49">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54D7DF29">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0E8105C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610E6A8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浊度</w:t>
            </w:r>
          </w:p>
        </w:tc>
        <w:tc>
          <w:tcPr>
            <w:tcW w:w="1334" w:type="dxa"/>
            <w:tcBorders>
              <w:top w:val="single" w:color="auto" w:sz="4" w:space="0"/>
              <w:left w:val="single" w:color="auto" w:sz="4" w:space="0"/>
              <w:bottom w:val="single" w:color="auto" w:sz="4" w:space="0"/>
              <w:right w:val="single" w:color="auto" w:sz="4" w:space="0"/>
            </w:tcBorders>
            <w:vAlign w:val="center"/>
          </w:tcPr>
          <w:p w14:paraId="2E0CA48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0.33</w:t>
            </w:r>
          </w:p>
        </w:tc>
        <w:tc>
          <w:tcPr>
            <w:tcW w:w="1335" w:type="dxa"/>
            <w:tcBorders>
              <w:top w:val="single" w:color="auto" w:sz="4" w:space="0"/>
              <w:left w:val="single" w:color="auto" w:sz="4" w:space="0"/>
              <w:bottom w:val="single" w:color="auto" w:sz="4" w:space="0"/>
              <w:right w:val="single" w:color="auto" w:sz="4" w:space="0"/>
            </w:tcBorders>
            <w:vAlign w:val="center"/>
          </w:tcPr>
          <w:p w14:paraId="16F156BA">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0.33</w:t>
            </w:r>
          </w:p>
        </w:tc>
        <w:tc>
          <w:tcPr>
            <w:tcW w:w="1335" w:type="dxa"/>
            <w:tcBorders>
              <w:top w:val="single" w:color="auto" w:sz="4" w:space="0"/>
              <w:left w:val="single" w:color="auto" w:sz="4" w:space="0"/>
              <w:bottom w:val="single" w:color="auto" w:sz="4" w:space="0"/>
              <w:right w:val="single" w:color="auto" w:sz="4" w:space="0"/>
            </w:tcBorders>
            <w:vAlign w:val="center"/>
          </w:tcPr>
          <w:p w14:paraId="18C4864F">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0.33</w:t>
            </w:r>
          </w:p>
        </w:tc>
        <w:tc>
          <w:tcPr>
            <w:tcW w:w="1289" w:type="dxa"/>
            <w:tcBorders>
              <w:top w:val="single" w:color="auto" w:sz="4" w:space="0"/>
              <w:left w:val="single" w:color="auto" w:sz="4" w:space="0"/>
              <w:bottom w:val="single" w:color="auto" w:sz="4" w:space="0"/>
              <w:right w:val="single" w:color="auto" w:sz="4" w:space="0"/>
            </w:tcBorders>
            <w:vAlign w:val="center"/>
          </w:tcPr>
          <w:p w14:paraId="4F85661C">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75AC5A6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2DFB9E9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7BB6A51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肉眼可见物</w:t>
            </w:r>
          </w:p>
        </w:tc>
        <w:tc>
          <w:tcPr>
            <w:tcW w:w="1334" w:type="dxa"/>
            <w:tcBorders>
              <w:top w:val="single" w:color="auto" w:sz="4" w:space="0"/>
              <w:left w:val="single" w:color="auto" w:sz="4" w:space="0"/>
              <w:bottom w:val="single" w:color="auto" w:sz="4" w:space="0"/>
              <w:right w:val="single" w:color="auto" w:sz="4" w:space="0"/>
            </w:tcBorders>
            <w:vAlign w:val="center"/>
          </w:tcPr>
          <w:p w14:paraId="71F2742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335" w:type="dxa"/>
            <w:tcBorders>
              <w:top w:val="single" w:color="auto" w:sz="4" w:space="0"/>
              <w:left w:val="single" w:color="auto" w:sz="4" w:space="0"/>
              <w:bottom w:val="single" w:color="auto" w:sz="4" w:space="0"/>
              <w:right w:val="single" w:color="auto" w:sz="4" w:space="0"/>
            </w:tcBorders>
            <w:vAlign w:val="center"/>
          </w:tcPr>
          <w:p w14:paraId="4BA08DFA">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335" w:type="dxa"/>
            <w:tcBorders>
              <w:top w:val="single" w:color="auto" w:sz="4" w:space="0"/>
              <w:left w:val="single" w:color="auto" w:sz="4" w:space="0"/>
              <w:bottom w:val="single" w:color="auto" w:sz="4" w:space="0"/>
              <w:right w:val="single" w:color="auto" w:sz="4" w:space="0"/>
            </w:tcBorders>
            <w:vAlign w:val="center"/>
          </w:tcPr>
          <w:p w14:paraId="077A5AA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289" w:type="dxa"/>
            <w:tcBorders>
              <w:top w:val="single" w:color="auto" w:sz="4" w:space="0"/>
              <w:left w:val="single" w:color="auto" w:sz="4" w:space="0"/>
              <w:bottom w:val="single" w:color="auto" w:sz="4" w:space="0"/>
              <w:right w:val="single" w:color="auto" w:sz="4" w:space="0"/>
            </w:tcBorders>
            <w:vAlign w:val="center"/>
          </w:tcPr>
          <w:p w14:paraId="4223450C">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10548B3D">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7D6C71A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68907A56">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铜</w:t>
            </w:r>
          </w:p>
        </w:tc>
        <w:tc>
          <w:tcPr>
            <w:tcW w:w="1334" w:type="dxa"/>
            <w:tcBorders>
              <w:top w:val="single" w:color="auto" w:sz="4" w:space="0"/>
              <w:left w:val="single" w:color="auto" w:sz="4" w:space="0"/>
              <w:bottom w:val="single" w:color="auto" w:sz="4" w:space="0"/>
              <w:right w:val="single" w:color="auto" w:sz="4" w:space="0"/>
            </w:tcBorders>
            <w:vAlign w:val="center"/>
          </w:tcPr>
          <w:p w14:paraId="27C3DF4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0.05</w:t>
            </w:r>
          </w:p>
        </w:tc>
        <w:tc>
          <w:tcPr>
            <w:tcW w:w="1335" w:type="dxa"/>
            <w:tcBorders>
              <w:top w:val="single" w:color="auto" w:sz="4" w:space="0"/>
              <w:left w:val="single" w:color="auto" w:sz="4" w:space="0"/>
              <w:bottom w:val="single" w:color="auto" w:sz="4" w:space="0"/>
              <w:right w:val="single" w:color="auto" w:sz="4" w:space="0"/>
            </w:tcBorders>
            <w:vAlign w:val="center"/>
          </w:tcPr>
          <w:p w14:paraId="083DCC4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0.05</w:t>
            </w:r>
          </w:p>
        </w:tc>
        <w:tc>
          <w:tcPr>
            <w:tcW w:w="1335" w:type="dxa"/>
            <w:tcBorders>
              <w:top w:val="single" w:color="auto" w:sz="4" w:space="0"/>
              <w:left w:val="single" w:color="auto" w:sz="4" w:space="0"/>
              <w:bottom w:val="single" w:color="auto" w:sz="4" w:space="0"/>
              <w:right w:val="single" w:color="auto" w:sz="4" w:space="0"/>
            </w:tcBorders>
            <w:vAlign w:val="center"/>
          </w:tcPr>
          <w:p w14:paraId="7E72CDE6">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0.05</w:t>
            </w:r>
          </w:p>
        </w:tc>
        <w:tc>
          <w:tcPr>
            <w:tcW w:w="1289" w:type="dxa"/>
            <w:tcBorders>
              <w:top w:val="single" w:color="auto" w:sz="4" w:space="0"/>
              <w:left w:val="single" w:color="auto" w:sz="4" w:space="0"/>
              <w:bottom w:val="single" w:color="auto" w:sz="4" w:space="0"/>
              <w:right w:val="single" w:color="auto" w:sz="4" w:space="0"/>
            </w:tcBorders>
            <w:vAlign w:val="center"/>
          </w:tcPr>
          <w:p w14:paraId="646658CA">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337905F5">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23F65B4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24756D4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锌</w:t>
            </w:r>
          </w:p>
        </w:tc>
        <w:tc>
          <w:tcPr>
            <w:tcW w:w="1334" w:type="dxa"/>
            <w:tcBorders>
              <w:top w:val="single" w:color="auto" w:sz="4" w:space="0"/>
              <w:left w:val="single" w:color="auto" w:sz="4" w:space="0"/>
              <w:bottom w:val="single" w:color="auto" w:sz="4" w:space="0"/>
              <w:right w:val="single" w:color="auto" w:sz="4" w:space="0"/>
            </w:tcBorders>
            <w:vAlign w:val="center"/>
          </w:tcPr>
          <w:p w14:paraId="04CDE3A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0.05</w:t>
            </w:r>
          </w:p>
        </w:tc>
        <w:tc>
          <w:tcPr>
            <w:tcW w:w="1335" w:type="dxa"/>
            <w:tcBorders>
              <w:top w:val="single" w:color="auto" w:sz="4" w:space="0"/>
              <w:left w:val="single" w:color="auto" w:sz="4" w:space="0"/>
              <w:bottom w:val="single" w:color="auto" w:sz="4" w:space="0"/>
              <w:right w:val="single" w:color="auto" w:sz="4" w:space="0"/>
            </w:tcBorders>
            <w:vAlign w:val="center"/>
          </w:tcPr>
          <w:p w14:paraId="3435EE9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0.05</w:t>
            </w:r>
          </w:p>
        </w:tc>
        <w:tc>
          <w:tcPr>
            <w:tcW w:w="1335" w:type="dxa"/>
            <w:tcBorders>
              <w:top w:val="single" w:color="auto" w:sz="4" w:space="0"/>
              <w:left w:val="single" w:color="auto" w:sz="4" w:space="0"/>
              <w:bottom w:val="single" w:color="auto" w:sz="4" w:space="0"/>
              <w:right w:val="single" w:color="auto" w:sz="4" w:space="0"/>
            </w:tcBorders>
            <w:vAlign w:val="center"/>
          </w:tcPr>
          <w:p w14:paraId="5491C2B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0.05</w:t>
            </w:r>
          </w:p>
        </w:tc>
        <w:tc>
          <w:tcPr>
            <w:tcW w:w="1289" w:type="dxa"/>
            <w:tcBorders>
              <w:top w:val="single" w:color="auto" w:sz="4" w:space="0"/>
              <w:left w:val="single" w:color="auto" w:sz="4" w:space="0"/>
              <w:bottom w:val="single" w:color="auto" w:sz="4" w:space="0"/>
              <w:right w:val="single" w:color="auto" w:sz="4" w:space="0"/>
            </w:tcBorders>
            <w:vAlign w:val="center"/>
          </w:tcPr>
          <w:p w14:paraId="6FE137C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0E1FED6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07CC0E4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7A1F126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铝</w:t>
            </w:r>
          </w:p>
        </w:tc>
        <w:tc>
          <w:tcPr>
            <w:tcW w:w="1334" w:type="dxa"/>
            <w:tcBorders>
              <w:top w:val="single" w:color="auto" w:sz="4" w:space="0"/>
              <w:left w:val="single" w:color="auto" w:sz="4" w:space="0"/>
              <w:bottom w:val="single" w:color="auto" w:sz="4" w:space="0"/>
              <w:right w:val="single" w:color="auto" w:sz="4" w:space="0"/>
            </w:tcBorders>
            <w:vAlign w:val="center"/>
          </w:tcPr>
          <w:p w14:paraId="6C7B528A">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0.50</w:t>
            </w:r>
          </w:p>
        </w:tc>
        <w:tc>
          <w:tcPr>
            <w:tcW w:w="1335" w:type="dxa"/>
            <w:tcBorders>
              <w:top w:val="single" w:color="auto" w:sz="4" w:space="0"/>
              <w:left w:val="single" w:color="auto" w:sz="4" w:space="0"/>
              <w:bottom w:val="single" w:color="auto" w:sz="4" w:space="0"/>
              <w:right w:val="single" w:color="auto" w:sz="4" w:space="0"/>
            </w:tcBorders>
            <w:vAlign w:val="center"/>
          </w:tcPr>
          <w:p w14:paraId="60462F15">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0.50</w:t>
            </w:r>
          </w:p>
        </w:tc>
        <w:tc>
          <w:tcPr>
            <w:tcW w:w="1335" w:type="dxa"/>
            <w:tcBorders>
              <w:top w:val="single" w:color="auto" w:sz="4" w:space="0"/>
              <w:left w:val="single" w:color="auto" w:sz="4" w:space="0"/>
              <w:bottom w:val="single" w:color="auto" w:sz="4" w:space="0"/>
              <w:right w:val="single" w:color="auto" w:sz="4" w:space="0"/>
            </w:tcBorders>
            <w:vAlign w:val="center"/>
          </w:tcPr>
          <w:p w14:paraId="77CF1F66">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0.50</w:t>
            </w:r>
          </w:p>
        </w:tc>
        <w:tc>
          <w:tcPr>
            <w:tcW w:w="1289" w:type="dxa"/>
            <w:tcBorders>
              <w:top w:val="single" w:color="auto" w:sz="4" w:space="0"/>
              <w:left w:val="single" w:color="auto" w:sz="4" w:space="0"/>
              <w:bottom w:val="single" w:color="auto" w:sz="4" w:space="0"/>
              <w:right w:val="single" w:color="auto" w:sz="4" w:space="0"/>
            </w:tcBorders>
            <w:vAlign w:val="center"/>
          </w:tcPr>
          <w:p w14:paraId="1C0D3B4C">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62133B6D">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1C4BBFF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0FEF4BC9">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硫化物</w:t>
            </w:r>
          </w:p>
        </w:tc>
        <w:tc>
          <w:tcPr>
            <w:tcW w:w="1334" w:type="dxa"/>
            <w:tcBorders>
              <w:top w:val="single" w:color="auto" w:sz="4" w:space="0"/>
              <w:left w:val="single" w:color="auto" w:sz="4" w:space="0"/>
              <w:bottom w:val="single" w:color="auto" w:sz="4" w:space="0"/>
              <w:right w:val="single" w:color="auto" w:sz="4" w:space="0"/>
            </w:tcBorders>
            <w:vAlign w:val="center"/>
          </w:tcPr>
          <w:p w14:paraId="7EEAA42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w:t>
            </w:r>
          </w:p>
        </w:tc>
        <w:tc>
          <w:tcPr>
            <w:tcW w:w="1335" w:type="dxa"/>
            <w:tcBorders>
              <w:top w:val="single" w:color="auto" w:sz="4" w:space="0"/>
              <w:left w:val="single" w:color="auto" w:sz="4" w:space="0"/>
              <w:bottom w:val="single" w:color="auto" w:sz="4" w:space="0"/>
              <w:right w:val="single" w:color="auto" w:sz="4" w:space="0"/>
            </w:tcBorders>
            <w:vAlign w:val="center"/>
          </w:tcPr>
          <w:p w14:paraId="3A961C3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w:t>
            </w:r>
          </w:p>
        </w:tc>
        <w:tc>
          <w:tcPr>
            <w:tcW w:w="1335" w:type="dxa"/>
            <w:tcBorders>
              <w:top w:val="single" w:color="auto" w:sz="4" w:space="0"/>
              <w:left w:val="single" w:color="auto" w:sz="4" w:space="0"/>
              <w:bottom w:val="single" w:color="auto" w:sz="4" w:space="0"/>
              <w:right w:val="single" w:color="auto" w:sz="4" w:space="0"/>
            </w:tcBorders>
            <w:vAlign w:val="center"/>
          </w:tcPr>
          <w:p w14:paraId="4A107CAA">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w:t>
            </w:r>
          </w:p>
        </w:tc>
        <w:tc>
          <w:tcPr>
            <w:tcW w:w="1289" w:type="dxa"/>
            <w:tcBorders>
              <w:top w:val="single" w:color="auto" w:sz="4" w:space="0"/>
              <w:left w:val="single" w:color="auto" w:sz="4" w:space="0"/>
              <w:bottom w:val="single" w:color="auto" w:sz="4" w:space="0"/>
              <w:right w:val="single" w:color="auto" w:sz="4" w:space="0"/>
            </w:tcBorders>
            <w:vAlign w:val="center"/>
          </w:tcPr>
          <w:p w14:paraId="08A62DB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145951A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12DFDCE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66DF2102">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阴离子表面活性剂</w:t>
            </w:r>
          </w:p>
        </w:tc>
        <w:tc>
          <w:tcPr>
            <w:tcW w:w="1334" w:type="dxa"/>
            <w:tcBorders>
              <w:top w:val="single" w:color="auto" w:sz="4" w:space="0"/>
              <w:left w:val="single" w:color="auto" w:sz="4" w:space="0"/>
              <w:bottom w:val="single" w:color="auto" w:sz="4" w:space="0"/>
              <w:right w:val="single" w:color="auto" w:sz="4" w:space="0"/>
            </w:tcBorders>
            <w:vAlign w:val="center"/>
          </w:tcPr>
          <w:p w14:paraId="78DEFBB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0.15</w:t>
            </w:r>
          </w:p>
        </w:tc>
        <w:tc>
          <w:tcPr>
            <w:tcW w:w="1335" w:type="dxa"/>
            <w:tcBorders>
              <w:top w:val="single" w:color="auto" w:sz="4" w:space="0"/>
              <w:left w:val="single" w:color="auto" w:sz="4" w:space="0"/>
              <w:bottom w:val="single" w:color="auto" w:sz="4" w:space="0"/>
              <w:right w:val="single" w:color="auto" w:sz="4" w:space="0"/>
            </w:tcBorders>
            <w:vAlign w:val="center"/>
          </w:tcPr>
          <w:p w14:paraId="3AD5C9C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0.15</w:t>
            </w:r>
          </w:p>
        </w:tc>
        <w:tc>
          <w:tcPr>
            <w:tcW w:w="1335" w:type="dxa"/>
            <w:tcBorders>
              <w:top w:val="single" w:color="auto" w:sz="4" w:space="0"/>
              <w:left w:val="single" w:color="auto" w:sz="4" w:space="0"/>
              <w:bottom w:val="single" w:color="auto" w:sz="4" w:space="0"/>
              <w:right w:val="single" w:color="auto" w:sz="4" w:space="0"/>
            </w:tcBorders>
            <w:vAlign w:val="center"/>
          </w:tcPr>
          <w:p w14:paraId="71A68383">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0.15</w:t>
            </w:r>
          </w:p>
        </w:tc>
        <w:tc>
          <w:tcPr>
            <w:tcW w:w="1289" w:type="dxa"/>
            <w:tcBorders>
              <w:top w:val="single" w:color="auto" w:sz="4" w:space="0"/>
              <w:left w:val="single" w:color="auto" w:sz="4" w:space="0"/>
              <w:bottom w:val="single" w:color="auto" w:sz="4" w:space="0"/>
              <w:right w:val="single" w:color="auto" w:sz="4" w:space="0"/>
            </w:tcBorders>
            <w:vAlign w:val="center"/>
          </w:tcPr>
          <w:p w14:paraId="41A1AB9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6FFA1366">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028CE47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3B921DA1">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碘化物</w:t>
            </w:r>
          </w:p>
        </w:tc>
        <w:tc>
          <w:tcPr>
            <w:tcW w:w="1334" w:type="dxa"/>
            <w:tcBorders>
              <w:top w:val="single" w:color="auto" w:sz="4" w:space="0"/>
              <w:left w:val="single" w:color="auto" w:sz="4" w:space="0"/>
              <w:bottom w:val="single" w:color="auto" w:sz="4" w:space="0"/>
              <w:right w:val="single" w:color="auto" w:sz="4" w:space="0"/>
            </w:tcBorders>
            <w:vAlign w:val="center"/>
          </w:tcPr>
          <w:p w14:paraId="4FFC775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0.03</w:t>
            </w:r>
          </w:p>
        </w:tc>
        <w:tc>
          <w:tcPr>
            <w:tcW w:w="1335" w:type="dxa"/>
            <w:tcBorders>
              <w:top w:val="single" w:color="auto" w:sz="4" w:space="0"/>
              <w:left w:val="single" w:color="auto" w:sz="4" w:space="0"/>
              <w:bottom w:val="single" w:color="auto" w:sz="4" w:space="0"/>
              <w:right w:val="single" w:color="auto" w:sz="4" w:space="0"/>
            </w:tcBorders>
            <w:vAlign w:val="center"/>
          </w:tcPr>
          <w:p w14:paraId="3DD8DBD9">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0.03</w:t>
            </w:r>
          </w:p>
        </w:tc>
        <w:tc>
          <w:tcPr>
            <w:tcW w:w="1335" w:type="dxa"/>
            <w:tcBorders>
              <w:top w:val="single" w:color="auto" w:sz="4" w:space="0"/>
              <w:left w:val="single" w:color="auto" w:sz="4" w:space="0"/>
              <w:bottom w:val="single" w:color="auto" w:sz="4" w:space="0"/>
              <w:right w:val="single" w:color="auto" w:sz="4" w:space="0"/>
            </w:tcBorders>
            <w:vAlign w:val="center"/>
          </w:tcPr>
          <w:p w14:paraId="1C0BD82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0.03</w:t>
            </w:r>
          </w:p>
        </w:tc>
        <w:tc>
          <w:tcPr>
            <w:tcW w:w="1289" w:type="dxa"/>
            <w:tcBorders>
              <w:top w:val="single" w:color="auto" w:sz="4" w:space="0"/>
              <w:left w:val="single" w:color="auto" w:sz="4" w:space="0"/>
              <w:bottom w:val="single" w:color="auto" w:sz="4" w:space="0"/>
              <w:right w:val="single" w:color="auto" w:sz="4" w:space="0"/>
            </w:tcBorders>
            <w:vAlign w:val="center"/>
          </w:tcPr>
          <w:p w14:paraId="49B8747D">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72EF2C2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3A4F396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13F7058F">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硒</w:t>
            </w:r>
          </w:p>
        </w:tc>
        <w:tc>
          <w:tcPr>
            <w:tcW w:w="1334" w:type="dxa"/>
            <w:tcBorders>
              <w:top w:val="single" w:color="auto" w:sz="4" w:space="0"/>
              <w:left w:val="single" w:color="auto" w:sz="4" w:space="0"/>
              <w:bottom w:val="single" w:color="auto" w:sz="4" w:space="0"/>
              <w:right w:val="single" w:color="auto" w:sz="4" w:space="0"/>
            </w:tcBorders>
            <w:vAlign w:val="center"/>
          </w:tcPr>
          <w:p w14:paraId="37A83979">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0.04</w:t>
            </w:r>
          </w:p>
        </w:tc>
        <w:tc>
          <w:tcPr>
            <w:tcW w:w="1335" w:type="dxa"/>
            <w:tcBorders>
              <w:top w:val="single" w:color="auto" w:sz="4" w:space="0"/>
              <w:left w:val="single" w:color="auto" w:sz="4" w:space="0"/>
              <w:bottom w:val="single" w:color="auto" w:sz="4" w:space="0"/>
              <w:right w:val="single" w:color="auto" w:sz="4" w:space="0"/>
            </w:tcBorders>
            <w:vAlign w:val="center"/>
          </w:tcPr>
          <w:p w14:paraId="77F2E845">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0.04</w:t>
            </w:r>
          </w:p>
        </w:tc>
        <w:tc>
          <w:tcPr>
            <w:tcW w:w="1335" w:type="dxa"/>
            <w:tcBorders>
              <w:top w:val="single" w:color="auto" w:sz="4" w:space="0"/>
              <w:left w:val="single" w:color="auto" w:sz="4" w:space="0"/>
              <w:bottom w:val="single" w:color="auto" w:sz="4" w:space="0"/>
              <w:right w:val="single" w:color="auto" w:sz="4" w:space="0"/>
            </w:tcBorders>
            <w:vAlign w:val="center"/>
          </w:tcPr>
          <w:p w14:paraId="23AA7899">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0.04</w:t>
            </w:r>
          </w:p>
        </w:tc>
        <w:tc>
          <w:tcPr>
            <w:tcW w:w="1289" w:type="dxa"/>
            <w:tcBorders>
              <w:top w:val="single" w:color="auto" w:sz="4" w:space="0"/>
              <w:left w:val="single" w:color="auto" w:sz="4" w:space="0"/>
              <w:bottom w:val="single" w:color="auto" w:sz="4" w:space="0"/>
              <w:right w:val="single" w:color="auto" w:sz="4" w:space="0"/>
            </w:tcBorders>
            <w:vAlign w:val="center"/>
          </w:tcPr>
          <w:p w14:paraId="7EB2A446">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612B7899">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7DC2A35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7FF3287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钠</w:t>
            </w:r>
          </w:p>
        </w:tc>
        <w:tc>
          <w:tcPr>
            <w:tcW w:w="1334" w:type="dxa"/>
            <w:tcBorders>
              <w:top w:val="single" w:color="auto" w:sz="4" w:space="0"/>
              <w:left w:val="single" w:color="auto" w:sz="4" w:space="0"/>
              <w:bottom w:val="single" w:color="auto" w:sz="4" w:space="0"/>
              <w:right w:val="single" w:color="auto" w:sz="4" w:space="0"/>
            </w:tcBorders>
            <w:vAlign w:val="center"/>
          </w:tcPr>
          <w:p w14:paraId="0F9B32E6">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0.28</w:t>
            </w:r>
          </w:p>
        </w:tc>
        <w:tc>
          <w:tcPr>
            <w:tcW w:w="1335" w:type="dxa"/>
            <w:tcBorders>
              <w:top w:val="single" w:color="auto" w:sz="4" w:space="0"/>
              <w:left w:val="single" w:color="auto" w:sz="4" w:space="0"/>
              <w:bottom w:val="single" w:color="auto" w:sz="4" w:space="0"/>
              <w:right w:val="single" w:color="auto" w:sz="4" w:space="0"/>
            </w:tcBorders>
            <w:vAlign w:val="center"/>
          </w:tcPr>
          <w:p w14:paraId="675BA50F">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0.32</w:t>
            </w:r>
          </w:p>
        </w:tc>
        <w:tc>
          <w:tcPr>
            <w:tcW w:w="1335" w:type="dxa"/>
            <w:tcBorders>
              <w:top w:val="single" w:color="auto" w:sz="4" w:space="0"/>
              <w:left w:val="single" w:color="auto" w:sz="4" w:space="0"/>
              <w:bottom w:val="single" w:color="auto" w:sz="4" w:space="0"/>
              <w:right w:val="single" w:color="auto" w:sz="4" w:space="0"/>
            </w:tcBorders>
            <w:vAlign w:val="center"/>
          </w:tcPr>
          <w:p w14:paraId="4977456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0.35</w:t>
            </w:r>
          </w:p>
        </w:tc>
        <w:tc>
          <w:tcPr>
            <w:tcW w:w="1289" w:type="dxa"/>
            <w:tcBorders>
              <w:top w:val="single" w:color="auto" w:sz="4" w:space="0"/>
              <w:left w:val="single" w:color="auto" w:sz="4" w:space="0"/>
              <w:bottom w:val="single" w:color="auto" w:sz="4" w:space="0"/>
              <w:right w:val="single" w:color="auto" w:sz="4" w:space="0"/>
            </w:tcBorders>
            <w:vAlign w:val="center"/>
          </w:tcPr>
          <w:p w14:paraId="1FFDCF8A">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663A2EB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14:paraId="13B0464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95" w:type="dxa"/>
            <w:tcBorders>
              <w:top w:val="single" w:color="auto" w:sz="4" w:space="0"/>
              <w:left w:val="single" w:color="auto" w:sz="4" w:space="0"/>
              <w:bottom w:val="single" w:color="auto" w:sz="4" w:space="0"/>
              <w:right w:val="single" w:color="auto" w:sz="4" w:space="0"/>
            </w:tcBorders>
            <w:vAlign w:val="center"/>
          </w:tcPr>
          <w:p w14:paraId="590FDEE3">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氟化物</w:t>
            </w:r>
          </w:p>
        </w:tc>
        <w:tc>
          <w:tcPr>
            <w:tcW w:w="1334" w:type="dxa"/>
            <w:tcBorders>
              <w:top w:val="single" w:color="auto" w:sz="4" w:space="0"/>
              <w:left w:val="single" w:color="auto" w:sz="4" w:space="0"/>
              <w:bottom w:val="single" w:color="auto" w:sz="4" w:space="0"/>
              <w:right w:val="single" w:color="auto" w:sz="4" w:space="0"/>
            </w:tcBorders>
            <w:vAlign w:val="center"/>
          </w:tcPr>
          <w:p w14:paraId="06480A1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0.87</w:t>
            </w:r>
          </w:p>
        </w:tc>
        <w:tc>
          <w:tcPr>
            <w:tcW w:w="1335" w:type="dxa"/>
            <w:tcBorders>
              <w:top w:val="single" w:color="auto" w:sz="4" w:space="0"/>
              <w:left w:val="single" w:color="auto" w:sz="4" w:space="0"/>
              <w:bottom w:val="single" w:color="auto" w:sz="4" w:space="0"/>
              <w:right w:val="single" w:color="auto" w:sz="4" w:space="0"/>
            </w:tcBorders>
            <w:vAlign w:val="center"/>
          </w:tcPr>
          <w:p w14:paraId="679FF9CA">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0.81</w:t>
            </w:r>
          </w:p>
        </w:tc>
        <w:tc>
          <w:tcPr>
            <w:tcW w:w="1335" w:type="dxa"/>
            <w:tcBorders>
              <w:top w:val="single" w:color="auto" w:sz="4" w:space="0"/>
              <w:left w:val="single" w:color="auto" w:sz="4" w:space="0"/>
              <w:bottom w:val="single" w:color="auto" w:sz="4" w:space="0"/>
              <w:right w:val="single" w:color="auto" w:sz="4" w:space="0"/>
            </w:tcBorders>
            <w:vAlign w:val="center"/>
          </w:tcPr>
          <w:p w14:paraId="343BF99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0.92</w:t>
            </w:r>
          </w:p>
        </w:tc>
        <w:tc>
          <w:tcPr>
            <w:tcW w:w="1289" w:type="dxa"/>
            <w:tcBorders>
              <w:top w:val="single" w:color="auto" w:sz="4" w:space="0"/>
              <w:left w:val="single" w:color="auto" w:sz="4" w:space="0"/>
              <w:bottom w:val="single" w:color="auto" w:sz="4" w:space="0"/>
              <w:right w:val="single" w:color="auto" w:sz="4" w:space="0"/>
            </w:tcBorders>
            <w:vAlign w:val="center"/>
          </w:tcPr>
          <w:p w14:paraId="689303ED">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达标</w:t>
            </w:r>
          </w:p>
        </w:tc>
        <w:tc>
          <w:tcPr>
            <w:tcW w:w="1289" w:type="dxa"/>
            <w:tcBorders>
              <w:top w:val="single" w:color="auto" w:sz="4" w:space="0"/>
              <w:left w:val="single" w:color="auto" w:sz="4" w:space="0"/>
              <w:bottom w:val="single" w:color="auto" w:sz="4" w:space="0"/>
              <w:right w:val="single" w:color="auto" w:sz="4" w:space="0"/>
            </w:tcBorders>
            <w:vAlign w:val="center"/>
          </w:tcPr>
          <w:p w14:paraId="2034C4C6">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bl>
    <w:p w14:paraId="43C8A1A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从</w:t>
      </w:r>
      <w:r>
        <w:rPr>
          <w:rFonts w:hint="default" w:ascii="Times New Roman" w:hAnsi="Times New Roman" w:eastAsia="宋体" w:cs="Times New Roman"/>
          <w:color w:val="FF0000"/>
          <w:sz w:val="24"/>
          <w:szCs w:val="24"/>
          <w:highlight w:val="none"/>
        </w:rPr>
        <w:t>地下水监测结果可以看出，W1北侧水井</w:t>
      </w:r>
      <w:r>
        <w:rPr>
          <w:rFonts w:hint="default" w:ascii="Times New Roman" w:hAnsi="Times New Roman" w:eastAsia="宋体" w:cs="Times New Roman"/>
          <w:color w:val="FF0000"/>
          <w:sz w:val="24"/>
          <w:szCs w:val="24"/>
          <w:highlight w:val="none"/>
          <w:lang w:eastAsia="zh-CN"/>
        </w:rPr>
        <w:t>地下水环境各监测因子中</w:t>
      </w:r>
      <w:r>
        <w:rPr>
          <w:rFonts w:hint="default" w:ascii="Times New Roman" w:hAnsi="Times New Roman" w:eastAsia="宋体" w:cs="Times New Roman"/>
          <w:color w:val="FF0000"/>
          <w:sz w:val="24"/>
          <w:szCs w:val="24"/>
          <w:highlight w:val="none"/>
        </w:rPr>
        <w:t>总硬度、溶解性总固体、</w:t>
      </w:r>
      <w:r>
        <w:rPr>
          <w:rFonts w:hint="default" w:ascii="Times New Roman" w:hAnsi="Times New Roman" w:eastAsia="宋体" w:cs="Times New Roman"/>
          <w:color w:val="FF0000"/>
          <w:sz w:val="24"/>
          <w:szCs w:val="24"/>
          <w:highlight w:val="none"/>
          <w:lang w:eastAsia="zh-CN"/>
        </w:rPr>
        <w:t>硫酸盐、</w:t>
      </w:r>
      <w:r>
        <w:rPr>
          <w:rFonts w:hint="default" w:ascii="Times New Roman" w:hAnsi="Times New Roman" w:eastAsia="宋体" w:cs="Times New Roman"/>
          <w:color w:val="FF0000"/>
          <w:sz w:val="24"/>
          <w:szCs w:val="24"/>
          <w:highlight w:val="none"/>
        </w:rPr>
        <w:t>氯化物</w:t>
      </w:r>
      <w:r>
        <w:rPr>
          <w:rFonts w:hint="default" w:ascii="Times New Roman" w:hAnsi="Times New Roman" w:eastAsia="宋体" w:cs="Times New Roman"/>
          <w:color w:val="FF0000"/>
          <w:sz w:val="24"/>
          <w:szCs w:val="24"/>
          <w:highlight w:val="none"/>
          <w:lang w:eastAsia="zh-CN"/>
        </w:rPr>
        <w:t>等指标</w:t>
      </w:r>
      <w:r>
        <w:rPr>
          <w:rFonts w:hint="default" w:ascii="Times New Roman" w:hAnsi="Times New Roman" w:eastAsia="宋体" w:cs="Times New Roman"/>
          <w:color w:val="FF0000"/>
          <w:sz w:val="24"/>
          <w:szCs w:val="24"/>
          <w:highlight w:val="none"/>
        </w:rPr>
        <w:t>超</w:t>
      </w:r>
      <w:r>
        <w:rPr>
          <w:rFonts w:hint="default" w:ascii="Times New Roman" w:hAnsi="Times New Roman" w:eastAsia="宋体" w:cs="Times New Roman"/>
          <w:color w:val="FF0000"/>
          <w:sz w:val="24"/>
          <w:szCs w:val="24"/>
          <w:highlight w:val="none"/>
          <w:lang w:eastAsia="zh-CN"/>
        </w:rPr>
        <w:t>过</w:t>
      </w:r>
      <w:r>
        <w:rPr>
          <w:rFonts w:hint="default" w:ascii="Times New Roman" w:hAnsi="Times New Roman" w:eastAsia="宋体" w:cs="Times New Roman"/>
          <w:color w:val="FF0000"/>
          <w:sz w:val="24"/>
          <w:szCs w:val="24"/>
          <w:highlight w:val="none"/>
        </w:rPr>
        <w:t>《地下水质量标准》（GB/T14848-2017</w:t>
      </w:r>
      <w:r>
        <w:rPr>
          <w:rFonts w:hint="default" w:ascii="Times New Roman" w:hAnsi="Times New Roman" w:eastAsia="宋体" w:cs="Times New Roman"/>
          <w:color w:val="FF0000"/>
          <w:sz w:val="24"/>
          <w:szCs w:val="24"/>
          <w:highlight w:val="none"/>
          <w:lang w:eastAsia="zh-CN"/>
        </w:rPr>
        <w:t>）Ⅲ</w:t>
      </w:r>
      <w:r>
        <w:rPr>
          <w:rFonts w:hint="default" w:ascii="Times New Roman" w:hAnsi="Times New Roman" w:eastAsia="宋体" w:cs="Times New Roman"/>
          <w:color w:val="FF0000"/>
          <w:sz w:val="24"/>
          <w:szCs w:val="24"/>
          <w:highlight w:val="none"/>
        </w:rPr>
        <w:t>类标准，其它所检因子均符合《地下水质量标准》（GB/T14848</w:t>
      </w:r>
      <w:r>
        <w:rPr>
          <w:rFonts w:hint="default" w:ascii="Times New Roman" w:hAnsi="Times New Roman" w:eastAsia="宋体" w:cs="Times New Roman"/>
          <w:color w:val="FF0000"/>
          <w:highlight w:val="none"/>
        </w:rPr>
        <w:t>-2017</w:t>
      </w:r>
      <w:r>
        <w:rPr>
          <w:rFonts w:hint="default" w:ascii="Times New Roman" w:hAnsi="Times New Roman" w:eastAsia="宋体" w:cs="Times New Roman"/>
          <w:color w:val="FF0000"/>
          <w:highlight w:val="none"/>
          <w:lang w:eastAsia="zh-CN"/>
        </w:rPr>
        <w:t>）Ⅲ</w:t>
      </w:r>
      <w:r>
        <w:rPr>
          <w:rFonts w:hint="default" w:ascii="Times New Roman" w:hAnsi="Times New Roman" w:eastAsia="宋体" w:cs="Times New Roman"/>
          <w:color w:val="FF0000"/>
          <w:highlight w:val="none"/>
        </w:rPr>
        <w:t>类标准</w:t>
      </w:r>
      <w:r>
        <w:rPr>
          <w:rFonts w:hint="default" w:ascii="Times New Roman" w:hAnsi="Times New Roman" w:eastAsia="宋体" w:cs="Times New Roman"/>
          <w:color w:val="FF0000"/>
          <w:highlight w:val="none"/>
          <w:lang w:eastAsia="zh-CN"/>
        </w:rPr>
        <w:t>。</w:t>
      </w:r>
    </w:p>
    <w:p w14:paraId="644AAC3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W2场区水井</w:t>
      </w:r>
      <w:r>
        <w:rPr>
          <w:rFonts w:hint="default" w:ascii="Times New Roman" w:hAnsi="Times New Roman" w:eastAsia="宋体" w:cs="Times New Roman"/>
          <w:color w:val="FF0000"/>
          <w:sz w:val="24"/>
          <w:szCs w:val="24"/>
          <w:highlight w:val="none"/>
          <w:lang w:eastAsia="zh-CN"/>
        </w:rPr>
        <w:t>地下水环境各监测因子中</w:t>
      </w:r>
      <w:r>
        <w:rPr>
          <w:rFonts w:hint="default" w:ascii="Times New Roman" w:hAnsi="Times New Roman" w:eastAsia="宋体" w:cs="Times New Roman"/>
          <w:color w:val="FF0000"/>
          <w:sz w:val="24"/>
          <w:szCs w:val="24"/>
          <w:highlight w:val="none"/>
        </w:rPr>
        <w:t>总硬度、溶解性总固体、</w:t>
      </w:r>
      <w:r>
        <w:rPr>
          <w:rFonts w:hint="default" w:ascii="Times New Roman" w:hAnsi="Times New Roman" w:eastAsia="宋体" w:cs="Times New Roman"/>
          <w:color w:val="FF0000"/>
          <w:sz w:val="24"/>
          <w:szCs w:val="24"/>
          <w:highlight w:val="none"/>
          <w:lang w:eastAsia="zh-CN"/>
        </w:rPr>
        <w:t>硫酸盐、</w:t>
      </w:r>
      <w:r>
        <w:rPr>
          <w:rFonts w:hint="default" w:ascii="Times New Roman" w:hAnsi="Times New Roman" w:eastAsia="宋体" w:cs="Times New Roman"/>
          <w:color w:val="FF0000"/>
          <w:sz w:val="24"/>
          <w:szCs w:val="24"/>
          <w:highlight w:val="none"/>
        </w:rPr>
        <w:t>氯化物</w:t>
      </w:r>
      <w:r>
        <w:rPr>
          <w:rFonts w:hint="default" w:ascii="Times New Roman" w:hAnsi="Times New Roman" w:eastAsia="宋体" w:cs="Times New Roman"/>
          <w:color w:val="FF0000"/>
          <w:sz w:val="24"/>
          <w:szCs w:val="24"/>
          <w:highlight w:val="none"/>
          <w:lang w:eastAsia="zh-CN"/>
        </w:rPr>
        <w:t>等指标</w:t>
      </w:r>
      <w:r>
        <w:rPr>
          <w:rFonts w:hint="default" w:ascii="Times New Roman" w:hAnsi="Times New Roman" w:eastAsia="宋体" w:cs="Times New Roman"/>
          <w:color w:val="FF0000"/>
          <w:sz w:val="24"/>
          <w:szCs w:val="24"/>
          <w:highlight w:val="none"/>
        </w:rPr>
        <w:t>超</w:t>
      </w:r>
      <w:r>
        <w:rPr>
          <w:rFonts w:hint="default" w:ascii="Times New Roman" w:hAnsi="Times New Roman" w:eastAsia="宋体" w:cs="Times New Roman"/>
          <w:color w:val="FF0000"/>
          <w:sz w:val="24"/>
          <w:szCs w:val="24"/>
          <w:highlight w:val="none"/>
          <w:lang w:eastAsia="zh-CN"/>
        </w:rPr>
        <w:t>过</w:t>
      </w:r>
      <w:r>
        <w:rPr>
          <w:rFonts w:hint="default" w:ascii="Times New Roman" w:hAnsi="Times New Roman" w:eastAsia="宋体" w:cs="Times New Roman"/>
          <w:color w:val="FF0000"/>
          <w:sz w:val="24"/>
          <w:szCs w:val="24"/>
          <w:highlight w:val="none"/>
        </w:rPr>
        <w:t>《地下水质量标准》（GB/T14848-2017</w:t>
      </w:r>
      <w:r>
        <w:rPr>
          <w:rFonts w:hint="default" w:ascii="Times New Roman" w:hAnsi="Times New Roman" w:eastAsia="宋体" w:cs="Times New Roman"/>
          <w:color w:val="FF0000"/>
          <w:sz w:val="24"/>
          <w:szCs w:val="24"/>
          <w:highlight w:val="none"/>
          <w:lang w:eastAsia="zh-CN"/>
        </w:rPr>
        <w:t>）Ⅲ</w:t>
      </w:r>
      <w:r>
        <w:rPr>
          <w:rFonts w:hint="default" w:ascii="Times New Roman" w:hAnsi="Times New Roman" w:eastAsia="宋体" w:cs="Times New Roman"/>
          <w:color w:val="FF0000"/>
          <w:sz w:val="24"/>
          <w:szCs w:val="24"/>
          <w:highlight w:val="none"/>
        </w:rPr>
        <w:t>类标准，其它所检因子均符合《地下水质量标准》（GB/T14848</w:t>
      </w:r>
      <w:r>
        <w:rPr>
          <w:rFonts w:hint="default" w:ascii="Times New Roman" w:hAnsi="Times New Roman" w:eastAsia="宋体" w:cs="Times New Roman"/>
          <w:color w:val="FF0000"/>
          <w:highlight w:val="none"/>
        </w:rPr>
        <w:t>-2017</w:t>
      </w:r>
      <w:r>
        <w:rPr>
          <w:rFonts w:hint="default" w:ascii="Times New Roman" w:hAnsi="Times New Roman" w:eastAsia="宋体" w:cs="Times New Roman"/>
          <w:color w:val="FF0000"/>
          <w:highlight w:val="none"/>
          <w:lang w:eastAsia="zh-CN"/>
        </w:rPr>
        <w:t>）Ⅲ</w:t>
      </w:r>
      <w:r>
        <w:rPr>
          <w:rFonts w:hint="default" w:ascii="Times New Roman" w:hAnsi="Times New Roman" w:eastAsia="宋体" w:cs="Times New Roman"/>
          <w:color w:val="FF0000"/>
          <w:highlight w:val="none"/>
        </w:rPr>
        <w:t>类标准</w:t>
      </w:r>
      <w:r>
        <w:rPr>
          <w:rFonts w:hint="default" w:ascii="Times New Roman" w:hAnsi="Times New Roman" w:eastAsia="宋体" w:cs="Times New Roman"/>
          <w:color w:val="FF0000"/>
          <w:highlight w:val="none"/>
          <w:lang w:eastAsia="zh-CN"/>
        </w:rPr>
        <w:t>。</w:t>
      </w:r>
    </w:p>
    <w:p w14:paraId="2D9520A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W3东南侧水井</w:t>
      </w:r>
      <w:r>
        <w:rPr>
          <w:rFonts w:hint="default" w:ascii="Times New Roman" w:hAnsi="Times New Roman" w:eastAsia="宋体" w:cs="Times New Roman"/>
          <w:color w:val="FF0000"/>
          <w:sz w:val="24"/>
          <w:szCs w:val="24"/>
          <w:highlight w:val="none"/>
          <w:lang w:eastAsia="zh-CN"/>
        </w:rPr>
        <w:t>地下水环境各监测因子中</w:t>
      </w:r>
      <w:r>
        <w:rPr>
          <w:rFonts w:hint="default" w:ascii="Times New Roman" w:hAnsi="Times New Roman" w:eastAsia="宋体" w:cs="Times New Roman"/>
          <w:color w:val="FF0000"/>
          <w:sz w:val="24"/>
          <w:szCs w:val="24"/>
          <w:highlight w:val="none"/>
        </w:rPr>
        <w:t>总硬度、溶解性总固体、</w:t>
      </w:r>
      <w:r>
        <w:rPr>
          <w:rFonts w:hint="default" w:ascii="Times New Roman" w:hAnsi="Times New Roman" w:eastAsia="宋体" w:cs="Times New Roman"/>
          <w:color w:val="FF0000"/>
          <w:sz w:val="24"/>
          <w:szCs w:val="24"/>
          <w:highlight w:val="none"/>
          <w:lang w:eastAsia="zh-CN"/>
        </w:rPr>
        <w:t>硫酸盐、</w:t>
      </w:r>
      <w:r>
        <w:rPr>
          <w:rFonts w:hint="default" w:ascii="Times New Roman" w:hAnsi="Times New Roman" w:eastAsia="宋体" w:cs="Times New Roman"/>
          <w:color w:val="FF0000"/>
          <w:sz w:val="24"/>
          <w:szCs w:val="24"/>
          <w:highlight w:val="none"/>
        </w:rPr>
        <w:t>氯化物</w:t>
      </w:r>
      <w:r>
        <w:rPr>
          <w:rFonts w:hint="default" w:ascii="Times New Roman" w:hAnsi="Times New Roman" w:eastAsia="宋体" w:cs="Times New Roman"/>
          <w:color w:val="FF0000"/>
          <w:sz w:val="24"/>
          <w:szCs w:val="24"/>
          <w:highlight w:val="none"/>
          <w:lang w:eastAsia="zh-CN"/>
        </w:rPr>
        <w:t>等指标</w:t>
      </w:r>
      <w:r>
        <w:rPr>
          <w:rFonts w:hint="default" w:ascii="Times New Roman" w:hAnsi="Times New Roman" w:eastAsia="宋体" w:cs="Times New Roman"/>
          <w:color w:val="FF0000"/>
          <w:sz w:val="24"/>
          <w:szCs w:val="24"/>
          <w:highlight w:val="none"/>
        </w:rPr>
        <w:t>超</w:t>
      </w:r>
      <w:r>
        <w:rPr>
          <w:rFonts w:hint="default" w:ascii="Times New Roman" w:hAnsi="Times New Roman" w:eastAsia="宋体" w:cs="Times New Roman"/>
          <w:color w:val="FF0000"/>
          <w:sz w:val="24"/>
          <w:szCs w:val="24"/>
          <w:highlight w:val="none"/>
          <w:lang w:eastAsia="zh-CN"/>
        </w:rPr>
        <w:t>过</w:t>
      </w:r>
      <w:r>
        <w:rPr>
          <w:rFonts w:hint="default" w:ascii="Times New Roman" w:hAnsi="Times New Roman" w:eastAsia="宋体" w:cs="Times New Roman"/>
          <w:color w:val="FF0000"/>
          <w:sz w:val="24"/>
          <w:szCs w:val="24"/>
          <w:highlight w:val="none"/>
        </w:rPr>
        <w:t>《地下水质量标准》（GB/T14848-2017</w:t>
      </w:r>
      <w:r>
        <w:rPr>
          <w:rFonts w:hint="default" w:ascii="Times New Roman" w:hAnsi="Times New Roman" w:eastAsia="宋体" w:cs="Times New Roman"/>
          <w:color w:val="FF0000"/>
          <w:sz w:val="24"/>
          <w:szCs w:val="24"/>
          <w:highlight w:val="none"/>
          <w:lang w:eastAsia="zh-CN"/>
        </w:rPr>
        <w:t>）Ⅲ</w:t>
      </w:r>
      <w:r>
        <w:rPr>
          <w:rFonts w:hint="default" w:ascii="Times New Roman" w:hAnsi="Times New Roman" w:eastAsia="宋体" w:cs="Times New Roman"/>
          <w:color w:val="FF0000"/>
          <w:sz w:val="24"/>
          <w:szCs w:val="24"/>
          <w:highlight w:val="none"/>
        </w:rPr>
        <w:t>类标准，其它所检因子均符合《地下水质量标准》（GB/T14848</w:t>
      </w:r>
      <w:r>
        <w:rPr>
          <w:rFonts w:hint="default" w:ascii="Times New Roman" w:hAnsi="Times New Roman" w:eastAsia="宋体" w:cs="Times New Roman"/>
          <w:color w:val="FF0000"/>
          <w:highlight w:val="none"/>
        </w:rPr>
        <w:t>-2017</w:t>
      </w:r>
      <w:r>
        <w:rPr>
          <w:rFonts w:hint="default" w:ascii="Times New Roman" w:hAnsi="Times New Roman" w:eastAsia="宋体" w:cs="Times New Roman"/>
          <w:color w:val="FF0000"/>
          <w:highlight w:val="none"/>
          <w:lang w:eastAsia="zh-CN"/>
        </w:rPr>
        <w:t>）Ⅲ</w:t>
      </w:r>
      <w:r>
        <w:rPr>
          <w:rFonts w:hint="default" w:ascii="Times New Roman" w:hAnsi="Times New Roman" w:eastAsia="宋体" w:cs="Times New Roman"/>
          <w:color w:val="FF0000"/>
          <w:highlight w:val="none"/>
        </w:rPr>
        <w:t>类标准</w:t>
      </w:r>
      <w:r>
        <w:rPr>
          <w:rFonts w:hint="default" w:ascii="Times New Roman" w:hAnsi="Times New Roman" w:eastAsia="宋体" w:cs="Times New Roman"/>
          <w:color w:val="FF0000"/>
          <w:highlight w:val="none"/>
          <w:lang w:eastAsia="zh-CN"/>
        </w:rPr>
        <w:t>。</w:t>
      </w:r>
    </w:p>
    <w:p w14:paraId="6E75FC1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rPr>
        <w:t>超标原因：总硬度、溶解性总固体、硫酸盐</w:t>
      </w:r>
      <w:r>
        <w:rPr>
          <w:rFonts w:hint="default" w:ascii="Times New Roman" w:hAnsi="Times New Roman" w:eastAsia="宋体" w:cs="Times New Roman"/>
          <w:color w:val="FF0000"/>
          <w:highlight w:val="none"/>
          <w:lang w:eastAsia="zh-CN"/>
        </w:rPr>
        <w:t>、氯化物等因子</w:t>
      </w:r>
      <w:r>
        <w:rPr>
          <w:rFonts w:hint="default" w:ascii="Times New Roman" w:hAnsi="Times New Roman" w:eastAsia="宋体" w:cs="Times New Roman"/>
          <w:color w:val="FF0000"/>
          <w:highlight w:val="none"/>
        </w:rPr>
        <w:t>出现超标，是评价区含水层形成环境与现状地下水特征所决定的。</w:t>
      </w:r>
    </w:p>
    <w:p w14:paraId="3BA0653B">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346" w:name="_Toc4765"/>
      <w:r>
        <w:rPr>
          <w:rFonts w:hint="default" w:ascii="Times New Roman" w:hAnsi="Times New Roman" w:eastAsia="宋体" w:cs="Times New Roman"/>
          <w:color w:val="auto"/>
          <w:highlight w:val="none"/>
        </w:rPr>
        <w:t>4.2.3土壤环境质量现状调查与评价</w:t>
      </w:r>
      <w:bookmarkEnd w:id="346"/>
    </w:p>
    <w:p w14:paraId="28A8BDC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本次评价土壤现状数据委托内蒙古华智鼎环保科技有限公司202</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12</w:t>
      </w:r>
      <w:r>
        <w:rPr>
          <w:rFonts w:hint="default" w:ascii="Times New Roman" w:hAnsi="Times New Roman" w:eastAsia="宋体" w:cs="Times New Roman"/>
          <w:color w:val="auto"/>
          <w:highlight w:val="none"/>
        </w:rPr>
        <w:t>月</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日（采样一次）对本项目进行的土壤质量现状</w:t>
      </w:r>
      <w:r>
        <w:rPr>
          <w:rFonts w:hint="default" w:ascii="Times New Roman" w:hAnsi="Times New Roman" w:eastAsia="宋体" w:cs="Times New Roman"/>
          <w:color w:val="auto"/>
          <w:highlight w:val="none"/>
          <w:lang w:eastAsia="zh-CN"/>
        </w:rPr>
        <w:t>监测</w:t>
      </w:r>
      <w:r>
        <w:rPr>
          <w:rFonts w:hint="default" w:ascii="Times New Roman" w:hAnsi="Times New Roman" w:eastAsia="宋体" w:cs="Times New Roman"/>
          <w:color w:val="auto"/>
          <w:highlight w:val="none"/>
        </w:rPr>
        <w:t>。</w:t>
      </w:r>
    </w:p>
    <w:p w14:paraId="3DCBA795">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4.2.3.1监测布点</w:t>
      </w:r>
    </w:p>
    <w:p w14:paraId="322AD4D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本次评价</w:t>
      </w:r>
      <w:r>
        <w:rPr>
          <w:rFonts w:hint="default" w:ascii="Times New Roman" w:hAnsi="Times New Roman" w:eastAsia="宋体" w:cs="Times New Roman"/>
          <w:color w:val="auto"/>
          <w:highlight w:val="none"/>
          <w:lang w:val="en-US" w:eastAsia="zh-CN"/>
        </w:rPr>
        <w:t>在</w:t>
      </w:r>
      <w:r>
        <w:rPr>
          <w:rFonts w:hint="default" w:ascii="Times New Roman" w:hAnsi="Times New Roman" w:eastAsia="宋体" w:cs="Times New Roman"/>
          <w:color w:val="auto"/>
          <w:highlight w:val="none"/>
        </w:rPr>
        <w:t>占地范围</w:t>
      </w:r>
      <w:r>
        <w:rPr>
          <w:rFonts w:hint="default" w:ascii="Times New Roman" w:hAnsi="Times New Roman" w:eastAsia="宋体" w:cs="Times New Roman"/>
          <w:color w:val="auto"/>
          <w:highlight w:val="none"/>
          <w:lang w:eastAsia="zh-CN"/>
        </w:rPr>
        <w:t>内</w:t>
      </w:r>
      <w:r>
        <w:rPr>
          <w:rFonts w:hint="default" w:ascii="Times New Roman" w:hAnsi="Times New Roman" w:eastAsia="宋体" w:cs="Times New Roman"/>
          <w:color w:val="auto"/>
          <w:highlight w:val="none"/>
        </w:rPr>
        <w:t>共布设</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个土壤监测点，满足</w:t>
      </w:r>
      <w:r>
        <w:rPr>
          <w:rFonts w:hint="default" w:ascii="Times New Roman" w:hAnsi="Times New Roman" w:eastAsia="宋体" w:cs="Times New Roman"/>
          <w:color w:val="auto"/>
          <w:highlight w:val="none"/>
          <w:lang w:val="en-GB"/>
        </w:rPr>
        <w:t>《</w:t>
      </w:r>
      <w:r>
        <w:rPr>
          <w:rFonts w:hint="default" w:ascii="Times New Roman" w:hAnsi="Times New Roman" w:eastAsia="宋体" w:cs="Times New Roman"/>
          <w:color w:val="auto"/>
          <w:highlight w:val="none"/>
          <w:lang w:val="en-GB" w:eastAsia="zh-CN"/>
        </w:rPr>
        <w:t>环境影响评价技术导则</w:t>
      </w:r>
      <w:r>
        <w:rPr>
          <w:rFonts w:hint="default" w:ascii="Times New Roman" w:hAnsi="Times New Roman" w:eastAsia="宋体" w:cs="Times New Roman"/>
          <w:color w:val="auto"/>
          <w:highlight w:val="none"/>
          <w:lang w:val="en-GB"/>
        </w:rPr>
        <w:t>土壤环境（试行）》（HJ964-2018）要求</w:t>
      </w:r>
      <w:r>
        <w:rPr>
          <w:rFonts w:hint="default" w:ascii="Times New Roman" w:hAnsi="Times New Roman" w:eastAsia="宋体" w:cs="Times New Roman"/>
          <w:color w:val="auto"/>
          <w:highlight w:val="none"/>
        </w:rPr>
        <w:t>。</w:t>
      </w:r>
    </w:p>
    <w:p w14:paraId="7B8D4D7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本次共布设</w:t>
      </w:r>
      <w:r>
        <w:rPr>
          <w:rFonts w:hint="default" w:ascii="Times New Roman" w:hAnsi="Times New Roman" w:eastAsia="宋体" w:cs="Times New Roman"/>
          <w:color w:val="auto"/>
          <w:highlight w:val="none"/>
          <w:lang w:val="en-US" w:eastAsia="zh-CN"/>
        </w:rPr>
        <w:t>3个</w:t>
      </w:r>
      <w:r>
        <w:rPr>
          <w:rFonts w:hint="default" w:ascii="Times New Roman" w:hAnsi="Times New Roman" w:eastAsia="宋体" w:cs="Times New Roman"/>
          <w:color w:val="auto"/>
          <w:highlight w:val="none"/>
        </w:rPr>
        <w:t>点，监测点位及监测项目设置情况见下表，如图4.2-</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所示。</w:t>
      </w:r>
    </w:p>
    <w:p w14:paraId="57191C72">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表4.2-1</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土壤监测布点表</w:t>
      </w:r>
    </w:p>
    <w:tbl>
      <w:tblPr>
        <w:tblStyle w:val="40"/>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2"/>
        <w:gridCol w:w="1182"/>
        <w:gridCol w:w="3547"/>
        <w:gridCol w:w="1183"/>
        <w:gridCol w:w="1183"/>
      </w:tblGrid>
      <w:tr w14:paraId="00F3A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Align w:val="center"/>
          </w:tcPr>
          <w:p w14:paraId="26E93B6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567" w:type="dxa"/>
            <w:vAlign w:val="center"/>
          </w:tcPr>
          <w:p w14:paraId="200ECF0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位置</w:t>
            </w:r>
          </w:p>
        </w:tc>
        <w:tc>
          <w:tcPr>
            <w:tcW w:w="1701" w:type="dxa"/>
            <w:vAlign w:val="center"/>
          </w:tcPr>
          <w:p w14:paraId="44DDA93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坐标</w:t>
            </w:r>
          </w:p>
        </w:tc>
        <w:tc>
          <w:tcPr>
            <w:tcW w:w="567" w:type="dxa"/>
            <w:vAlign w:val="center"/>
          </w:tcPr>
          <w:p w14:paraId="2D7E614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采样点</w:t>
            </w:r>
          </w:p>
        </w:tc>
        <w:tc>
          <w:tcPr>
            <w:tcW w:w="567" w:type="dxa"/>
            <w:vAlign w:val="center"/>
          </w:tcPr>
          <w:p w14:paraId="1C109F1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监测因子</w:t>
            </w:r>
          </w:p>
        </w:tc>
      </w:tr>
      <w:tr w14:paraId="35840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Align w:val="center"/>
          </w:tcPr>
          <w:p w14:paraId="5A3F132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T1</w:t>
            </w:r>
          </w:p>
        </w:tc>
        <w:tc>
          <w:tcPr>
            <w:tcW w:w="567" w:type="dxa"/>
            <w:vAlign w:val="center"/>
          </w:tcPr>
          <w:p w14:paraId="499AFAE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eastAsia="zh-CN"/>
              </w:rPr>
              <w:t>厂</w:t>
            </w:r>
            <w:r>
              <w:rPr>
                <w:rFonts w:hint="default" w:ascii="Times New Roman" w:hAnsi="Times New Roman" w:eastAsia="宋体" w:cs="Times New Roman"/>
                <w:color w:val="auto"/>
                <w:kern w:val="0"/>
                <w:sz w:val="21"/>
                <w:szCs w:val="21"/>
                <w:highlight w:val="none"/>
              </w:rPr>
              <w:t>区内□</w:t>
            </w:r>
            <w:r>
              <w:rPr>
                <w:rFonts w:hint="default" w:ascii="Times New Roman" w:hAnsi="Times New Roman" w:eastAsia="宋体" w:cs="Times New Roman"/>
                <w:color w:val="auto"/>
                <w:kern w:val="0"/>
                <w:sz w:val="21"/>
                <w:szCs w:val="21"/>
                <w:highlight w:val="none"/>
                <w:lang w:val="en-US" w:eastAsia="zh-CN"/>
              </w:rPr>
              <w:t>1</w:t>
            </w:r>
          </w:p>
        </w:tc>
        <w:tc>
          <w:tcPr>
            <w:tcW w:w="1701" w:type="dxa"/>
            <w:vAlign w:val="center"/>
          </w:tcPr>
          <w:p w14:paraId="3A877D6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E</w:t>
            </w:r>
            <w:r>
              <w:rPr>
                <w:rFonts w:hint="default" w:ascii="Times New Roman" w:hAnsi="Times New Roman" w:eastAsia="宋体" w:cs="Times New Roman"/>
                <w:color w:val="auto"/>
                <w:kern w:val="0"/>
                <w:sz w:val="21"/>
                <w:szCs w:val="21"/>
                <w:highlight w:val="none"/>
              </w:rPr>
              <w:t>108°55′59.44″</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N</w:t>
            </w:r>
            <w:r>
              <w:rPr>
                <w:rFonts w:hint="default" w:ascii="Times New Roman" w:hAnsi="Times New Roman" w:eastAsia="宋体" w:cs="Times New Roman"/>
                <w:color w:val="auto"/>
                <w:kern w:val="0"/>
                <w:sz w:val="21"/>
                <w:szCs w:val="21"/>
                <w:highlight w:val="none"/>
              </w:rPr>
              <w:t>41°7′8.89″</w:t>
            </w:r>
          </w:p>
        </w:tc>
        <w:tc>
          <w:tcPr>
            <w:tcW w:w="567" w:type="dxa"/>
            <w:vMerge w:val="restart"/>
            <w:vAlign w:val="center"/>
          </w:tcPr>
          <w:p w14:paraId="4DDA8DE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表层样</w:t>
            </w:r>
          </w:p>
        </w:tc>
        <w:tc>
          <w:tcPr>
            <w:tcW w:w="567" w:type="dxa"/>
            <w:vMerge w:val="restart"/>
            <w:vAlign w:val="center"/>
          </w:tcPr>
          <w:p w14:paraId="218D156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pH、镉、汞、砷、铅、铬、铜、镍、锌</w:t>
            </w:r>
          </w:p>
        </w:tc>
      </w:tr>
      <w:tr w14:paraId="2B936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Align w:val="center"/>
          </w:tcPr>
          <w:p w14:paraId="7781C29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T2</w:t>
            </w:r>
          </w:p>
        </w:tc>
        <w:tc>
          <w:tcPr>
            <w:tcW w:w="567" w:type="dxa"/>
            <w:vAlign w:val="center"/>
          </w:tcPr>
          <w:p w14:paraId="0401450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eastAsia="zh-CN"/>
              </w:rPr>
              <w:t>厂</w:t>
            </w:r>
            <w:r>
              <w:rPr>
                <w:rFonts w:hint="default" w:ascii="Times New Roman" w:hAnsi="Times New Roman" w:eastAsia="宋体" w:cs="Times New Roman"/>
                <w:color w:val="auto"/>
                <w:kern w:val="0"/>
                <w:sz w:val="21"/>
                <w:szCs w:val="21"/>
                <w:highlight w:val="none"/>
              </w:rPr>
              <w:t>区内□</w:t>
            </w:r>
            <w:r>
              <w:rPr>
                <w:rFonts w:hint="default" w:ascii="Times New Roman" w:hAnsi="Times New Roman" w:eastAsia="宋体" w:cs="Times New Roman"/>
                <w:color w:val="auto"/>
                <w:kern w:val="0"/>
                <w:sz w:val="21"/>
                <w:szCs w:val="21"/>
                <w:highlight w:val="none"/>
                <w:lang w:val="en-US" w:eastAsia="zh-CN"/>
              </w:rPr>
              <w:t>2</w:t>
            </w:r>
          </w:p>
        </w:tc>
        <w:tc>
          <w:tcPr>
            <w:tcW w:w="1701" w:type="dxa"/>
            <w:vAlign w:val="center"/>
          </w:tcPr>
          <w:p w14:paraId="4CAC298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E</w:t>
            </w:r>
            <w:r>
              <w:rPr>
                <w:rFonts w:hint="default" w:ascii="Times New Roman" w:hAnsi="Times New Roman" w:eastAsia="宋体" w:cs="Times New Roman"/>
                <w:color w:val="auto"/>
                <w:kern w:val="0"/>
                <w:sz w:val="21"/>
                <w:szCs w:val="21"/>
                <w:highlight w:val="none"/>
              </w:rPr>
              <w:t>108°55′53.89″</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N</w:t>
            </w:r>
            <w:r>
              <w:rPr>
                <w:rFonts w:hint="default" w:ascii="Times New Roman" w:hAnsi="Times New Roman" w:eastAsia="宋体" w:cs="Times New Roman"/>
                <w:color w:val="auto"/>
                <w:kern w:val="0"/>
                <w:sz w:val="21"/>
                <w:szCs w:val="21"/>
                <w:highlight w:val="none"/>
              </w:rPr>
              <w:t>41°7′12.9</w:t>
            </w:r>
            <w:r>
              <w:rPr>
                <w:rFonts w:hint="default" w:ascii="Times New Roman" w:hAnsi="Times New Roman" w:eastAsia="宋体" w:cs="Times New Roman"/>
                <w:color w:val="auto"/>
                <w:kern w:val="0"/>
                <w:sz w:val="21"/>
                <w:szCs w:val="21"/>
                <w:highlight w:val="none"/>
                <w:lang w:val="en-US" w:eastAsia="zh-CN"/>
              </w:rPr>
              <w:t>8</w:t>
            </w:r>
            <w:r>
              <w:rPr>
                <w:rFonts w:hint="default" w:ascii="Times New Roman" w:hAnsi="Times New Roman" w:eastAsia="宋体" w:cs="Times New Roman"/>
                <w:color w:val="auto"/>
                <w:kern w:val="0"/>
                <w:sz w:val="21"/>
                <w:szCs w:val="21"/>
                <w:highlight w:val="none"/>
              </w:rPr>
              <w:t>″</w:t>
            </w:r>
          </w:p>
        </w:tc>
        <w:tc>
          <w:tcPr>
            <w:tcW w:w="567" w:type="dxa"/>
            <w:vMerge w:val="continue"/>
            <w:vAlign w:val="center"/>
          </w:tcPr>
          <w:p w14:paraId="6F179C8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rPr>
            </w:pPr>
          </w:p>
        </w:tc>
        <w:tc>
          <w:tcPr>
            <w:tcW w:w="567" w:type="dxa"/>
            <w:vMerge w:val="continue"/>
            <w:vAlign w:val="center"/>
          </w:tcPr>
          <w:p w14:paraId="2FB34C1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rPr>
            </w:pPr>
          </w:p>
        </w:tc>
      </w:tr>
      <w:tr w14:paraId="7DE98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Align w:val="center"/>
          </w:tcPr>
          <w:p w14:paraId="036B081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T3</w:t>
            </w:r>
          </w:p>
        </w:tc>
        <w:tc>
          <w:tcPr>
            <w:tcW w:w="567" w:type="dxa"/>
            <w:vAlign w:val="center"/>
          </w:tcPr>
          <w:p w14:paraId="2170F50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eastAsia="zh-CN"/>
              </w:rPr>
              <w:t>厂</w:t>
            </w:r>
            <w:r>
              <w:rPr>
                <w:rFonts w:hint="default" w:ascii="Times New Roman" w:hAnsi="Times New Roman" w:eastAsia="宋体" w:cs="Times New Roman"/>
                <w:color w:val="auto"/>
                <w:kern w:val="0"/>
                <w:sz w:val="21"/>
                <w:szCs w:val="21"/>
                <w:highlight w:val="none"/>
              </w:rPr>
              <w:t>区内□</w:t>
            </w:r>
            <w:r>
              <w:rPr>
                <w:rFonts w:hint="default" w:ascii="Times New Roman" w:hAnsi="Times New Roman" w:eastAsia="宋体" w:cs="Times New Roman"/>
                <w:color w:val="auto"/>
                <w:kern w:val="0"/>
                <w:sz w:val="21"/>
                <w:szCs w:val="21"/>
                <w:highlight w:val="none"/>
                <w:lang w:val="en-US" w:eastAsia="zh-CN"/>
              </w:rPr>
              <w:t>3</w:t>
            </w:r>
          </w:p>
        </w:tc>
        <w:tc>
          <w:tcPr>
            <w:tcW w:w="1701" w:type="dxa"/>
            <w:vAlign w:val="center"/>
          </w:tcPr>
          <w:p w14:paraId="25BF306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E</w:t>
            </w:r>
            <w:r>
              <w:rPr>
                <w:rFonts w:hint="default" w:ascii="Times New Roman" w:hAnsi="Times New Roman" w:eastAsia="宋体" w:cs="Times New Roman"/>
                <w:color w:val="auto"/>
                <w:kern w:val="0"/>
                <w:sz w:val="21"/>
                <w:szCs w:val="21"/>
                <w:highlight w:val="none"/>
              </w:rPr>
              <w:t>108°55′59.99″</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N</w:t>
            </w:r>
            <w:r>
              <w:rPr>
                <w:rFonts w:hint="default" w:ascii="Times New Roman" w:hAnsi="Times New Roman" w:eastAsia="宋体" w:cs="Times New Roman"/>
                <w:color w:val="auto"/>
                <w:kern w:val="0"/>
                <w:sz w:val="21"/>
                <w:szCs w:val="21"/>
                <w:highlight w:val="none"/>
              </w:rPr>
              <w:t>41°7′6.64″</w:t>
            </w:r>
          </w:p>
        </w:tc>
        <w:tc>
          <w:tcPr>
            <w:tcW w:w="567" w:type="dxa"/>
            <w:vMerge w:val="continue"/>
            <w:vAlign w:val="center"/>
          </w:tcPr>
          <w:p w14:paraId="4D7F46A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rPr>
            </w:pPr>
          </w:p>
        </w:tc>
        <w:tc>
          <w:tcPr>
            <w:tcW w:w="567" w:type="dxa"/>
            <w:vMerge w:val="continue"/>
            <w:vAlign w:val="center"/>
          </w:tcPr>
          <w:p w14:paraId="417FBC4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rPr>
            </w:pPr>
          </w:p>
        </w:tc>
      </w:tr>
    </w:tbl>
    <w:p w14:paraId="12AFD81A">
      <w:pPr>
        <w:pStyle w:val="6"/>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4.2.3.2监测因子</w:t>
      </w:r>
    </w:p>
    <w:p w14:paraId="561F1A51">
      <w:pPr>
        <w:pageBreakBefore w:val="0"/>
        <w:widowControl w:val="0"/>
        <w:kinsoku/>
        <w:wordWrap/>
        <w:overflowPunct/>
        <w:topLinePunct/>
        <w:autoSpaceDE w:val="0"/>
        <w:autoSpaceDN/>
        <w:bidi w:val="0"/>
        <w:adjustRightInd/>
        <w:snapToGrid w:val="0"/>
        <w:spacing w:line="360" w:lineRule="auto"/>
        <w:ind w:left="0" w:leftChars="0" w:right="0" w:rightChars="0" w:firstLine="48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pH、镉、汞、砷、铅、铬、铜、镍、锌；</w:t>
      </w:r>
    </w:p>
    <w:p w14:paraId="03BEE745">
      <w:pPr>
        <w:pStyle w:val="6"/>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4.2.3.</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监测方法</w:t>
      </w:r>
    </w:p>
    <w:p w14:paraId="1713E2D0">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kern w:val="0"/>
          <w:highlight w:val="none"/>
        </w:rPr>
      </w:pPr>
      <w:bookmarkStart w:id="347" w:name="_Toc494206318"/>
      <w:bookmarkStart w:id="348" w:name="_Toc521342156"/>
      <w:r>
        <w:rPr>
          <w:rFonts w:hint="default" w:ascii="Times New Roman" w:hAnsi="Times New Roman" w:eastAsia="宋体" w:cs="Times New Roman"/>
          <w:color w:val="auto"/>
          <w:kern w:val="0"/>
          <w:highlight w:val="none"/>
        </w:rPr>
        <w:t>采样和分析方法按《土壤环境监测技术规范》（HJ/T166</w:t>
      </w:r>
      <w:r>
        <w:rPr>
          <w:rFonts w:hint="default" w:ascii="Times New Roman" w:hAnsi="Times New Roman" w:eastAsia="宋体" w:cs="Times New Roman"/>
          <w:color w:val="auto"/>
          <w:kern w:val="0"/>
          <w:highlight w:val="none"/>
          <w:lang w:eastAsia="zh-CN"/>
        </w:rPr>
        <w:t>-</w:t>
      </w:r>
      <w:r>
        <w:rPr>
          <w:rFonts w:hint="default" w:ascii="Times New Roman" w:hAnsi="Times New Roman" w:eastAsia="宋体" w:cs="Times New Roman"/>
          <w:color w:val="auto"/>
          <w:kern w:val="0"/>
          <w:highlight w:val="none"/>
        </w:rPr>
        <w:t>2004）及</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土壤环境质量农用地土壤污染风险管控标准</w:t>
      </w:r>
      <w:r>
        <w:rPr>
          <w:rFonts w:hint="default" w:ascii="Times New Roman" w:hAnsi="Times New Roman" w:eastAsia="宋体" w:cs="Times New Roman"/>
          <w:color w:val="auto"/>
          <w:highlight w:val="none"/>
        </w:rPr>
        <w:t>（试行）》（GB15618-2018）</w:t>
      </w:r>
      <w:r>
        <w:rPr>
          <w:rFonts w:hint="default" w:ascii="Times New Roman" w:hAnsi="Times New Roman" w:eastAsia="宋体" w:cs="Times New Roman"/>
          <w:color w:val="auto"/>
          <w:kern w:val="0"/>
          <w:highlight w:val="none"/>
        </w:rPr>
        <w:t>中相关要求进行，见下表。</w:t>
      </w:r>
    </w:p>
    <w:p w14:paraId="69B4D0E8">
      <w:pPr>
        <w:pStyle w:val="7"/>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表4.2-1</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土壤检测项目分析方法</w:t>
      </w:r>
    </w:p>
    <w:tbl>
      <w:tblPr>
        <w:tblStyle w:val="40"/>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8"/>
        <w:gridCol w:w="1072"/>
        <w:gridCol w:w="3285"/>
        <w:gridCol w:w="965"/>
        <w:gridCol w:w="1389"/>
        <w:gridCol w:w="1158"/>
      </w:tblGrid>
      <w:tr w14:paraId="5036F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27" w:type="dxa"/>
            <w:tcBorders>
              <w:left w:val="single" w:color="auto" w:sz="4" w:space="0"/>
            </w:tcBorders>
            <w:noWrap w:val="0"/>
            <w:vAlign w:val="center"/>
          </w:tcPr>
          <w:p w14:paraId="0388F6C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序号</w:t>
            </w:r>
          </w:p>
        </w:tc>
        <w:tc>
          <w:tcPr>
            <w:tcW w:w="1161" w:type="dxa"/>
            <w:noWrap w:val="0"/>
            <w:vAlign w:val="center"/>
          </w:tcPr>
          <w:p w14:paraId="210BE80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检测项目</w:t>
            </w:r>
          </w:p>
        </w:tc>
        <w:tc>
          <w:tcPr>
            <w:tcW w:w="3605" w:type="dxa"/>
            <w:noWrap w:val="0"/>
            <w:vAlign w:val="center"/>
          </w:tcPr>
          <w:p w14:paraId="44AF3AA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分析方法及来源</w:t>
            </w:r>
          </w:p>
        </w:tc>
        <w:tc>
          <w:tcPr>
            <w:tcW w:w="1043" w:type="dxa"/>
            <w:noWrap w:val="0"/>
            <w:vAlign w:val="center"/>
          </w:tcPr>
          <w:p w14:paraId="662670A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检出限</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mg/kg</w:t>
            </w:r>
            <w:r>
              <w:rPr>
                <w:rFonts w:hint="default" w:ascii="Times New Roman" w:hAnsi="Times New Roman" w:eastAsia="宋体" w:cs="Times New Roman"/>
                <w:b/>
                <w:bCs/>
                <w:color w:val="auto"/>
                <w:sz w:val="21"/>
                <w:szCs w:val="21"/>
                <w:highlight w:val="none"/>
                <w:lang w:eastAsia="zh-CN"/>
              </w:rPr>
              <w:t>）</w:t>
            </w:r>
          </w:p>
        </w:tc>
        <w:tc>
          <w:tcPr>
            <w:tcW w:w="1511" w:type="dxa"/>
            <w:noWrap w:val="0"/>
            <w:vAlign w:val="center"/>
          </w:tcPr>
          <w:p w14:paraId="6D8E46E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仪器设备名称/型号</w:t>
            </w:r>
          </w:p>
        </w:tc>
        <w:tc>
          <w:tcPr>
            <w:tcW w:w="1256" w:type="dxa"/>
            <w:tcBorders>
              <w:right w:val="single" w:color="auto" w:sz="4" w:space="0"/>
            </w:tcBorders>
            <w:noWrap w:val="0"/>
            <w:vAlign w:val="center"/>
          </w:tcPr>
          <w:p w14:paraId="6D179E1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仪器管理编号</w:t>
            </w:r>
          </w:p>
        </w:tc>
      </w:tr>
      <w:tr w14:paraId="50551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27" w:type="dxa"/>
            <w:tcBorders>
              <w:left w:val="single" w:color="auto" w:sz="4" w:space="0"/>
            </w:tcBorders>
            <w:noWrap w:val="0"/>
            <w:vAlign w:val="center"/>
          </w:tcPr>
          <w:p w14:paraId="7010198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p>
        </w:tc>
        <w:tc>
          <w:tcPr>
            <w:tcW w:w="1161" w:type="dxa"/>
            <w:noWrap w:val="0"/>
            <w:vAlign w:val="center"/>
          </w:tcPr>
          <w:p w14:paraId="0ADF339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总砷</w:t>
            </w:r>
          </w:p>
        </w:tc>
        <w:tc>
          <w:tcPr>
            <w:tcW w:w="3605" w:type="dxa"/>
            <w:noWrap w:val="0"/>
            <w:vAlign w:val="center"/>
          </w:tcPr>
          <w:p w14:paraId="2DB04CA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《土壤质量总汞、总砷、总铅的测定原子荧光法》第2部分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土壤中总砷的测定（GB/T22105.2-2008）</w:t>
            </w:r>
          </w:p>
        </w:tc>
        <w:tc>
          <w:tcPr>
            <w:tcW w:w="1043" w:type="dxa"/>
            <w:noWrap w:val="0"/>
            <w:vAlign w:val="center"/>
          </w:tcPr>
          <w:p w14:paraId="502688A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0.01</w:t>
            </w:r>
          </w:p>
        </w:tc>
        <w:tc>
          <w:tcPr>
            <w:tcW w:w="1511" w:type="dxa"/>
            <w:noWrap w:val="0"/>
            <w:vAlign w:val="center"/>
          </w:tcPr>
          <w:p w14:paraId="355C7C8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原子荧光光度计/AFS-8220</w:t>
            </w:r>
          </w:p>
        </w:tc>
        <w:tc>
          <w:tcPr>
            <w:tcW w:w="1256" w:type="dxa"/>
            <w:tcBorders>
              <w:right w:val="single" w:color="auto" w:sz="4" w:space="0"/>
            </w:tcBorders>
            <w:noWrap w:val="0"/>
            <w:vAlign w:val="center"/>
          </w:tcPr>
          <w:p w14:paraId="6F6887C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HZD-003-A</w:t>
            </w:r>
          </w:p>
        </w:tc>
      </w:tr>
      <w:tr w14:paraId="334D0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27" w:type="dxa"/>
            <w:tcBorders>
              <w:left w:val="single" w:color="auto" w:sz="4" w:space="0"/>
            </w:tcBorders>
            <w:noWrap w:val="0"/>
            <w:vAlign w:val="center"/>
          </w:tcPr>
          <w:p w14:paraId="571AF4D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w:t>
            </w:r>
          </w:p>
        </w:tc>
        <w:tc>
          <w:tcPr>
            <w:tcW w:w="1161" w:type="dxa"/>
            <w:noWrap w:val="0"/>
            <w:vAlign w:val="center"/>
          </w:tcPr>
          <w:p w14:paraId="08AF57C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镉</w:t>
            </w:r>
          </w:p>
        </w:tc>
        <w:tc>
          <w:tcPr>
            <w:tcW w:w="3605" w:type="dxa"/>
            <w:noWrap w:val="0"/>
            <w:vAlign w:val="center"/>
          </w:tcPr>
          <w:p w14:paraId="0CF30DF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《土壤质量铅、镉的测定石墨炉原子吸收分光光度法》（GB/T17141-1997）</w:t>
            </w:r>
          </w:p>
        </w:tc>
        <w:tc>
          <w:tcPr>
            <w:tcW w:w="1043" w:type="dxa"/>
            <w:noWrap w:val="0"/>
            <w:vAlign w:val="center"/>
          </w:tcPr>
          <w:p w14:paraId="76AE3CB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0.01</w:t>
            </w:r>
          </w:p>
        </w:tc>
        <w:tc>
          <w:tcPr>
            <w:tcW w:w="1511" w:type="dxa"/>
            <w:noWrap w:val="0"/>
            <w:vAlign w:val="center"/>
          </w:tcPr>
          <w:p w14:paraId="6E29144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原子吸收光谱仪/ICE-3500</w:t>
            </w:r>
          </w:p>
        </w:tc>
        <w:tc>
          <w:tcPr>
            <w:tcW w:w="1256" w:type="dxa"/>
            <w:tcBorders>
              <w:right w:val="single" w:color="auto" w:sz="4" w:space="0"/>
            </w:tcBorders>
            <w:noWrap w:val="0"/>
            <w:vAlign w:val="center"/>
          </w:tcPr>
          <w:p w14:paraId="60099F4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HZD-020-A</w:t>
            </w:r>
          </w:p>
        </w:tc>
      </w:tr>
      <w:tr w14:paraId="3771E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27" w:type="dxa"/>
            <w:tcBorders>
              <w:left w:val="single" w:color="auto" w:sz="4" w:space="0"/>
            </w:tcBorders>
            <w:noWrap w:val="0"/>
            <w:vAlign w:val="center"/>
          </w:tcPr>
          <w:p w14:paraId="49897E6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w:t>
            </w:r>
          </w:p>
        </w:tc>
        <w:tc>
          <w:tcPr>
            <w:tcW w:w="1161" w:type="dxa"/>
            <w:noWrap w:val="0"/>
            <w:vAlign w:val="center"/>
          </w:tcPr>
          <w:p w14:paraId="18BC3AB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铬</w:t>
            </w:r>
          </w:p>
        </w:tc>
        <w:tc>
          <w:tcPr>
            <w:tcW w:w="3605" w:type="dxa"/>
            <w:noWrap w:val="0"/>
            <w:vAlign w:val="center"/>
          </w:tcPr>
          <w:p w14:paraId="6C4CAFE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《土壤和沉积物铜、锌、铅、镍、铬的测定火焰原子吸收分光光度法》</w:t>
            </w:r>
          </w:p>
          <w:p w14:paraId="0851B6F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（HJ491-2019）</w:t>
            </w:r>
          </w:p>
        </w:tc>
        <w:tc>
          <w:tcPr>
            <w:tcW w:w="1043" w:type="dxa"/>
            <w:noWrap w:val="0"/>
            <w:vAlign w:val="center"/>
          </w:tcPr>
          <w:p w14:paraId="4DE975D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4</w:t>
            </w:r>
          </w:p>
        </w:tc>
        <w:tc>
          <w:tcPr>
            <w:tcW w:w="1511" w:type="dxa"/>
            <w:noWrap w:val="0"/>
            <w:vAlign w:val="center"/>
          </w:tcPr>
          <w:p w14:paraId="5F56B7B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原子吸收分光光度计/AA-7020</w:t>
            </w:r>
          </w:p>
        </w:tc>
        <w:tc>
          <w:tcPr>
            <w:tcW w:w="1256" w:type="dxa"/>
            <w:tcBorders>
              <w:right w:val="single" w:color="auto" w:sz="4" w:space="0"/>
            </w:tcBorders>
            <w:noWrap w:val="0"/>
            <w:vAlign w:val="center"/>
          </w:tcPr>
          <w:p w14:paraId="2ED75E2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HZD-020-B</w:t>
            </w:r>
          </w:p>
        </w:tc>
      </w:tr>
      <w:tr w14:paraId="4CCF0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27" w:type="dxa"/>
            <w:tcBorders>
              <w:left w:val="single" w:color="auto" w:sz="4" w:space="0"/>
            </w:tcBorders>
            <w:noWrap w:val="0"/>
            <w:vAlign w:val="center"/>
          </w:tcPr>
          <w:p w14:paraId="594C49C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4</w:t>
            </w:r>
          </w:p>
        </w:tc>
        <w:tc>
          <w:tcPr>
            <w:tcW w:w="1161" w:type="dxa"/>
            <w:noWrap w:val="0"/>
            <w:vAlign w:val="center"/>
          </w:tcPr>
          <w:p w14:paraId="70C0556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铜</w:t>
            </w:r>
          </w:p>
        </w:tc>
        <w:tc>
          <w:tcPr>
            <w:tcW w:w="3605" w:type="dxa"/>
            <w:noWrap w:val="0"/>
            <w:vAlign w:val="center"/>
          </w:tcPr>
          <w:p w14:paraId="02DAA4C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《土壤和沉积物铜、锌、铅、镍、铬的测定火焰原子吸收分光光度法》</w:t>
            </w:r>
          </w:p>
          <w:p w14:paraId="4F40EC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（HJ491-2019）</w:t>
            </w:r>
          </w:p>
        </w:tc>
        <w:tc>
          <w:tcPr>
            <w:tcW w:w="1043" w:type="dxa"/>
            <w:noWrap w:val="0"/>
            <w:vAlign w:val="center"/>
          </w:tcPr>
          <w:p w14:paraId="7296DE7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w:t>
            </w:r>
          </w:p>
        </w:tc>
        <w:tc>
          <w:tcPr>
            <w:tcW w:w="1511" w:type="dxa"/>
            <w:noWrap w:val="0"/>
            <w:vAlign w:val="center"/>
          </w:tcPr>
          <w:p w14:paraId="728AB12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原子吸收分光光度计/AA-7020</w:t>
            </w:r>
          </w:p>
        </w:tc>
        <w:tc>
          <w:tcPr>
            <w:tcW w:w="1256" w:type="dxa"/>
            <w:tcBorders>
              <w:right w:val="single" w:color="auto" w:sz="4" w:space="0"/>
            </w:tcBorders>
            <w:noWrap w:val="0"/>
            <w:vAlign w:val="center"/>
          </w:tcPr>
          <w:p w14:paraId="65C5228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HZD-020-B</w:t>
            </w:r>
          </w:p>
        </w:tc>
      </w:tr>
      <w:tr w14:paraId="085B1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27" w:type="dxa"/>
            <w:tcBorders>
              <w:left w:val="single" w:color="auto" w:sz="4" w:space="0"/>
            </w:tcBorders>
            <w:noWrap w:val="0"/>
            <w:vAlign w:val="center"/>
          </w:tcPr>
          <w:p w14:paraId="135190E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5</w:t>
            </w:r>
          </w:p>
        </w:tc>
        <w:tc>
          <w:tcPr>
            <w:tcW w:w="1161" w:type="dxa"/>
            <w:noWrap w:val="0"/>
            <w:vAlign w:val="center"/>
          </w:tcPr>
          <w:p w14:paraId="4FAFE5D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铅</w:t>
            </w:r>
          </w:p>
        </w:tc>
        <w:tc>
          <w:tcPr>
            <w:tcW w:w="3605" w:type="dxa"/>
            <w:noWrap w:val="0"/>
            <w:vAlign w:val="center"/>
          </w:tcPr>
          <w:p w14:paraId="395E07C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《土壤质量铅、镉的测定石墨炉原子吸收分光光度法》（GB/T17141-1997）</w:t>
            </w:r>
          </w:p>
        </w:tc>
        <w:tc>
          <w:tcPr>
            <w:tcW w:w="1043" w:type="dxa"/>
            <w:noWrap w:val="0"/>
            <w:vAlign w:val="center"/>
          </w:tcPr>
          <w:p w14:paraId="3166F3E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0.1</w:t>
            </w:r>
          </w:p>
        </w:tc>
        <w:tc>
          <w:tcPr>
            <w:tcW w:w="1511" w:type="dxa"/>
            <w:noWrap w:val="0"/>
            <w:vAlign w:val="center"/>
          </w:tcPr>
          <w:p w14:paraId="75647EF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原子吸收光谱仪/ICE-3500</w:t>
            </w:r>
          </w:p>
        </w:tc>
        <w:tc>
          <w:tcPr>
            <w:tcW w:w="1256" w:type="dxa"/>
            <w:tcBorders>
              <w:right w:val="single" w:color="auto" w:sz="4" w:space="0"/>
            </w:tcBorders>
            <w:noWrap w:val="0"/>
            <w:vAlign w:val="center"/>
          </w:tcPr>
          <w:p w14:paraId="2319555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HZD-020-A</w:t>
            </w:r>
          </w:p>
        </w:tc>
      </w:tr>
      <w:tr w14:paraId="39572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27" w:type="dxa"/>
            <w:tcBorders>
              <w:left w:val="single" w:color="auto" w:sz="4" w:space="0"/>
            </w:tcBorders>
            <w:noWrap w:val="0"/>
            <w:vAlign w:val="center"/>
          </w:tcPr>
          <w:p w14:paraId="46624CC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6</w:t>
            </w:r>
          </w:p>
        </w:tc>
        <w:tc>
          <w:tcPr>
            <w:tcW w:w="1161" w:type="dxa"/>
            <w:noWrap w:val="0"/>
            <w:vAlign w:val="center"/>
          </w:tcPr>
          <w:p w14:paraId="480149E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总汞</w:t>
            </w:r>
          </w:p>
        </w:tc>
        <w:tc>
          <w:tcPr>
            <w:tcW w:w="3605" w:type="dxa"/>
            <w:noWrap w:val="0"/>
            <w:vAlign w:val="center"/>
          </w:tcPr>
          <w:p w14:paraId="61323B1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《土壤质量总汞、总砷、总铅的测定原子荧光法》第1部分：土壤中总汞的测定）（GB/T22105.1-2008）</w:t>
            </w:r>
          </w:p>
        </w:tc>
        <w:tc>
          <w:tcPr>
            <w:tcW w:w="1043" w:type="dxa"/>
            <w:noWrap w:val="0"/>
            <w:vAlign w:val="center"/>
          </w:tcPr>
          <w:p w14:paraId="7219CB4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0.002</w:t>
            </w:r>
          </w:p>
        </w:tc>
        <w:tc>
          <w:tcPr>
            <w:tcW w:w="1511" w:type="dxa"/>
            <w:noWrap w:val="0"/>
            <w:vAlign w:val="center"/>
          </w:tcPr>
          <w:p w14:paraId="3DF83D2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原子荧光光度计/AFS-8220</w:t>
            </w:r>
          </w:p>
        </w:tc>
        <w:tc>
          <w:tcPr>
            <w:tcW w:w="1256" w:type="dxa"/>
            <w:tcBorders>
              <w:right w:val="single" w:color="auto" w:sz="4" w:space="0"/>
            </w:tcBorders>
            <w:noWrap w:val="0"/>
            <w:vAlign w:val="center"/>
          </w:tcPr>
          <w:p w14:paraId="531F09D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HZD-003-A</w:t>
            </w:r>
          </w:p>
        </w:tc>
      </w:tr>
      <w:tr w14:paraId="49497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27" w:type="dxa"/>
            <w:tcBorders>
              <w:left w:val="single" w:color="auto" w:sz="4" w:space="0"/>
            </w:tcBorders>
            <w:noWrap w:val="0"/>
            <w:vAlign w:val="center"/>
          </w:tcPr>
          <w:p w14:paraId="62531C0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7</w:t>
            </w:r>
          </w:p>
        </w:tc>
        <w:tc>
          <w:tcPr>
            <w:tcW w:w="1161" w:type="dxa"/>
            <w:noWrap w:val="0"/>
            <w:vAlign w:val="center"/>
          </w:tcPr>
          <w:p w14:paraId="6E50267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镍</w:t>
            </w:r>
          </w:p>
        </w:tc>
        <w:tc>
          <w:tcPr>
            <w:tcW w:w="3605" w:type="dxa"/>
            <w:noWrap w:val="0"/>
            <w:vAlign w:val="center"/>
          </w:tcPr>
          <w:p w14:paraId="1CD8FD7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《土壤和沉积物铜、锌、铅、镍、铬的测定火焰原子吸收分光光度法》</w:t>
            </w:r>
          </w:p>
          <w:p w14:paraId="7F045A0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（HJ491-2019）</w:t>
            </w:r>
          </w:p>
        </w:tc>
        <w:tc>
          <w:tcPr>
            <w:tcW w:w="1043" w:type="dxa"/>
            <w:noWrap w:val="0"/>
            <w:vAlign w:val="center"/>
          </w:tcPr>
          <w:p w14:paraId="7B53024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3</w:t>
            </w:r>
          </w:p>
        </w:tc>
        <w:tc>
          <w:tcPr>
            <w:tcW w:w="1511" w:type="dxa"/>
            <w:noWrap w:val="0"/>
            <w:vAlign w:val="center"/>
          </w:tcPr>
          <w:p w14:paraId="51A713A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原子吸收分光光度计/AA-7020</w:t>
            </w:r>
          </w:p>
        </w:tc>
        <w:tc>
          <w:tcPr>
            <w:tcW w:w="1256" w:type="dxa"/>
            <w:tcBorders>
              <w:right w:val="single" w:color="auto" w:sz="4" w:space="0"/>
            </w:tcBorders>
            <w:noWrap w:val="0"/>
            <w:vAlign w:val="center"/>
          </w:tcPr>
          <w:p w14:paraId="100156A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HZD-020-B</w:t>
            </w:r>
          </w:p>
        </w:tc>
      </w:tr>
      <w:tr w14:paraId="7B458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27" w:type="dxa"/>
            <w:tcBorders>
              <w:left w:val="single" w:color="auto" w:sz="4" w:space="0"/>
            </w:tcBorders>
            <w:noWrap w:val="0"/>
            <w:vAlign w:val="center"/>
          </w:tcPr>
          <w:p w14:paraId="46F3F92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8</w:t>
            </w:r>
          </w:p>
        </w:tc>
        <w:tc>
          <w:tcPr>
            <w:tcW w:w="1161" w:type="dxa"/>
            <w:noWrap w:val="0"/>
            <w:vAlign w:val="center"/>
          </w:tcPr>
          <w:p w14:paraId="56C7E6B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锌</w:t>
            </w:r>
          </w:p>
        </w:tc>
        <w:tc>
          <w:tcPr>
            <w:tcW w:w="3605" w:type="dxa"/>
            <w:noWrap w:val="0"/>
            <w:vAlign w:val="center"/>
          </w:tcPr>
          <w:p w14:paraId="3306CB9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《土壤和沉积物铜、锌、铅、镍、铬的测定火焰原子吸收分光光度法》</w:t>
            </w:r>
          </w:p>
          <w:p w14:paraId="30A91EE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（HJ491-2019）</w:t>
            </w:r>
          </w:p>
        </w:tc>
        <w:tc>
          <w:tcPr>
            <w:tcW w:w="1043" w:type="dxa"/>
            <w:noWrap w:val="0"/>
            <w:vAlign w:val="center"/>
          </w:tcPr>
          <w:p w14:paraId="6879548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1</w:t>
            </w:r>
          </w:p>
        </w:tc>
        <w:tc>
          <w:tcPr>
            <w:tcW w:w="1511" w:type="dxa"/>
            <w:noWrap w:val="0"/>
            <w:vAlign w:val="center"/>
          </w:tcPr>
          <w:p w14:paraId="3F51ACD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原子吸收分光光度计/AA-7020</w:t>
            </w:r>
          </w:p>
        </w:tc>
        <w:tc>
          <w:tcPr>
            <w:tcW w:w="1256" w:type="dxa"/>
            <w:tcBorders>
              <w:right w:val="single" w:color="auto" w:sz="4" w:space="0"/>
            </w:tcBorders>
            <w:noWrap w:val="0"/>
            <w:vAlign w:val="center"/>
          </w:tcPr>
          <w:p w14:paraId="3B46DD0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rPr>
              <w:t>HZD-020-B</w:t>
            </w:r>
          </w:p>
        </w:tc>
      </w:tr>
      <w:tr w14:paraId="22151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27" w:type="dxa"/>
            <w:tcBorders>
              <w:left w:val="single" w:color="auto" w:sz="4" w:space="0"/>
            </w:tcBorders>
            <w:noWrap w:val="0"/>
            <w:vAlign w:val="center"/>
          </w:tcPr>
          <w:p w14:paraId="79F385B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9</w:t>
            </w:r>
          </w:p>
        </w:tc>
        <w:tc>
          <w:tcPr>
            <w:tcW w:w="1161" w:type="dxa"/>
            <w:noWrap w:val="0"/>
            <w:vAlign w:val="center"/>
          </w:tcPr>
          <w:p w14:paraId="1352345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pH</w:t>
            </w:r>
          </w:p>
        </w:tc>
        <w:tc>
          <w:tcPr>
            <w:tcW w:w="3605" w:type="dxa"/>
            <w:noWrap w:val="0"/>
            <w:vAlign w:val="center"/>
          </w:tcPr>
          <w:p w14:paraId="300DCFE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《土壤pH测定电位法》</w:t>
            </w:r>
          </w:p>
          <w:p w14:paraId="25A0DBA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（HJ962-2018）</w:t>
            </w:r>
          </w:p>
        </w:tc>
        <w:tc>
          <w:tcPr>
            <w:tcW w:w="1043" w:type="dxa"/>
            <w:noWrap w:val="0"/>
            <w:vAlign w:val="center"/>
          </w:tcPr>
          <w:p w14:paraId="04AE119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1511" w:type="dxa"/>
            <w:noWrap w:val="0"/>
            <w:vAlign w:val="center"/>
          </w:tcPr>
          <w:p w14:paraId="6D13948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pH计/PHS-3C</w:t>
            </w:r>
          </w:p>
        </w:tc>
        <w:tc>
          <w:tcPr>
            <w:tcW w:w="1256" w:type="dxa"/>
            <w:tcBorders>
              <w:right w:val="single" w:color="auto" w:sz="4" w:space="0"/>
            </w:tcBorders>
            <w:noWrap w:val="0"/>
            <w:vAlign w:val="center"/>
          </w:tcPr>
          <w:p w14:paraId="3C4E4C4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HZD-009-B</w:t>
            </w:r>
          </w:p>
        </w:tc>
      </w:tr>
    </w:tbl>
    <w:p w14:paraId="349F7456">
      <w:pPr>
        <w:pStyle w:val="6"/>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4.2.3.</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评价标准</w:t>
      </w:r>
    </w:p>
    <w:p w14:paraId="5CC7A16D">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项目区土壤环境质量执行</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土壤环境质量农用地土壤污染风险管控标准</w:t>
      </w:r>
      <w:r>
        <w:rPr>
          <w:rFonts w:hint="default" w:ascii="Times New Roman" w:hAnsi="Times New Roman" w:eastAsia="宋体" w:cs="Times New Roman"/>
          <w:color w:val="auto"/>
          <w:highlight w:val="none"/>
          <w:lang w:eastAsia="zh-CN"/>
        </w:rPr>
        <w:t>（试行）》（GB15618-2018）表1农用地土壤污染风险筛选值（基本项目）--“其他”标准</w:t>
      </w:r>
      <w:r>
        <w:rPr>
          <w:rFonts w:hint="default" w:ascii="Times New Roman" w:hAnsi="Times New Roman" w:eastAsia="宋体" w:cs="Times New Roman"/>
          <w:color w:val="auto"/>
          <w:highlight w:val="none"/>
        </w:rPr>
        <w:t>。</w:t>
      </w:r>
    </w:p>
    <w:p w14:paraId="1799BCE0">
      <w:pPr>
        <w:pStyle w:val="6"/>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4.2.3.</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监测结果</w:t>
      </w:r>
    </w:p>
    <w:p w14:paraId="0803C0ED">
      <w:pPr>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color w:val="auto"/>
          <w:highlight w:val="none"/>
          <w:lang w:eastAsia="zh-CN"/>
        </w:rPr>
        <w:t>项目区内</w:t>
      </w:r>
      <w:r>
        <w:rPr>
          <w:rFonts w:hint="default" w:ascii="Times New Roman" w:hAnsi="Times New Roman" w:eastAsia="宋体" w:cs="Times New Roman"/>
          <w:color w:val="auto"/>
          <w:highlight w:val="none"/>
        </w:rPr>
        <w:t>土壤环境质量现状监测结果见下表。</w:t>
      </w:r>
    </w:p>
    <w:p w14:paraId="68363FC0">
      <w:pPr>
        <w:pageBreakBefore w:val="0"/>
        <w:widowControl w:val="0"/>
        <w:kinsoku/>
        <w:wordWrap/>
        <w:overflowPunct/>
        <w:topLinePunct/>
        <w:autoSpaceDE w:val="0"/>
        <w:autoSpaceDN/>
        <w:bidi w:val="0"/>
        <w:adjustRightInd/>
        <w:snapToGrid w:val="0"/>
        <w:spacing w:line="360" w:lineRule="auto"/>
        <w:ind w:left="0" w:leftChars="0" w:right="0" w:rightChars="0"/>
        <w:jc w:val="center"/>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表4.2-1</w:t>
      </w:r>
      <w:r>
        <w:rPr>
          <w:rFonts w:hint="default" w:ascii="Times New Roman" w:hAnsi="Times New Roman" w:eastAsia="宋体" w:cs="Times New Roman"/>
          <w:b/>
          <w:bCs/>
          <w:color w:val="auto"/>
          <w:highlight w:val="none"/>
          <w:lang w:val="en-US" w:eastAsia="zh-CN"/>
        </w:rPr>
        <w:t>4</w:t>
      </w:r>
      <w:r>
        <w:rPr>
          <w:rFonts w:hint="default" w:ascii="Times New Roman" w:hAnsi="Times New Roman" w:eastAsia="宋体" w:cs="Times New Roman"/>
          <w:b/>
          <w:bCs/>
          <w:color w:val="auto"/>
          <w:highlight w:val="none"/>
        </w:rPr>
        <w:t>项目用地范围内土壤检测结果表（单位：mg/kg）</w:t>
      </w:r>
    </w:p>
    <w:tbl>
      <w:tblPr>
        <w:tblStyle w:val="40"/>
        <w:tblW w:w="8277"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1169"/>
        <w:gridCol w:w="1172"/>
        <w:gridCol w:w="1172"/>
        <w:gridCol w:w="1172"/>
        <w:gridCol w:w="1178"/>
        <w:gridCol w:w="1240"/>
        <w:gridCol w:w="1174"/>
      </w:tblGrid>
      <w:tr w14:paraId="796C9EE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272" w:type="dxa"/>
            <w:vMerge w:val="restart"/>
            <w:tcBorders>
              <w:top w:val="single" w:color="auto" w:sz="4" w:space="0"/>
              <w:left w:val="single" w:color="auto" w:sz="4" w:space="0"/>
              <w:bottom w:val="single" w:color="auto" w:sz="4" w:space="0"/>
              <w:right w:val="single" w:color="auto" w:sz="4" w:space="0"/>
            </w:tcBorders>
            <w:vAlign w:val="center"/>
          </w:tcPr>
          <w:p w14:paraId="7DB0F5D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lang w:bidi="ar"/>
              </w:rPr>
              <w:t>序号</w:t>
            </w:r>
          </w:p>
        </w:tc>
        <w:tc>
          <w:tcPr>
            <w:tcW w:w="1276" w:type="dxa"/>
            <w:vMerge w:val="restart"/>
            <w:tcBorders>
              <w:top w:val="single" w:color="auto" w:sz="4" w:space="0"/>
              <w:left w:val="single" w:color="auto" w:sz="4" w:space="0"/>
              <w:bottom w:val="single" w:color="auto" w:sz="4" w:space="0"/>
              <w:right w:val="single" w:color="auto" w:sz="4" w:space="0"/>
            </w:tcBorders>
            <w:vAlign w:val="center"/>
          </w:tcPr>
          <w:p w14:paraId="450DFF6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lang w:bidi="ar"/>
              </w:rPr>
              <w:t>监测因子</w:t>
            </w:r>
          </w:p>
        </w:tc>
        <w:tc>
          <w:tcPr>
            <w:tcW w:w="3834" w:type="dxa"/>
            <w:gridSpan w:val="3"/>
            <w:tcBorders>
              <w:top w:val="single" w:color="auto" w:sz="4" w:space="0"/>
              <w:left w:val="single" w:color="auto" w:sz="4" w:space="0"/>
              <w:bottom w:val="single" w:color="auto" w:sz="4" w:space="0"/>
              <w:right w:val="single" w:color="auto" w:sz="4" w:space="0"/>
            </w:tcBorders>
          </w:tcPr>
          <w:p w14:paraId="20D44BE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lang w:bidi="ar"/>
              </w:rPr>
              <w:t>监测点位</w:t>
            </w:r>
          </w:p>
        </w:tc>
        <w:tc>
          <w:tcPr>
            <w:tcW w:w="1349" w:type="dxa"/>
            <w:vMerge w:val="restart"/>
            <w:tcBorders>
              <w:top w:val="single" w:color="auto" w:sz="4" w:space="0"/>
              <w:left w:val="single" w:color="auto" w:sz="4" w:space="0"/>
              <w:bottom w:val="single" w:color="auto" w:sz="4" w:space="0"/>
              <w:right w:val="single" w:color="auto" w:sz="4" w:space="0"/>
            </w:tcBorders>
            <w:vAlign w:val="center"/>
          </w:tcPr>
          <w:p w14:paraId="477F23E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rPr>
              <w:t>GB15618-20</w:t>
            </w:r>
            <w:r>
              <w:rPr>
                <w:rFonts w:hint="default" w:ascii="Times New Roman" w:hAnsi="Times New Roman" w:eastAsia="宋体" w:cs="Times New Roman"/>
                <w:color w:val="auto"/>
                <w:sz w:val="21"/>
                <w:szCs w:val="21"/>
                <w:highlight w:val="none"/>
                <w:lang w:bidi="ar"/>
              </w:rPr>
              <w:t>18</w:t>
            </w:r>
          </w:p>
        </w:tc>
        <w:tc>
          <w:tcPr>
            <w:tcW w:w="1277" w:type="dxa"/>
            <w:vMerge w:val="restart"/>
            <w:tcBorders>
              <w:top w:val="single" w:color="auto" w:sz="4" w:space="0"/>
              <w:left w:val="single" w:color="auto" w:sz="4" w:space="0"/>
              <w:bottom w:val="single" w:color="auto" w:sz="4" w:space="0"/>
              <w:right w:val="single" w:color="auto" w:sz="4" w:space="0"/>
            </w:tcBorders>
            <w:vAlign w:val="center"/>
          </w:tcPr>
          <w:p w14:paraId="075CF07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lang w:bidi="ar"/>
              </w:rPr>
              <w:t>是否达标</w:t>
            </w:r>
          </w:p>
        </w:tc>
      </w:tr>
      <w:tr w14:paraId="0147B64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272" w:type="dxa"/>
            <w:vMerge w:val="continue"/>
            <w:tcBorders>
              <w:top w:val="single" w:color="auto" w:sz="4" w:space="0"/>
              <w:left w:val="single" w:color="auto" w:sz="4" w:space="0"/>
              <w:bottom w:val="single" w:color="auto" w:sz="4" w:space="0"/>
              <w:right w:val="single" w:color="auto" w:sz="4" w:space="0"/>
            </w:tcBorders>
            <w:vAlign w:val="center"/>
          </w:tcPr>
          <w:p w14:paraId="7F201D8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ar"/>
              </w:rPr>
            </w:pPr>
          </w:p>
        </w:tc>
        <w:tc>
          <w:tcPr>
            <w:tcW w:w="1276" w:type="dxa"/>
            <w:vMerge w:val="continue"/>
            <w:tcBorders>
              <w:top w:val="single" w:color="auto" w:sz="4" w:space="0"/>
              <w:left w:val="single" w:color="auto" w:sz="4" w:space="0"/>
              <w:bottom w:val="single" w:color="auto" w:sz="4" w:space="0"/>
              <w:right w:val="single" w:color="auto" w:sz="4" w:space="0"/>
            </w:tcBorders>
            <w:vAlign w:val="center"/>
          </w:tcPr>
          <w:p w14:paraId="35AD42E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ar"/>
              </w:rPr>
            </w:pPr>
          </w:p>
        </w:tc>
        <w:tc>
          <w:tcPr>
            <w:tcW w:w="1276" w:type="dxa"/>
            <w:tcBorders>
              <w:top w:val="single" w:color="auto" w:sz="4" w:space="0"/>
              <w:left w:val="single" w:color="auto" w:sz="4" w:space="0"/>
              <w:bottom w:val="single" w:color="auto" w:sz="4" w:space="0"/>
              <w:right w:val="single" w:color="auto" w:sz="4" w:space="0"/>
            </w:tcBorders>
            <w:vAlign w:val="center"/>
          </w:tcPr>
          <w:p w14:paraId="7AB4781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lang w:bidi="ar"/>
              </w:rPr>
              <w:t>T</w:t>
            </w:r>
            <w:r>
              <w:rPr>
                <w:rFonts w:hint="default" w:ascii="Times New Roman" w:hAnsi="Times New Roman" w:eastAsia="宋体" w:cs="Times New Roman"/>
                <w:color w:val="auto"/>
                <w:sz w:val="21"/>
                <w:szCs w:val="21"/>
                <w:highlight w:val="none"/>
                <w:lang w:val="en-US" w:eastAsia="zh-CN" w:bidi="ar"/>
              </w:rPr>
              <w:t>1</w:t>
            </w:r>
            <w:r>
              <w:rPr>
                <w:rFonts w:hint="default" w:ascii="Times New Roman" w:hAnsi="Times New Roman" w:eastAsia="宋体" w:cs="Times New Roman"/>
                <w:color w:val="auto"/>
                <w:sz w:val="21"/>
                <w:szCs w:val="21"/>
                <w:highlight w:val="none"/>
                <w:lang w:bidi="ar"/>
              </w:rPr>
              <w:t>表层样</w:t>
            </w:r>
          </w:p>
        </w:tc>
        <w:tc>
          <w:tcPr>
            <w:tcW w:w="1276" w:type="dxa"/>
            <w:tcBorders>
              <w:top w:val="single" w:color="auto" w:sz="4" w:space="0"/>
              <w:left w:val="single" w:color="auto" w:sz="4" w:space="0"/>
              <w:bottom w:val="single" w:color="auto" w:sz="4" w:space="0"/>
              <w:right w:val="single" w:color="auto" w:sz="4" w:space="0"/>
            </w:tcBorders>
            <w:vAlign w:val="center"/>
          </w:tcPr>
          <w:p w14:paraId="5141C5F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lang w:bidi="ar"/>
              </w:rPr>
              <w:t>T</w:t>
            </w:r>
            <w:r>
              <w:rPr>
                <w:rFonts w:hint="default" w:ascii="Times New Roman" w:hAnsi="Times New Roman" w:eastAsia="宋体" w:cs="Times New Roman"/>
                <w:color w:val="auto"/>
                <w:sz w:val="21"/>
                <w:szCs w:val="21"/>
                <w:highlight w:val="none"/>
                <w:lang w:val="en-US" w:eastAsia="zh-CN" w:bidi="ar"/>
              </w:rPr>
              <w:t>2</w:t>
            </w:r>
            <w:r>
              <w:rPr>
                <w:rFonts w:hint="default" w:ascii="Times New Roman" w:hAnsi="Times New Roman" w:eastAsia="宋体" w:cs="Times New Roman"/>
                <w:color w:val="auto"/>
                <w:sz w:val="21"/>
                <w:szCs w:val="21"/>
                <w:highlight w:val="none"/>
                <w:lang w:bidi="ar"/>
              </w:rPr>
              <w:t>表层样</w:t>
            </w:r>
          </w:p>
        </w:tc>
        <w:tc>
          <w:tcPr>
            <w:tcW w:w="1282" w:type="dxa"/>
            <w:tcBorders>
              <w:top w:val="single" w:color="auto" w:sz="4" w:space="0"/>
              <w:left w:val="single" w:color="auto" w:sz="4" w:space="0"/>
              <w:bottom w:val="single" w:color="auto" w:sz="4" w:space="0"/>
              <w:right w:val="single" w:color="auto" w:sz="4" w:space="0"/>
            </w:tcBorders>
            <w:vAlign w:val="center"/>
          </w:tcPr>
          <w:p w14:paraId="6EBA63F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ar"/>
              </w:rPr>
            </w:pPr>
            <w:r>
              <w:rPr>
                <w:rFonts w:hint="default" w:ascii="Times New Roman" w:hAnsi="Times New Roman" w:eastAsia="宋体" w:cs="Times New Roman"/>
                <w:color w:val="auto"/>
                <w:sz w:val="21"/>
                <w:szCs w:val="21"/>
                <w:highlight w:val="none"/>
                <w:lang w:bidi="ar"/>
              </w:rPr>
              <w:t>T</w:t>
            </w:r>
            <w:r>
              <w:rPr>
                <w:rFonts w:hint="default" w:ascii="Times New Roman" w:hAnsi="Times New Roman" w:eastAsia="宋体" w:cs="Times New Roman"/>
                <w:color w:val="auto"/>
                <w:sz w:val="21"/>
                <w:szCs w:val="21"/>
                <w:highlight w:val="none"/>
                <w:lang w:val="en-US" w:eastAsia="zh-CN" w:bidi="ar"/>
              </w:rPr>
              <w:t>3</w:t>
            </w:r>
            <w:r>
              <w:rPr>
                <w:rFonts w:hint="default" w:ascii="Times New Roman" w:hAnsi="Times New Roman" w:eastAsia="宋体" w:cs="Times New Roman"/>
                <w:color w:val="auto"/>
                <w:sz w:val="21"/>
                <w:szCs w:val="21"/>
                <w:highlight w:val="none"/>
                <w:lang w:bidi="ar"/>
              </w:rPr>
              <w:t>表层样</w:t>
            </w:r>
          </w:p>
        </w:tc>
        <w:tc>
          <w:tcPr>
            <w:tcW w:w="1349" w:type="dxa"/>
            <w:vMerge w:val="continue"/>
            <w:tcBorders>
              <w:top w:val="single" w:color="auto" w:sz="4" w:space="0"/>
              <w:left w:val="single" w:color="auto" w:sz="4" w:space="0"/>
              <w:bottom w:val="single" w:color="auto" w:sz="4" w:space="0"/>
              <w:right w:val="single" w:color="auto" w:sz="4" w:space="0"/>
            </w:tcBorders>
            <w:vAlign w:val="center"/>
          </w:tcPr>
          <w:p w14:paraId="340C777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ar"/>
              </w:rPr>
            </w:pPr>
          </w:p>
        </w:tc>
        <w:tc>
          <w:tcPr>
            <w:tcW w:w="1277" w:type="dxa"/>
            <w:vMerge w:val="continue"/>
            <w:tcBorders>
              <w:top w:val="single" w:color="auto" w:sz="4" w:space="0"/>
              <w:left w:val="single" w:color="auto" w:sz="4" w:space="0"/>
              <w:bottom w:val="single" w:color="auto" w:sz="4" w:space="0"/>
              <w:right w:val="single" w:color="auto" w:sz="4" w:space="0"/>
            </w:tcBorders>
            <w:vAlign w:val="center"/>
          </w:tcPr>
          <w:p w14:paraId="3BCA1A1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bidi="ar"/>
              </w:rPr>
            </w:pPr>
          </w:p>
        </w:tc>
      </w:tr>
      <w:tr w14:paraId="1543F8F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272" w:type="dxa"/>
            <w:tcBorders>
              <w:top w:val="single" w:color="auto" w:sz="4" w:space="0"/>
              <w:left w:val="single" w:color="auto" w:sz="4" w:space="0"/>
              <w:bottom w:val="single" w:color="auto" w:sz="4" w:space="0"/>
              <w:right w:val="single" w:color="auto" w:sz="4" w:space="0"/>
            </w:tcBorders>
            <w:vAlign w:val="center"/>
          </w:tcPr>
          <w:p w14:paraId="242A5D4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p>
        </w:tc>
        <w:tc>
          <w:tcPr>
            <w:tcW w:w="1276" w:type="dxa"/>
            <w:tcBorders>
              <w:top w:val="single" w:color="auto" w:sz="4" w:space="0"/>
              <w:left w:val="single" w:color="auto" w:sz="4" w:space="0"/>
              <w:bottom w:val="single" w:color="auto" w:sz="4" w:space="0"/>
              <w:right w:val="single" w:color="auto" w:sz="4" w:space="0"/>
            </w:tcBorders>
            <w:vAlign w:val="center"/>
          </w:tcPr>
          <w:p w14:paraId="2508C178">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总砷</w:t>
            </w:r>
          </w:p>
        </w:tc>
        <w:tc>
          <w:tcPr>
            <w:tcW w:w="1276" w:type="dxa"/>
            <w:tcBorders>
              <w:top w:val="single" w:color="auto" w:sz="4" w:space="0"/>
              <w:left w:val="single" w:color="auto" w:sz="4" w:space="0"/>
              <w:bottom w:val="single" w:color="auto" w:sz="4" w:space="0"/>
              <w:right w:val="single" w:color="auto" w:sz="4" w:space="0"/>
            </w:tcBorders>
            <w:vAlign w:val="center"/>
          </w:tcPr>
          <w:p w14:paraId="5A8295AC">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9.36</w:t>
            </w:r>
          </w:p>
        </w:tc>
        <w:tc>
          <w:tcPr>
            <w:tcW w:w="1276" w:type="dxa"/>
            <w:tcBorders>
              <w:top w:val="single" w:color="auto" w:sz="4" w:space="0"/>
              <w:left w:val="single" w:color="auto" w:sz="4" w:space="0"/>
              <w:bottom w:val="single" w:color="auto" w:sz="4" w:space="0"/>
              <w:right w:val="single" w:color="auto" w:sz="4" w:space="0"/>
            </w:tcBorders>
            <w:vAlign w:val="center"/>
          </w:tcPr>
          <w:p w14:paraId="1A8CAAFC">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10.2</w:t>
            </w:r>
          </w:p>
        </w:tc>
        <w:tc>
          <w:tcPr>
            <w:tcW w:w="1282" w:type="dxa"/>
            <w:tcBorders>
              <w:top w:val="single" w:color="auto" w:sz="4" w:space="0"/>
              <w:left w:val="single" w:color="auto" w:sz="4" w:space="0"/>
              <w:bottom w:val="single" w:color="auto" w:sz="4" w:space="0"/>
              <w:right w:val="single" w:color="auto" w:sz="4" w:space="0"/>
            </w:tcBorders>
            <w:vAlign w:val="center"/>
          </w:tcPr>
          <w:p w14:paraId="7F109E99">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9.65</w:t>
            </w:r>
          </w:p>
        </w:tc>
        <w:tc>
          <w:tcPr>
            <w:tcW w:w="1349" w:type="dxa"/>
            <w:tcBorders>
              <w:top w:val="single" w:color="auto" w:sz="4" w:space="0"/>
              <w:left w:val="single" w:color="auto" w:sz="4" w:space="0"/>
              <w:bottom w:val="single" w:color="auto" w:sz="4" w:space="0"/>
              <w:right w:val="single" w:color="auto" w:sz="4" w:space="0"/>
            </w:tcBorders>
            <w:vAlign w:val="center"/>
          </w:tcPr>
          <w:p w14:paraId="073C8009">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25</w:t>
            </w:r>
          </w:p>
        </w:tc>
        <w:tc>
          <w:tcPr>
            <w:tcW w:w="1277" w:type="dxa"/>
            <w:tcBorders>
              <w:top w:val="single" w:color="auto" w:sz="4" w:space="0"/>
              <w:left w:val="single" w:color="auto" w:sz="4" w:space="0"/>
              <w:bottom w:val="single" w:color="auto" w:sz="4" w:space="0"/>
              <w:right w:val="single" w:color="auto" w:sz="4" w:space="0"/>
            </w:tcBorders>
            <w:vAlign w:val="center"/>
          </w:tcPr>
          <w:p w14:paraId="26A07AC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达标</w:t>
            </w:r>
          </w:p>
        </w:tc>
      </w:tr>
      <w:tr w14:paraId="68CEF3F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272" w:type="dxa"/>
            <w:tcBorders>
              <w:top w:val="single" w:color="auto" w:sz="4" w:space="0"/>
              <w:left w:val="single" w:color="auto" w:sz="4" w:space="0"/>
              <w:bottom w:val="single" w:color="auto" w:sz="4" w:space="0"/>
              <w:right w:val="single" w:color="auto" w:sz="4" w:space="0"/>
            </w:tcBorders>
            <w:vAlign w:val="center"/>
          </w:tcPr>
          <w:p w14:paraId="2D975FD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w:t>
            </w:r>
          </w:p>
        </w:tc>
        <w:tc>
          <w:tcPr>
            <w:tcW w:w="1276" w:type="dxa"/>
            <w:tcBorders>
              <w:top w:val="single" w:color="auto" w:sz="4" w:space="0"/>
              <w:left w:val="single" w:color="auto" w:sz="4" w:space="0"/>
              <w:bottom w:val="single" w:color="auto" w:sz="4" w:space="0"/>
              <w:right w:val="single" w:color="auto" w:sz="4" w:space="0"/>
            </w:tcBorders>
            <w:vAlign w:val="center"/>
          </w:tcPr>
          <w:p w14:paraId="2A460075">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镉</w:t>
            </w:r>
          </w:p>
        </w:tc>
        <w:tc>
          <w:tcPr>
            <w:tcW w:w="1276" w:type="dxa"/>
            <w:tcBorders>
              <w:top w:val="single" w:color="auto" w:sz="4" w:space="0"/>
              <w:left w:val="single" w:color="auto" w:sz="4" w:space="0"/>
              <w:bottom w:val="single" w:color="auto" w:sz="4" w:space="0"/>
              <w:right w:val="single" w:color="auto" w:sz="4" w:space="0"/>
            </w:tcBorders>
            <w:vAlign w:val="center"/>
          </w:tcPr>
          <w:p w14:paraId="2E6217B3">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0.32</w:t>
            </w:r>
          </w:p>
        </w:tc>
        <w:tc>
          <w:tcPr>
            <w:tcW w:w="1276" w:type="dxa"/>
            <w:tcBorders>
              <w:top w:val="single" w:color="auto" w:sz="4" w:space="0"/>
              <w:left w:val="single" w:color="auto" w:sz="4" w:space="0"/>
              <w:bottom w:val="single" w:color="auto" w:sz="4" w:space="0"/>
              <w:right w:val="single" w:color="auto" w:sz="4" w:space="0"/>
            </w:tcBorders>
            <w:vAlign w:val="center"/>
          </w:tcPr>
          <w:p w14:paraId="566C570B">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0.29</w:t>
            </w:r>
          </w:p>
        </w:tc>
        <w:tc>
          <w:tcPr>
            <w:tcW w:w="1282" w:type="dxa"/>
            <w:tcBorders>
              <w:top w:val="single" w:color="auto" w:sz="4" w:space="0"/>
              <w:left w:val="single" w:color="auto" w:sz="4" w:space="0"/>
              <w:bottom w:val="single" w:color="auto" w:sz="4" w:space="0"/>
              <w:right w:val="single" w:color="auto" w:sz="4" w:space="0"/>
            </w:tcBorders>
            <w:vAlign w:val="center"/>
          </w:tcPr>
          <w:p w14:paraId="361FAB61">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0.37</w:t>
            </w:r>
          </w:p>
        </w:tc>
        <w:tc>
          <w:tcPr>
            <w:tcW w:w="1349" w:type="dxa"/>
            <w:tcBorders>
              <w:top w:val="single" w:color="auto" w:sz="4" w:space="0"/>
              <w:left w:val="single" w:color="auto" w:sz="4" w:space="0"/>
              <w:bottom w:val="single" w:color="auto" w:sz="4" w:space="0"/>
              <w:right w:val="single" w:color="auto" w:sz="4" w:space="0"/>
            </w:tcBorders>
            <w:vAlign w:val="center"/>
          </w:tcPr>
          <w:p w14:paraId="5D903090">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0.6</w:t>
            </w:r>
          </w:p>
        </w:tc>
        <w:tc>
          <w:tcPr>
            <w:tcW w:w="1277" w:type="dxa"/>
            <w:tcBorders>
              <w:top w:val="single" w:color="auto" w:sz="4" w:space="0"/>
              <w:left w:val="single" w:color="auto" w:sz="4" w:space="0"/>
              <w:bottom w:val="single" w:color="auto" w:sz="4" w:space="0"/>
              <w:right w:val="single" w:color="auto" w:sz="4" w:space="0"/>
            </w:tcBorders>
            <w:vAlign w:val="center"/>
          </w:tcPr>
          <w:p w14:paraId="20C16CD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达标</w:t>
            </w:r>
          </w:p>
        </w:tc>
      </w:tr>
      <w:tr w14:paraId="193EFD1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272" w:type="dxa"/>
            <w:tcBorders>
              <w:top w:val="single" w:color="auto" w:sz="4" w:space="0"/>
              <w:left w:val="single" w:color="auto" w:sz="4" w:space="0"/>
              <w:bottom w:val="single" w:color="auto" w:sz="4" w:space="0"/>
              <w:right w:val="single" w:color="auto" w:sz="4" w:space="0"/>
            </w:tcBorders>
            <w:vAlign w:val="center"/>
          </w:tcPr>
          <w:p w14:paraId="36A03EA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w:t>
            </w:r>
          </w:p>
        </w:tc>
        <w:tc>
          <w:tcPr>
            <w:tcW w:w="1276" w:type="dxa"/>
            <w:tcBorders>
              <w:top w:val="single" w:color="auto" w:sz="4" w:space="0"/>
              <w:left w:val="single" w:color="auto" w:sz="4" w:space="0"/>
              <w:bottom w:val="single" w:color="auto" w:sz="4" w:space="0"/>
              <w:right w:val="single" w:color="auto" w:sz="4" w:space="0"/>
            </w:tcBorders>
            <w:vAlign w:val="center"/>
          </w:tcPr>
          <w:p w14:paraId="10FADF7B">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铬</w:t>
            </w:r>
          </w:p>
        </w:tc>
        <w:tc>
          <w:tcPr>
            <w:tcW w:w="1276" w:type="dxa"/>
            <w:tcBorders>
              <w:top w:val="single" w:color="auto" w:sz="4" w:space="0"/>
              <w:left w:val="single" w:color="auto" w:sz="4" w:space="0"/>
              <w:bottom w:val="single" w:color="auto" w:sz="4" w:space="0"/>
              <w:right w:val="single" w:color="auto" w:sz="4" w:space="0"/>
            </w:tcBorders>
            <w:vAlign w:val="center"/>
          </w:tcPr>
          <w:p w14:paraId="291B55CB">
            <w:pPr>
              <w:keepNext w:val="0"/>
              <w:keepLines w:val="0"/>
              <w:pageBreakBefore w:val="0"/>
              <w:widowControl/>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30</w:t>
            </w:r>
          </w:p>
        </w:tc>
        <w:tc>
          <w:tcPr>
            <w:tcW w:w="1276" w:type="dxa"/>
            <w:tcBorders>
              <w:top w:val="single" w:color="auto" w:sz="4" w:space="0"/>
              <w:left w:val="single" w:color="auto" w:sz="4" w:space="0"/>
              <w:bottom w:val="single" w:color="auto" w:sz="4" w:space="0"/>
              <w:right w:val="single" w:color="auto" w:sz="4" w:space="0"/>
            </w:tcBorders>
            <w:vAlign w:val="center"/>
          </w:tcPr>
          <w:p w14:paraId="4A64870C">
            <w:pPr>
              <w:keepNext w:val="0"/>
              <w:keepLines w:val="0"/>
              <w:pageBreakBefore w:val="0"/>
              <w:widowControl/>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36</w:t>
            </w:r>
          </w:p>
        </w:tc>
        <w:tc>
          <w:tcPr>
            <w:tcW w:w="1282" w:type="dxa"/>
            <w:tcBorders>
              <w:top w:val="single" w:color="auto" w:sz="4" w:space="0"/>
              <w:left w:val="single" w:color="auto" w:sz="4" w:space="0"/>
              <w:bottom w:val="single" w:color="auto" w:sz="4" w:space="0"/>
              <w:right w:val="single" w:color="auto" w:sz="4" w:space="0"/>
            </w:tcBorders>
            <w:vAlign w:val="center"/>
          </w:tcPr>
          <w:p w14:paraId="73936E45">
            <w:pPr>
              <w:keepNext w:val="0"/>
              <w:keepLines w:val="0"/>
              <w:pageBreakBefore w:val="0"/>
              <w:widowControl/>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31</w:t>
            </w:r>
          </w:p>
        </w:tc>
        <w:tc>
          <w:tcPr>
            <w:tcW w:w="1349" w:type="dxa"/>
            <w:tcBorders>
              <w:top w:val="single" w:color="auto" w:sz="4" w:space="0"/>
              <w:left w:val="single" w:color="auto" w:sz="4" w:space="0"/>
              <w:bottom w:val="single" w:color="auto" w:sz="4" w:space="0"/>
              <w:right w:val="single" w:color="auto" w:sz="4" w:space="0"/>
            </w:tcBorders>
            <w:vAlign w:val="center"/>
          </w:tcPr>
          <w:p w14:paraId="135CAF1B">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250</w:t>
            </w:r>
          </w:p>
        </w:tc>
        <w:tc>
          <w:tcPr>
            <w:tcW w:w="1277" w:type="dxa"/>
            <w:tcBorders>
              <w:top w:val="single" w:color="auto" w:sz="4" w:space="0"/>
              <w:left w:val="single" w:color="auto" w:sz="4" w:space="0"/>
              <w:bottom w:val="single" w:color="auto" w:sz="4" w:space="0"/>
              <w:right w:val="single" w:color="auto" w:sz="4" w:space="0"/>
            </w:tcBorders>
            <w:vAlign w:val="center"/>
          </w:tcPr>
          <w:p w14:paraId="4990C60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达标</w:t>
            </w:r>
          </w:p>
        </w:tc>
      </w:tr>
      <w:tr w14:paraId="4D3CADF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272" w:type="dxa"/>
            <w:tcBorders>
              <w:top w:val="single" w:color="auto" w:sz="4" w:space="0"/>
              <w:left w:val="single" w:color="auto" w:sz="4" w:space="0"/>
              <w:bottom w:val="single" w:color="auto" w:sz="4" w:space="0"/>
              <w:right w:val="single" w:color="auto" w:sz="4" w:space="0"/>
            </w:tcBorders>
            <w:vAlign w:val="center"/>
          </w:tcPr>
          <w:p w14:paraId="37B4B0E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4</w:t>
            </w:r>
          </w:p>
        </w:tc>
        <w:tc>
          <w:tcPr>
            <w:tcW w:w="1276" w:type="dxa"/>
            <w:tcBorders>
              <w:top w:val="single" w:color="auto" w:sz="4" w:space="0"/>
              <w:left w:val="single" w:color="auto" w:sz="4" w:space="0"/>
              <w:bottom w:val="single" w:color="auto" w:sz="4" w:space="0"/>
              <w:right w:val="single" w:color="auto" w:sz="4" w:space="0"/>
            </w:tcBorders>
            <w:vAlign w:val="center"/>
          </w:tcPr>
          <w:p w14:paraId="343EE092">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铜</w:t>
            </w:r>
          </w:p>
        </w:tc>
        <w:tc>
          <w:tcPr>
            <w:tcW w:w="1276" w:type="dxa"/>
            <w:tcBorders>
              <w:top w:val="single" w:color="auto" w:sz="4" w:space="0"/>
              <w:left w:val="single" w:color="auto" w:sz="4" w:space="0"/>
              <w:bottom w:val="single" w:color="auto" w:sz="4" w:space="0"/>
              <w:right w:val="single" w:color="auto" w:sz="4" w:space="0"/>
            </w:tcBorders>
            <w:vAlign w:val="center"/>
          </w:tcPr>
          <w:p w14:paraId="48B1F50A">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29</w:t>
            </w:r>
          </w:p>
        </w:tc>
        <w:tc>
          <w:tcPr>
            <w:tcW w:w="1276" w:type="dxa"/>
            <w:tcBorders>
              <w:top w:val="single" w:color="auto" w:sz="4" w:space="0"/>
              <w:left w:val="single" w:color="auto" w:sz="4" w:space="0"/>
              <w:bottom w:val="single" w:color="auto" w:sz="4" w:space="0"/>
              <w:right w:val="single" w:color="auto" w:sz="4" w:space="0"/>
            </w:tcBorders>
            <w:vAlign w:val="center"/>
          </w:tcPr>
          <w:p w14:paraId="15F61C96">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38</w:t>
            </w:r>
          </w:p>
        </w:tc>
        <w:tc>
          <w:tcPr>
            <w:tcW w:w="1282" w:type="dxa"/>
            <w:tcBorders>
              <w:top w:val="single" w:color="auto" w:sz="4" w:space="0"/>
              <w:left w:val="single" w:color="auto" w:sz="4" w:space="0"/>
              <w:bottom w:val="single" w:color="auto" w:sz="4" w:space="0"/>
              <w:right w:val="single" w:color="auto" w:sz="4" w:space="0"/>
            </w:tcBorders>
            <w:vAlign w:val="center"/>
          </w:tcPr>
          <w:p w14:paraId="47C2E3FB">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34</w:t>
            </w:r>
          </w:p>
        </w:tc>
        <w:tc>
          <w:tcPr>
            <w:tcW w:w="1349" w:type="dxa"/>
            <w:tcBorders>
              <w:top w:val="single" w:color="auto" w:sz="4" w:space="0"/>
              <w:left w:val="single" w:color="auto" w:sz="4" w:space="0"/>
              <w:bottom w:val="single" w:color="auto" w:sz="4" w:space="0"/>
              <w:right w:val="single" w:color="auto" w:sz="4" w:space="0"/>
            </w:tcBorders>
            <w:vAlign w:val="center"/>
          </w:tcPr>
          <w:p w14:paraId="695389BE">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100</w:t>
            </w:r>
          </w:p>
        </w:tc>
        <w:tc>
          <w:tcPr>
            <w:tcW w:w="1277" w:type="dxa"/>
            <w:tcBorders>
              <w:top w:val="single" w:color="auto" w:sz="4" w:space="0"/>
              <w:left w:val="single" w:color="auto" w:sz="4" w:space="0"/>
              <w:bottom w:val="single" w:color="auto" w:sz="4" w:space="0"/>
              <w:right w:val="single" w:color="auto" w:sz="4" w:space="0"/>
            </w:tcBorders>
            <w:vAlign w:val="center"/>
          </w:tcPr>
          <w:p w14:paraId="1485265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达标</w:t>
            </w:r>
          </w:p>
        </w:tc>
      </w:tr>
      <w:tr w14:paraId="7DE51D0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272" w:type="dxa"/>
            <w:tcBorders>
              <w:top w:val="single" w:color="auto" w:sz="4" w:space="0"/>
              <w:left w:val="single" w:color="auto" w:sz="4" w:space="0"/>
              <w:bottom w:val="single" w:color="auto" w:sz="4" w:space="0"/>
              <w:right w:val="single" w:color="auto" w:sz="4" w:space="0"/>
            </w:tcBorders>
            <w:vAlign w:val="center"/>
          </w:tcPr>
          <w:p w14:paraId="59DE59F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5</w:t>
            </w:r>
          </w:p>
        </w:tc>
        <w:tc>
          <w:tcPr>
            <w:tcW w:w="1276" w:type="dxa"/>
            <w:tcBorders>
              <w:top w:val="single" w:color="auto" w:sz="4" w:space="0"/>
              <w:left w:val="single" w:color="auto" w:sz="4" w:space="0"/>
              <w:bottom w:val="single" w:color="auto" w:sz="4" w:space="0"/>
              <w:right w:val="single" w:color="auto" w:sz="4" w:space="0"/>
            </w:tcBorders>
            <w:vAlign w:val="center"/>
          </w:tcPr>
          <w:p w14:paraId="38A30885">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总汞</w:t>
            </w:r>
          </w:p>
        </w:tc>
        <w:tc>
          <w:tcPr>
            <w:tcW w:w="1276" w:type="dxa"/>
            <w:tcBorders>
              <w:top w:val="single" w:color="auto" w:sz="4" w:space="0"/>
              <w:left w:val="single" w:color="auto" w:sz="4" w:space="0"/>
              <w:bottom w:val="single" w:color="auto" w:sz="4" w:space="0"/>
              <w:right w:val="single" w:color="auto" w:sz="4" w:space="0"/>
            </w:tcBorders>
            <w:vAlign w:val="center"/>
          </w:tcPr>
          <w:p w14:paraId="573A74B4">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0.054</w:t>
            </w:r>
          </w:p>
        </w:tc>
        <w:tc>
          <w:tcPr>
            <w:tcW w:w="1276" w:type="dxa"/>
            <w:tcBorders>
              <w:top w:val="single" w:color="auto" w:sz="4" w:space="0"/>
              <w:left w:val="single" w:color="auto" w:sz="4" w:space="0"/>
              <w:bottom w:val="single" w:color="auto" w:sz="4" w:space="0"/>
              <w:right w:val="single" w:color="auto" w:sz="4" w:space="0"/>
            </w:tcBorders>
            <w:vAlign w:val="center"/>
          </w:tcPr>
          <w:p w14:paraId="521D6140">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0.043</w:t>
            </w:r>
          </w:p>
        </w:tc>
        <w:tc>
          <w:tcPr>
            <w:tcW w:w="1282" w:type="dxa"/>
            <w:tcBorders>
              <w:top w:val="single" w:color="auto" w:sz="4" w:space="0"/>
              <w:left w:val="single" w:color="auto" w:sz="4" w:space="0"/>
              <w:bottom w:val="single" w:color="auto" w:sz="4" w:space="0"/>
              <w:right w:val="single" w:color="auto" w:sz="4" w:space="0"/>
            </w:tcBorders>
            <w:vAlign w:val="center"/>
          </w:tcPr>
          <w:p w14:paraId="5F1F5D1B">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0.059</w:t>
            </w:r>
          </w:p>
        </w:tc>
        <w:tc>
          <w:tcPr>
            <w:tcW w:w="1349" w:type="dxa"/>
            <w:tcBorders>
              <w:top w:val="single" w:color="auto" w:sz="4" w:space="0"/>
              <w:left w:val="single" w:color="auto" w:sz="4" w:space="0"/>
              <w:bottom w:val="single" w:color="auto" w:sz="4" w:space="0"/>
              <w:right w:val="single" w:color="auto" w:sz="4" w:space="0"/>
            </w:tcBorders>
            <w:vAlign w:val="center"/>
          </w:tcPr>
          <w:p w14:paraId="7B100239">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3.4</w:t>
            </w:r>
          </w:p>
        </w:tc>
        <w:tc>
          <w:tcPr>
            <w:tcW w:w="1277" w:type="dxa"/>
            <w:tcBorders>
              <w:top w:val="single" w:color="auto" w:sz="4" w:space="0"/>
              <w:left w:val="single" w:color="auto" w:sz="4" w:space="0"/>
              <w:bottom w:val="single" w:color="auto" w:sz="4" w:space="0"/>
              <w:right w:val="single" w:color="auto" w:sz="4" w:space="0"/>
            </w:tcBorders>
            <w:vAlign w:val="center"/>
          </w:tcPr>
          <w:p w14:paraId="20599E7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达标</w:t>
            </w:r>
          </w:p>
        </w:tc>
      </w:tr>
      <w:tr w14:paraId="318639F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272" w:type="dxa"/>
            <w:tcBorders>
              <w:top w:val="single" w:color="auto" w:sz="4" w:space="0"/>
              <w:left w:val="single" w:color="auto" w:sz="4" w:space="0"/>
              <w:bottom w:val="single" w:color="auto" w:sz="4" w:space="0"/>
              <w:right w:val="single" w:color="auto" w:sz="4" w:space="0"/>
            </w:tcBorders>
            <w:vAlign w:val="center"/>
          </w:tcPr>
          <w:p w14:paraId="5922473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6</w:t>
            </w:r>
          </w:p>
        </w:tc>
        <w:tc>
          <w:tcPr>
            <w:tcW w:w="1276" w:type="dxa"/>
            <w:tcBorders>
              <w:top w:val="single" w:color="auto" w:sz="4" w:space="0"/>
              <w:left w:val="single" w:color="auto" w:sz="4" w:space="0"/>
              <w:bottom w:val="single" w:color="auto" w:sz="4" w:space="0"/>
              <w:right w:val="single" w:color="auto" w:sz="4" w:space="0"/>
            </w:tcBorders>
            <w:vAlign w:val="center"/>
          </w:tcPr>
          <w:p w14:paraId="347F9CCE">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镍</w:t>
            </w:r>
          </w:p>
        </w:tc>
        <w:tc>
          <w:tcPr>
            <w:tcW w:w="1276" w:type="dxa"/>
            <w:tcBorders>
              <w:top w:val="single" w:color="auto" w:sz="4" w:space="0"/>
              <w:left w:val="single" w:color="auto" w:sz="4" w:space="0"/>
              <w:bottom w:val="single" w:color="auto" w:sz="4" w:space="0"/>
              <w:right w:val="single" w:color="auto" w:sz="4" w:space="0"/>
            </w:tcBorders>
            <w:vAlign w:val="center"/>
          </w:tcPr>
          <w:p w14:paraId="013B2814">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35</w:t>
            </w:r>
          </w:p>
        </w:tc>
        <w:tc>
          <w:tcPr>
            <w:tcW w:w="1276" w:type="dxa"/>
            <w:tcBorders>
              <w:top w:val="single" w:color="auto" w:sz="4" w:space="0"/>
              <w:left w:val="single" w:color="auto" w:sz="4" w:space="0"/>
              <w:bottom w:val="single" w:color="auto" w:sz="4" w:space="0"/>
              <w:right w:val="single" w:color="auto" w:sz="4" w:space="0"/>
            </w:tcBorders>
            <w:vAlign w:val="center"/>
          </w:tcPr>
          <w:p w14:paraId="476D3D8B">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30</w:t>
            </w:r>
          </w:p>
        </w:tc>
        <w:tc>
          <w:tcPr>
            <w:tcW w:w="1282" w:type="dxa"/>
            <w:tcBorders>
              <w:top w:val="single" w:color="auto" w:sz="4" w:space="0"/>
              <w:left w:val="single" w:color="auto" w:sz="4" w:space="0"/>
              <w:bottom w:val="single" w:color="auto" w:sz="4" w:space="0"/>
              <w:right w:val="single" w:color="auto" w:sz="4" w:space="0"/>
            </w:tcBorders>
            <w:vAlign w:val="center"/>
          </w:tcPr>
          <w:p w14:paraId="6BB82C56">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33</w:t>
            </w:r>
          </w:p>
        </w:tc>
        <w:tc>
          <w:tcPr>
            <w:tcW w:w="1349" w:type="dxa"/>
            <w:tcBorders>
              <w:top w:val="single" w:color="auto" w:sz="4" w:space="0"/>
              <w:left w:val="single" w:color="auto" w:sz="4" w:space="0"/>
              <w:bottom w:val="single" w:color="auto" w:sz="4" w:space="0"/>
              <w:right w:val="single" w:color="auto" w:sz="4" w:space="0"/>
            </w:tcBorders>
            <w:vAlign w:val="center"/>
          </w:tcPr>
          <w:p w14:paraId="5CAFED5C">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190</w:t>
            </w:r>
          </w:p>
        </w:tc>
        <w:tc>
          <w:tcPr>
            <w:tcW w:w="1277" w:type="dxa"/>
            <w:tcBorders>
              <w:top w:val="single" w:color="auto" w:sz="4" w:space="0"/>
              <w:left w:val="single" w:color="auto" w:sz="4" w:space="0"/>
              <w:bottom w:val="single" w:color="auto" w:sz="4" w:space="0"/>
              <w:right w:val="single" w:color="auto" w:sz="4" w:space="0"/>
            </w:tcBorders>
            <w:vAlign w:val="center"/>
          </w:tcPr>
          <w:p w14:paraId="56BA334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达标</w:t>
            </w:r>
          </w:p>
        </w:tc>
      </w:tr>
      <w:tr w14:paraId="6940905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272" w:type="dxa"/>
            <w:tcBorders>
              <w:top w:val="single" w:color="auto" w:sz="4" w:space="0"/>
              <w:left w:val="single" w:color="auto" w:sz="4" w:space="0"/>
              <w:bottom w:val="single" w:color="auto" w:sz="4" w:space="0"/>
              <w:right w:val="single" w:color="auto" w:sz="4" w:space="0"/>
            </w:tcBorders>
            <w:vAlign w:val="center"/>
          </w:tcPr>
          <w:p w14:paraId="3071AFD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7</w:t>
            </w:r>
          </w:p>
        </w:tc>
        <w:tc>
          <w:tcPr>
            <w:tcW w:w="1276" w:type="dxa"/>
            <w:tcBorders>
              <w:top w:val="single" w:color="auto" w:sz="4" w:space="0"/>
              <w:left w:val="single" w:color="auto" w:sz="4" w:space="0"/>
              <w:bottom w:val="single" w:color="auto" w:sz="4" w:space="0"/>
              <w:right w:val="single" w:color="auto" w:sz="4" w:space="0"/>
            </w:tcBorders>
            <w:vAlign w:val="center"/>
          </w:tcPr>
          <w:p w14:paraId="50E42F27">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锌</w:t>
            </w:r>
          </w:p>
        </w:tc>
        <w:tc>
          <w:tcPr>
            <w:tcW w:w="1276" w:type="dxa"/>
            <w:tcBorders>
              <w:top w:val="single" w:color="auto" w:sz="4" w:space="0"/>
              <w:left w:val="single" w:color="auto" w:sz="4" w:space="0"/>
              <w:bottom w:val="single" w:color="auto" w:sz="4" w:space="0"/>
              <w:right w:val="single" w:color="auto" w:sz="4" w:space="0"/>
            </w:tcBorders>
            <w:vAlign w:val="center"/>
          </w:tcPr>
          <w:p w14:paraId="259F34BE">
            <w:pPr>
              <w:keepNext w:val="0"/>
              <w:keepLines w:val="0"/>
              <w:pageBreakBefore w:val="0"/>
              <w:widowControl/>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63</w:t>
            </w:r>
          </w:p>
        </w:tc>
        <w:tc>
          <w:tcPr>
            <w:tcW w:w="1276" w:type="dxa"/>
            <w:tcBorders>
              <w:top w:val="single" w:color="auto" w:sz="4" w:space="0"/>
              <w:left w:val="single" w:color="auto" w:sz="4" w:space="0"/>
              <w:bottom w:val="single" w:color="auto" w:sz="4" w:space="0"/>
              <w:right w:val="single" w:color="auto" w:sz="4" w:space="0"/>
            </w:tcBorders>
            <w:vAlign w:val="center"/>
          </w:tcPr>
          <w:p w14:paraId="67A2C30E">
            <w:pPr>
              <w:keepNext w:val="0"/>
              <w:keepLines w:val="0"/>
              <w:pageBreakBefore w:val="0"/>
              <w:widowControl/>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70</w:t>
            </w:r>
          </w:p>
        </w:tc>
        <w:tc>
          <w:tcPr>
            <w:tcW w:w="1282" w:type="dxa"/>
            <w:tcBorders>
              <w:top w:val="single" w:color="auto" w:sz="4" w:space="0"/>
              <w:left w:val="single" w:color="auto" w:sz="4" w:space="0"/>
              <w:bottom w:val="single" w:color="auto" w:sz="4" w:space="0"/>
              <w:right w:val="single" w:color="auto" w:sz="4" w:space="0"/>
            </w:tcBorders>
            <w:vAlign w:val="center"/>
          </w:tcPr>
          <w:p w14:paraId="1B47A37C">
            <w:pPr>
              <w:keepNext w:val="0"/>
              <w:keepLines w:val="0"/>
              <w:pageBreakBefore w:val="0"/>
              <w:widowControl/>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61</w:t>
            </w:r>
          </w:p>
        </w:tc>
        <w:tc>
          <w:tcPr>
            <w:tcW w:w="1349" w:type="dxa"/>
            <w:tcBorders>
              <w:top w:val="single" w:color="auto" w:sz="4" w:space="0"/>
              <w:left w:val="single" w:color="auto" w:sz="4" w:space="0"/>
              <w:bottom w:val="single" w:color="auto" w:sz="4" w:space="0"/>
              <w:right w:val="single" w:color="auto" w:sz="4" w:space="0"/>
            </w:tcBorders>
            <w:vAlign w:val="center"/>
          </w:tcPr>
          <w:p w14:paraId="6154CE5F">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300</w:t>
            </w:r>
          </w:p>
        </w:tc>
        <w:tc>
          <w:tcPr>
            <w:tcW w:w="1277" w:type="dxa"/>
            <w:tcBorders>
              <w:top w:val="single" w:color="auto" w:sz="4" w:space="0"/>
              <w:left w:val="single" w:color="auto" w:sz="4" w:space="0"/>
              <w:bottom w:val="single" w:color="auto" w:sz="4" w:space="0"/>
              <w:right w:val="single" w:color="auto" w:sz="4" w:space="0"/>
            </w:tcBorders>
            <w:vAlign w:val="center"/>
          </w:tcPr>
          <w:p w14:paraId="3ADBC81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达标</w:t>
            </w:r>
          </w:p>
        </w:tc>
      </w:tr>
      <w:tr w14:paraId="2FA6B96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272" w:type="dxa"/>
            <w:tcBorders>
              <w:top w:val="single" w:color="auto" w:sz="4" w:space="0"/>
              <w:left w:val="single" w:color="auto" w:sz="4" w:space="0"/>
              <w:bottom w:val="single" w:color="auto" w:sz="4" w:space="0"/>
              <w:right w:val="single" w:color="auto" w:sz="4" w:space="0"/>
            </w:tcBorders>
            <w:vAlign w:val="center"/>
          </w:tcPr>
          <w:p w14:paraId="74F9D05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8</w:t>
            </w:r>
          </w:p>
        </w:tc>
        <w:tc>
          <w:tcPr>
            <w:tcW w:w="1276" w:type="dxa"/>
            <w:tcBorders>
              <w:top w:val="single" w:color="auto" w:sz="4" w:space="0"/>
              <w:left w:val="single" w:color="auto" w:sz="4" w:space="0"/>
              <w:bottom w:val="single" w:color="auto" w:sz="4" w:space="0"/>
              <w:right w:val="single" w:color="auto" w:sz="4" w:space="0"/>
            </w:tcBorders>
            <w:vAlign w:val="center"/>
          </w:tcPr>
          <w:p w14:paraId="3EF61EBC">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铅</w:t>
            </w:r>
          </w:p>
        </w:tc>
        <w:tc>
          <w:tcPr>
            <w:tcW w:w="1276" w:type="dxa"/>
            <w:tcBorders>
              <w:top w:val="single" w:color="auto" w:sz="4" w:space="0"/>
              <w:left w:val="single" w:color="auto" w:sz="4" w:space="0"/>
              <w:bottom w:val="single" w:color="auto" w:sz="4" w:space="0"/>
              <w:right w:val="single" w:color="auto" w:sz="4" w:space="0"/>
            </w:tcBorders>
            <w:vAlign w:val="center"/>
          </w:tcPr>
          <w:p w14:paraId="70D4FA4B">
            <w:pPr>
              <w:keepNext w:val="0"/>
              <w:keepLines w:val="0"/>
              <w:pageBreakBefore w:val="0"/>
              <w:widowControl/>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23</w:t>
            </w:r>
          </w:p>
        </w:tc>
        <w:tc>
          <w:tcPr>
            <w:tcW w:w="1276" w:type="dxa"/>
            <w:tcBorders>
              <w:top w:val="single" w:color="auto" w:sz="4" w:space="0"/>
              <w:left w:val="single" w:color="auto" w:sz="4" w:space="0"/>
              <w:bottom w:val="single" w:color="auto" w:sz="4" w:space="0"/>
              <w:right w:val="single" w:color="auto" w:sz="4" w:space="0"/>
            </w:tcBorders>
            <w:vAlign w:val="center"/>
          </w:tcPr>
          <w:p w14:paraId="5DF16344">
            <w:pPr>
              <w:keepNext w:val="0"/>
              <w:keepLines w:val="0"/>
              <w:pageBreakBefore w:val="0"/>
              <w:widowControl/>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25</w:t>
            </w:r>
          </w:p>
        </w:tc>
        <w:tc>
          <w:tcPr>
            <w:tcW w:w="1282" w:type="dxa"/>
            <w:tcBorders>
              <w:top w:val="single" w:color="auto" w:sz="4" w:space="0"/>
              <w:left w:val="single" w:color="auto" w:sz="4" w:space="0"/>
              <w:bottom w:val="single" w:color="auto" w:sz="4" w:space="0"/>
              <w:right w:val="single" w:color="auto" w:sz="4" w:space="0"/>
            </w:tcBorders>
            <w:vAlign w:val="center"/>
          </w:tcPr>
          <w:p w14:paraId="59249B20">
            <w:pPr>
              <w:keepNext w:val="0"/>
              <w:keepLines w:val="0"/>
              <w:pageBreakBefore w:val="0"/>
              <w:widowControl/>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20</w:t>
            </w:r>
          </w:p>
        </w:tc>
        <w:tc>
          <w:tcPr>
            <w:tcW w:w="1349" w:type="dxa"/>
            <w:tcBorders>
              <w:top w:val="single" w:color="auto" w:sz="4" w:space="0"/>
              <w:left w:val="single" w:color="auto" w:sz="4" w:space="0"/>
              <w:bottom w:val="single" w:color="auto" w:sz="4" w:space="0"/>
              <w:right w:val="single" w:color="auto" w:sz="4" w:space="0"/>
            </w:tcBorders>
            <w:vAlign w:val="center"/>
          </w:tcPr>
          <w:p w14:paraId="10D36291">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170</w:t>
            </w:r>
          </w:p>
        </w:tc>
        <w:tc>
          <w:tcPr>
            <w:tcW w:w="1277" w:type="dxa"/>
            <w:tcBorders>
              <w:top w:val="single" w:color="auto" w:sz="4" w:space="0"/>
              <w:left w:val="single" w:color="auto" w:sz="4" w:space="0"/>
              <w:bottom w:val="single" w:color="auto" w:sz="4" w:space="0"/>
              <w:right w:val="single" w:color="auto" w:sz="4" w:space="0"/>
            </w:tcBorders>
            <w:vAlign w:val="center"/>
          </w:tcPr>
          <w:p w14:paraId="43561AC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达标</w:t>
            </w:r>
          </w:p>
        </w:tc>
      </w:tr>
      <w:tr w14:paraId="25F7ACB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0" w:type="auto"/>
            <w:tcBorders>
              <w:top w:val="single" w:color="auto" w:sz="4" w:space="0"/>
              <w:left w:val="single" w:color="auto" w:sz="4" w:space="0"/>
              <w:bottom w:val="single" w:color="auto" w:sz="4" w:space="0"/>
              <w:right w:val="single" w:color="auto" w:sz="4" w:space="0"/>
            </w:tcBorders>
          </w:tcPr>
          <w:p w14:paraId="5B8C68F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9</w:t>
            </w:r>
          </w:p>
        </w:tc>
        <w:tc>
          <w:tcPr>
            <w:tcW w:w="0" w:type="auto"/>
            <w:tcBorders>
              <w:top w:val="single" w:color="auto" w:sz="4" w:space="0"/>
              <w:left w:val="single" w:color="auto" w:sz="4" w:space="0"/>
              <w:bottom w:val="single" w:color="auto" w:sz="4" w:space="0"/>
              <w:right w:val="single" w:color="auto" w:sz="4" w:space="0"/>
            </w:tcBorders>
            <w:vAlign w:val="center"/>
          </w:tcPr>
          <w:p w14:paraId="7517A42C">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pH</w:t>
            </w:r>
          </w:p>
        </w:tc>
        <w:tc>
          <w:tcPr>
            <w:tcW w:w="0" w:type="auto"/>
            <w:tcBorders>
              <w:top w:val="single" w:color="auto" w:sz="4" w:space="0"/>
              <w:left w:val="single" w:color="auto" w:sz="4" w:space="0"/>
              <w:bottom w:val="single" w:color="auto" w:sz="4" w:space="0"/>
              <w:right w:val="single" w:color="auto" w:sz="4" w:space="0"/>
            </w:tcBorders>
            <w:vAlign w:val="center"/>
          </w:tcPr>
          <w:p w14:paraId="150C48BC">
            <w:pPr>
              <w:keepNext w:val="0"/>
              <w:keepLines w:val="0"/>
              <w:pageBreakBefore w:val="0"/>
              <w:widowControl/>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8.16</w:t>
            </w:r>
          </w:p>
        </w:tc>
        <w:tc>
          <w:tcPr>
            <w:tcW w:w="0" w:type="auto"/>
            <w:tcBorders>
              <w:top w:val="single" w:color="auto" w:sz="4" w:space="0"/>
              <w:left w:val="single" w:color="auto" w:sz="4" w:space="0"/>
              <w:bottom w:val="single" w:color="auto" w:sz="4" w:space="0"/>
              <w:right w:val="single" w:color="auto" w:sz="4" w:space="0"/>
            </w:tcBorders>
            <w:vAlign w:val="center"/>
          </w:tcPr>
          <w:p w14:paraId="55B6642A">
            <w:pPr>
              <w:keepNext w:val="0"/>
              <w:keepLines w:val="0"/>
              <w:pageBreakBefore w:val="0"/>
              <w:widowControl/>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8.20</w:t>
            </w:r>
          </w:p>
        </w:tc>
        <w:tc>
          <w:tcPr>
            <w:tcW w:w="0" w:type="auto"/>
            <w:tcBorders>
              <w:top w:val="single" w:color="auto" w:sz="4" w:space="0"/>
              <w:left w:val="single" w:color="auto" w:sz="4" w:space="0"/>
              <w:bottom w:val="single" w:color="auto" w:sz="4" w:space="0"/>
              <w:right w:val="single" w:color="auto" w:sz="4" w:space="0"/>
            </w:tcBorders>
            <w:vAlign w:val="center"/>
          </w:tcPr>
          <w:p w14:paraId="2A3BCDA6">
            <w:pPr>
              <w:keepNext w:val="0"/>
              <w:keepLines w:val="0"/>
              <w:pageBreakBefore w:val="0"/>
              <w:widowControl/>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8.26</w:t>
            </w:r>
          </w:p>
        </w:tc>
        <w:tc>
          <w:tcPr>
            <w:tcW w:w="0" w:type="auto"/>
            <w:tcBorders>
              <w:top w:val="single" w:color="auto" w:sz="4" w:space="0"/>
              <w:left w:val="single" w:color="auto" w:sz="4" w:space="0"/>
              <w:bottom w:val="single" w:color="auto" w:sz="4" w:space="0"/>
              <w:right w:val="single" w:color="auto" w:sz="4" w:space="0"/>
            </w:tcBorders>
            <w:vAlign w:val="center"/>
          </w:tcPr>
          <w:p w14:paraId="22B95E99">
            <w:pPr>
              <w:keepNext w:val="0"/>
              <w:keepLines w:val="0"/>
              <w:pageBreakBefore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0" w:type="auto"/>
            <w:tcBorders>
              <w:top w:val="single" w:color="auto" w:sz="4" w:space="0"/>
              <w:left w:val="single" w:color="auto" w:sz="4" w:space="0"/>
              <w:bottom w:val="single" w:color="auto" w:sz="4" w:space="0"/>
              <w:right w:val="single" w:color="auto" w:sz="4" w:space="0"/>
            </w:tcBorders>
          </w:tcPr>
          <w:p w14:paraId="7D6724E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达标</w:t>
            </w:r>
          </w:p>
        </w:tc>
      </w:tr>
    </w:tbl>
    <w:p w14:paraId="3096CF59">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4.2.3.</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评价结果</w:t>
      </w:r>
    </w:p>
    <w:p w14:paraId="2BBDF4E2">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从土壤环境监测和分析结果来看，项目用地范围内各监测点位监测值均满足</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土壤环境质量农用地土壤污染风险管控标准</w:t>
      </w:r>
      <w:r>
        <w:rPr>
          <w:rFonts w:hint="default" w:ascii="Times New Roman" w:hAnsi="Times New Roman" w:eastAsia="宋体" w:cs="Times New Roman"/>
          <w:color w:val="auto"/>
          <w:highlight w:val="none"/>
          <w:lang w:eastAsia="zh-CN"/>
        </w:rPr>
        <w:t>（试行）》（GB15618-2018）表1农用地土壤污染风险筛选值（基本项目）--“其他”标准</w:t>
      </w:r>
      <w:r>
        <w:rPr>
          <w:rFonts w:hint="default" w:ascii="Times New Roman" w:hAnsi="Times New Roman" w:eastAsia="宋体" w:cs="Times New Roman"/>
          <w:color w:val="auto"/>
          <w:highlight w:val="none"/>
        </w:rPr>
        <w:t>，项目所在地土壤环境质量良好。</w:t>
      </w:r>
    </w:p>
    <w:p w14:paraId="7B493F0C">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349" w:name="_Toc24817"/>
      <w:r>
        <w:rPr>
          <w:rFonts w:hint="default" w:ascii="Times New Roman" w:hAnsi="Times New Roman" w:eastAsia="宋体" w:cs="Times New Roman"/>
          <w:color w:val="auto"/>
          <w:highlight w:val="none"/>
        </w:rPr>
        <w:t>4.2.4声环境质量现状调查与评价</w:t>
      </w:r>
      <w:bookmarkEnd w:id="347"/>
      <w:bookmarkEnd w:id="348"/>
      <w:bookmarkEnd w:id="349"/>
    </w:p>
    <w:p w14:paraId="555E4D2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本次评价对声环境质量现状进行实测，监测单位为内蒙古华智鼎环保科技有限公司，监测时间为202</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12</w:t>
      </w:r>
      <w:r>
        <w:rPr>
          <w:rFonts w:hint="default" w:ascii="Times New Roman" w:hAnsi="Times New Roman" w:eastAsia="宋体" w:cs="Times New Roman"/>
          <w:color w:val="auto"/>
          <w:highlight w:val="none"/>
        </w:rPr>
        <w:t>月</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日</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5日</w:t>
      </w:r>
      <w:r>
        <w:rPr>
          <w:rFonts w:hint="default" w:ascii="Times New Roman" w:hAnsi="Times New Roman" w:eastAsia="宋体" w:cs="Times New Roman"/>
          <w:color w:val="auto"/>
          <w:highlight w:val="none"/>
        </w:rPr>
        <w:t>。</w:t>
      </w:r>
    </w:p>
    <w:p w14:paraId="3FE3E44F">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4.2.4.1监测布点</w:t>
      </w:r>
    </w:p>
    <w:p w14:paraId="3E5A929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在项目</w:t>
      </w:r>
      <w:r>
        <w:rPr>
          <w:rFonts w:hint="default" w:ascii="Times New Roman" w:hAnsi="Times New Roman" w:eastAsia="宋体" w:cs="Times New Roman"/>
          <w:color w:val="auto"/>
          <w:highlight w:val="none"/>
          <w:lang w:eastAsia="zh-CN"/>
        </w:rPr>
        <w:t>建设场区</w:t>
      </w:r>
      <w:r>
        <w:rPr>
          <w:rFonts w:hint="default" w:ascii="Times New Roman" w:hAnsi="Times New Roman" w:eastAsia="宋体" w:cs="Times New Roman"/>
          <w:color w:val="auto"/>
          <w:highlight w:val="none"/>
        </w:rPr>
        <w:t>东、南、西、北厂界外1m</w:t>
      </w:r>
      <w:r>
        <w:rPr>
          <w:rFonts w:hint="default" w:ascii="Times New Roman" w:hAnsi="Times New Roman" w:eastAsia="宋体" w:cs="Times New Roman"/>
          <w:color w:val="auto"/>
          <w:highlight w:val="none"/>
          <w:lang w:eastAsia="zh-CN"/>
        </w:rPr>
        <w:t>各</w:t>
      </w:r>
      <w:r>
        <w:rPr>
          <w:rFonts w:hint="default" w:ascii="Times New Roman" w:hAnsi="Times New Roman" w:eastAsia="宋体" w:cs="Times New Roman"/>
          <w:color w:val="auto"/>
          <w:highlight w:val="none"/>
        </w:rPr>
        <w:t>布设</w:t>
      </w:r>
      <w:r>
        <w:rPr>
          <w:rFonts w:hint="default" w:ascii="Times New Roman" w:hAnsi="Times New Roman" w:eastAsia="宋体" w:cs="Times New Roman"/>
          <w:color w:val="auto"/>
          <w:highlight w:val="none"/>
          <w:lang w:val="en-US" w:eastAsia="zh-CN"/>
        </w:rPr>
        <w:t>1个</w:t>
      </w:r>
      <w:r>
        <w:rPr>
          <w:rFonts w:hint="default" w:ascii="Times New Roman" w:hAnsi="Times New Roman" w:eastAsia="宋体" w:cs="Times New Roman"/>
          <w:color w:val="auto"/>
          <w:highlight w:val="none"/>
        </w:rPr>
        <w:t>噪声现状监测点</w:t>
      </w:r>
      <w:r>
        <w:rPr>
          <w:rFonts w:hint="default" w:ascii="Times New Roman" w:hAnsi="Times New Roman" w:eastAsia="宋体" w:cs="Times New Roman"/>
          <w:color w:val="auto"/>
          <w:highlight w:val="none"/>
          <w:lang w:eastAsia="zh-CN"/>
        </w:rPr>
        <w:t>，在厂区南侧</w:t>
      </w:r>
      <w:r>
        <w:rPr>
          <w:rFonts w:hint="default" w:ascii="Times New Roman" w:hAnsi="Times New Roman" w:eastAsia="宋体" w:cs="Times New Roman"/>
          <w:color w:val="auto"/>
          <w:highlight w:val="none"/>
          <w:lang w:eastAsia="zh-CN"/>
        </w:rPr>
        <w:t>马卜子村</w:t>
      </w:r>
      <w:r>
        <w:rPr>
          <w:rFonts w:hint="default" w:ascii="Times New Roman" w:hAnsi="Times New Roman" w:eastAsia="宋体" w:cs="Times New Roman"/>
          <w:color w:val="auto"/>
          <w:highlight w:val="none"/>
          <w:lang w:eastAsia="zh-CN"/>
        </w:rPr>
        <w:t>处</w:t>
      </w:r>
      <w:r>
        <w:rPr>
          <w:rFonts w:hint="default" w:ascii="Times New Roman" w:hAnsi="Times New Roman" w:eastAsia="宋体" w:cs="Times New Roman"/>
          <w:color w:val="auto"/>
          <w:highlight w:val="none"/>
        </w:rPr>
        <w:t>布设</w:t>
      </w:r>
      <w:r>
        <w:rPr>
          <w:rFonts w:hint="default" w:ascii="Times New Roman" w:hAnsi="Times New Roman" w:eastAsia="宋体" w:cs="Times New Roman"/>
          <w:color w:val="auto"/>
          <w:highlight w:val="none"/>
          <w:lang w:val="en-US" w:eastAsia="zh-CN"/>
        </w:rPr>
        <w:t>1个</w:t>
      </w:r>
      <w:r>
        <w:rPr>
          <w:rFonts w:hint="default" w:ascii="Times New Roman" w:hAnsi="Times New Roman" w:eastAsia="宋体" w:cs="Times New Roman"/>
          <w:color w:val="auto"/>
          <w:highlight w:val="none"/>
        </w:rPr>
        <w:t>噪声现状监测点</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噪声监测点的编号</w:t>
      </w:r>
      <w:r>
        <w:rPr>
          <w:rFonts w:hint="default" w:ascii="Times New Roman" w:hAnsi="Times New Roman" w:eastAsia="宋体" w:cs="Times New Roman"/>
          <w:color w:val="FF0000"/>
          <w:highlight w:val="none"/>
        </w:rPr>
        <w:t>依次为1</w:t>
      </w:r>
      <w:r>
        <w:rPr>
          <w:rFonts w:hint="default" w:ascii="Times New Roman" w:hAnsi="Times New Roman" w:eastAsia="宋体" w:cs="Times New Roman"/>
          <w:color w:val="FF0000"/>
          <w:highlight w:val="none"/>
          <w:lang w:val="en-US" w:eastAsia="zh-CN"/>
        </w:rPr>
        <w:t>#-</w:t>
      </w:r>
      <w:r>
        <w:rPr>
          <w:rFonts w:hint="default" w:ascii="Times New Roman" w:hAnsi="Times New Roman" w:eastAsia="宋体" w:cs="Times New Roman"/>
          <w:color w:val="FF0000"/>
          <w:highlight w:val="none"/>
          <w:lang w:val="en-US" w:eastAsia="zh-CN"/>
        </w:rPr>
        <w:t>5</w:t>
      </w:r>
      <w:r>
        <w:rPr>
          <w:rFonts w:hint="default" w:ascii="Times New Roman" w:hAnsi="Times New Roman" w:eastAsia="宋体" w:cs="Times New Roman"/>
          <w:color w:val="FF0000"/>
          <w:highlight w:val="none"/>
          <w:lang w:val="en-US" w:eastAsia="zh-CN"/>
        </w:rPr>
        <w:t>#，</w:t>
      </w:r>
      <w:r>
        <w:rPr>
          <w:rFonts w:hint="default" w:ascii="Times New Roman" w:hAnsi="Times New Roman" w:eastAsia="宋体" w:cs="Times New Roman"/>
          <w:color w:val="auto"/>
          <w:highlight w:val="none"/>
        </w:rPr>
        <w:t>如图4.2-</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所示。</w:t>
      </w:r>
    </w:p>
    <w:p w14:paraId="20EF47C0">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4.2.4.2监测时间及频次</w:t>
      </w:r>
    </w:p>
    <w:p w14:paraId="3A0621F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监测频次：</w:t>
      </w:r>
      <w:r>
        <w:rPr>
          <w:rFonts w:hint="default" w:ascii="Times New Roman" w:hAnsi="Times New Roman" w:eastAsia="宋体" w:cs="Times New Roman"/>
          <w:color w:val="auto"/>
          <w:highlight w:val="none"/>
          <w:lang w:eastAsia="zh-CN"/>
        </w:rPr>
        <w:t>共</w:t>
      </w:r>
      <w:r>
        <w:rPr>
          <w:rFonts w:hint="default" w:ascii="Times New Roman" w:hAnsi="Times New Roman" w:eastAsia="宋体" w:cs="Times New Roman"/>
          <w:color w:val="auto"/>
          <w:highlight w:val="none"/>
        </w:rPr>
        <w:t>监测</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天，每次测量10分钟的</w:t>
      </w:r>
      <w:r>
        <w:rPr>
          <w:rFonts w:hint="default" w:ascii="Times New Roman" w:hAnsi="Times New Roman" w:eastAsia="宋体" w:cs="Times New Roman"/>
          <w:color w:val="0000FF"/>
          <w:highlight w:val="none"/>
          <w:lang w:eastAsia="zh-CN"/>
        </w:rPr>
        <w:t>等效连续</w:t>
      </w:r>
      <w:r>
        <w:rPr>
          <w:rFonts w:hint="default" w:ascii="Times New Roman" w:hAnsi="Times New Roman" w:eastAsia="宋体" w:cs="Times New Roman"/>
          <w:color w:val="0000FF"/>
          <w:highlight w:val="none"/>
        </w:rPr>
        <w:t>A声级</w:t>
      </w:r>
      <w:r>
        <w:rPr>
          <w:rFonts w:hint="default" w:ascii="Times New Roman" w:hAnsi="Times New Roman" w:eastAsia="宋体" w:cs="Times New Roman"/>
          <w:bCs/>
          <w:color w:val="auto"/>
          <w:highlight w:val="none"/>
        </w:rPr>
        <w:t>。</w:t>
      </w:r>
    </w:p>
    <w:p w14:paraId="39522263">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4.2.4.3监测方法</w:t>
      </w:r>
    </w:p>
    <w:p w14:paraId="06341DE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监测方法采用《声环境质量标准》（GB3096</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2008）中要求的监测方法，采用的测试仪器为AWA5688型多功能声级计。</w:t>
      </w:r>
    </w:p>
    <w:p w14:paraId="5EE0369E">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4.2.4.4监测结果</w:t>
      </w:r>
    </w:p>
    <w:p w14:paraId="4F3D1E0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噪声监测数据统计结果见下表。</w:t>
      </w:r>
    </w:p>
    <w:p w14:paraId="43117AA7">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表4.2-15噪声监测结果统计表</w:t>
      </w:r>
    </w:p>
    <w:tbl>
      <w:tblPr>
        <w:tblStyle w:val="40"/>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3"/>
        <w:gridCol w:w="1595"/>
        <w:gridCol w:w="1113"/>
        <w:gridCol w:w="1113"/>
        <w:gridCol w:w="1114"/>
        <w:gridCol w:w="1114"/>
        <w:gridCol w:w="1115"/>
      </w:tblGrid>
      <w:tr w14:paraId="3F61E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1" w:type="dxa"/>
            <w:gridSpan w:val="2"/>
            <w:tcBorders>
              <w:top w:val="single" w:color="auto" w:sz="4" w:space="0"/>
              <w:left w:val="single" w:color="auto" w:sz="4" w:space="0"/>
              <w:bottom w:val="single" w:color="auto" w:sz="4" w:space="0"/>
              <w:right w:val="single" w:color="auto" w:sz="4" w:space="0"/>
            </w:tcBorders>
            <w:noWrap w:val="0"/>
            <w:vAlign w:val="center"/>
          </w:tcPr>
          <w:p w14:paraId="5BE95E5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检测类别</w:t>
            </w:r>
          </w:p>
        </w:tc>
        <w:tc>
          <w:tcPr>
            <w:tcW w:w="2364" w:type="dxa"/>
            <w:gridSpan w:val="2"/>
            <w:tcBorders>
              <w:top w:val="single" w:color="auto" w:sz="4" w:space="0"/>
              <w:left w:val="single" w:color="auto" w:sz="4" w:space="0"/>
              <w:bottom w:val="single" w:color="auto" w:sz="4" w:space="0"/>
              <w:right w:val="single" w:color="auto" w:sz="4" w:space="0"/>
            </w:tcBorders>
            <w:noWrap w:val="0"/>
            <w:vAlign w:val="center"/>
          </w:tcPr>
          <w:p w14:paraId="3EB0EF4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环境噪声</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3C0D8EF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检测性质</w:t>
            </w:r>
          </w:p>
        </w:tc>
        <w:tc>
          <w:tcPr>
            <w:tcW w:w="2366" w:type="dxa"/>
            <w:gridSpan w:val="2"/>
            <w:tcBorders>
              <w:top w:val="single" w:color="auto" w:sz="4" w:space="0"/>
              <w:left w:val="single" w:color="auto" w:sz="4" w:space="0"/>
              <w:bottom w:val="single" w:color="auto" w:sz="4" w:space="0"/>
              <w:right w:val="single" w:color="auto" w:sz="4" w:space="0"/>
            </w:tcBorders>
            <w:noWrap w:val="0"/>
            <w:vAlign w:val="center"/>
          </w:tcPr>
          <w:p w14:paraId="5FC76F4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现状检测</w:t>
            </w:r>
          </w:p>
        </w:tc>
      </w:tr>
      <w:tr w14:paraId="19481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vMerge w:val="restart"/>
            <w:tcBorders>
              <w:top w:val="single" w:color="auto" w:sz="4" w:space="0"/>
              <w:left w:val="single" w:color="auto" w:sz="4" w:space="0"/>
              <w:bottom w:val="single" w:color="auto" w:sz="4" w:space="0"/>
              <w:right w:val="single" w:color="auto" w:sz="4" w:space="0"/>
            </w:tcBorders>
            <w:noWrap w:val="0"/>
            <w:vAlign w:val="center"/>
          </w:tcPr>
          <w:p w14:paraId="7478842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气象参数</w:t>
            </w:r>
          </w:p>
        </w:tc>
        <w:tc>
          <w:tcPr>
            <w:tcW w:w="1701" w:type="dxa"/>
            <w:tcBorders>
              <w:top w:val="single" w:color="auto" w:sz="4" w:space="0"/>
              <w:left w:val="single" w:color="auto" w:sz="4" w:space="0"/>
              <w:bottom w:val="single" w:color="auto" w:sz="4" w:space="0"/>
              <w:right w:val="single" w:color="auto" w:sz="4" w:space="0"/>
            </w:tcBorders>
            <w:noWrap w:val="0"/>
            <w:vAlign w:val="center"/>
          </w:tcPr>
          <w:p w14:paraId="42BB1E9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2022</w:t>
            </w:r>
            <w:r>
              <w:rPr>
                <w:rFonts w:hint="default" w:ascii="Times New Roman" w:hAnsi="Times New Roman" w:eastAsia="宋体" w:cs="Times New Roman"/>
                <w:color w:val="auto"/>
                <w:sz w:val="21"/>
                <w:szCs w:val="21"/>
                <w:highlight w:val="none"/>
                <w:lang w:eastAsia="zh-CN"/>
              </w:rPr>
              <w:t>-12-0</w:t>
            </w:r>
            <w:r>
              <w:rPr>
                <w:rFonts w:hint="default" w:ascii="Times New Roman" w:hAnsi="Times New Roman" w:eastAsia="宋体" w:cs="Times New Roman"/>
                <w:color w:val="auto"/>
                <w:sz w:val="21"/>
                <w:szCs w:val="21"/>
                <w:highlight w:val="none"/>
              </w:rPr>
              <w:t>4</w:t>
            </w:r>
          </w:p>
        </w:tc>
        <w:tc>
          <w:tcPr>
            <w:tcW w:w="1182" w:type="dxa"/>
            <w:vMerge w:val="restart"/>
            <w:tcBorders>
              <w:top w:val="single" w:color="auto" w:sz="4" w:space="0"/>
              <w:left w:val="single" w:color="auto" w:sz="4" w:space="0"/>
              <w:bottom w:val="single" w:color="auto" w:sz="4" w:space="0"/>
              <w:right w:val="single" w:color="auto" w:sz="4" w:space="0"/>
            </w:tcBorders>
            <w:noWrap w:val="0"/>
            <w:vAlign w:val="center"/>
          </w:tcPr>
          <w:p w14:paraId="0735D6C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天气</w:t>
            </w:r>
          </w:p>
        </w:tc>
        <w:tc>
          <w:tcPr>
            <w:tcW w:w="1182" w:type="dxa"/>
            <w:tcBorders>
              <w:top w:val="single" w:color="auto" w:sz="4" w:space="0"/>
              <w:left w:val="single" w:color="auto" w:sz="4" w:space="0"/>
              <w:bottom w:val="single" w:color="auto" w:sz="4" w:space="0"/>
              <w:right w:val="single" w:color="auto" w:sz="4" w:space="0"/>
            </w:tcBorders>
            <w:noWrap w:val="0"/>
            <w:vAlign w:val="center"/>
          </w:tcPr>
          <w:p w14:paraId="68AA518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c>
          <w:tcPr>
            <w:tcW w:w="1183" w:type="dxa"/>
            <w:vMerge w:val="restart"/>
            <w:tcBorders>
              <w:top w:val="single" w:color="auto" w:sz="4" w:space="0"/>
              <w:left w:val="single" w:color="auto" w:sz="4" w:space="0"/>
              <w:bottom w:val="single" w:color="auto" w:sz="4" w:space="0"/>
              <w:right w:val="single" w:color="auto" w:sz="4" w:space="0"/>
            </w:tcBorders>
            <w:noWrap w:val="0"/>
            <w:vAlign w:val="center"/>
          </w:tcPr>
          <w:p w14:paraId="4621DAF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风速</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20268A9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1.6</w:t>
            </w:r>
            <w:r>
              <w:rPr>
                <w:rFonts w:hint="default" w:ascii="Times New Roman" w:hAnsi="Times New Roman" w:eastAsia="宋体" w:cs="Times New Roman"/>
                <w:color w:val="auto"/>
                <w:sz w:val="21"/>
                <w:szCs w:val="21"/>
                <w:highlight w:val="none"/>
              </w:rPr>
              <w:t>m/s（昼）</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200FB96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m/s（夜）</w:t>
            </w:r>
          </w:p>
        </w:tc>
      </w:tr>
      <w:tr w14:paraId="467DC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vMerge w:val="continue"/>
            <w:tcBorders>
              <w:top w:val="single" w:color="auto" w:sz="4" w:space="0"/>
              <w:left w:val="single" w:color="auto" w:sz="4" w:space="0"/>
              <w:bottom w:val="single" w:color="auto" w:sz="4" w:space="0"/>
              <w:right w:val="single" w:color="auto" w:sz="4" w:space="0"/>
            </w:tcBorders>
            <w:noWrap w:val="0"/>
            <w:vAlign w:val="center"/>
          </w:tcPr>
          <w:p w14:paraId="227C979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701" w:type="dxa"/>
            <w:tcBorders>
              <w:top w:val="single" w:color="auto" w:sz="4" w:space="0"/>
              <w:left w:val="single" w:color="auto" w:sz="4" w:space="0"/>
              <w:bottom w:val="single" w:color="auto" w:sz="4" w:space="0"/>
              <w:right w:val="single" w:color="auto" w:sz="4" w:space="0"/>
            </w:tcBorders>
            <w:noWrap w:val="0"/>
            <w:vAlign w:val="center"/>
          </w:tcPr>
          <w:p w14:paraId="57D95BC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2022</w:t>
            </w:r>
            <w:r>
              <w:rPr>
                <w:rFonts w:hint="default" w:ascii="Times New Roman" w:hAnsi="Times New Roman" w:eastAsia="宋体" w:cs="Times New Roman"/>
                <w:color w:val="auto"/>
                <w:sz w:val="21"/>
                <w:szCs w:val="21"/>
                <w:highlight w:val="none"/>
                <w:lang w:eastAsia="zh-CN"/>
              </w:rPr>
              <w:t>-12-0</w:t>
            </w:r>
            <w:r>
              <w:rPr>
                <w:rFonts w:hint="default" w:ascii="Times New Roman" w:hAnsi="Times New Roman" w:eastAsia="宋体" w:cs="Times New Roman"/>
                <w:color w:val="auto"/>
                <w:sz w:val="21"/>
                <w:szCs w:val="21"/>
                <w:highlight w:val="none"/>
              </w:rPr>
              <w:t>5</w:t>
            </w:r>
          </w:p>
        </w:tc>
        <w:tc>
          <w:tcPr>
            <w:tcW w:w="1182" w:type="dxa"/>
            <w:vMerge w:val="continue"/>
            <w:tcBorders>
              <w:top w:val="single" w:color="auto" w:sz="4" w:space="0"/>
              <w:left w:val="single" w:color="auto" w:sz="4" w:space="0"/>
              <w:bottom w:val="single" w:color="auto" w:sz="4" w:space="0"/>
              <w:right w:val="single" w:color="auto" w:sz="4" w:space="0"/>
            </w:tcBorders>
            <w:noWrap w:val="0"/>
            <w:vAlign w:val="center"/>
          </w:tcPr>
          <w:p w14:paraId="69FD56B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182" w:type="dxa"/>
            <w:tcBorders>
              <w:top w:val="single" w:color="auto" w:sz="4" w:space="0"/>
              <w:left w:val="single" w:color="auto" w:sz="4" w:space="0"/>
              <w:bottom w:val="single" w:color="auto" w:sz="4" w:space="0"/>
              <w:right w:val="single" w:color="auto" w:sz="4" w:space="0"/>
            </w:tcBorders>
            <w:noWrap w:val="0"/>
            <w:vAlign w:val="center"/>
          </w:tcPr>
          <w:p w14:paraId="2B3FE8B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晴</w:t>
            </w:r>
          </w:p>
        </w:tc>
        <w:tc>
          <w:tcPr>
            <w:tcW w:w="1183" w:type="dxa"/>
            <w:vMerge w:val="continue"/>
            <w:tcBorders>
              <w:top w:val="single" w:color="auto" w:sz="4" w:space="0"/>
              <w:left w:val="single" w:color="auto" w:sz="4" w:space="0"/>
              <w:bottom w:val="single" w:color="auto" w:sz="4" w:space="0"/>
              <w:right w:val="single" w:color="auto" w:sz="4" w:space="0"/>
            </w:tcBorders>
            <w:noWrap w:val="0"/>
            <w:vAlign w:val="center"/>
          </w:tcPr>
          <w:p w14:paraId="5BFB45C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183" w:type="dxa"/>
            <w:tcBorders>
              <w:top w:val="single" w:color="auto" w:sz="4" w:space="0"/>
              <w:left w:val="single" w:color="auto" w:sz="4" w:space="0"/>
              <w:bottom w:val="single" w:color="auto" w:sz="4" w:space="0"/>
              <w:right w:val="single" w:color="auto" w:sz="4" w:space="0"/>
            </w:tcBorders>
            <w:noWrap w:val="0"/>
            <w:vAlign w:val="center"/>
          </w:tcPr>
          <w:p w14:paraId="4697D92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1.8</w:t>
            </w:r>
            <w:r>
              <w:rPr>
                <w:rFonts w:hint="default" w:ascii="Times New Roman" w:hAnsi="Times New Roman" w:eastAsia="宋体" w:cs="Times New Roman"/>
                <w:color w:val="auto"/>
                <w:sz w:val="21"/>
                <w:szCs w:val="21"/>
                <w:highlight w:val="none"/>
              </w:rPr>
              <w:t>m/s（昼）</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65A946C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1.9</w:t>
            </w:r>
            <w:r>
              <w:rPr>
                <w:rFonts w:hint="default" w:ascii="Times New Roman" w:hAnsi="Times New Roman" w:eastAsia="宋体" w:cs="Times New Roman"/>
                <w:color w:val="auto"/>
                <w:sz w:val="21"/>
                <w:szCs w:val="21"/>
                <w:highlight w:val="none"/>
              </w:rPr>
              <w:t>m/s（夜）</w:t>
            </w:r>
          </w:p>
        </w:tc>
      </w:tr>
      <w:tr w14:paraId="2B8DA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tcBorders>
              <w:top w:val="single" w:color="auto" w:sz="4" w:space="0"/>
              <w:left w:val="single" w:color="auto" w:sz="4" w:space="0"/>
              <w:bottom w:val="single" w:color="auto" w:sz="4" w:space="0"/>
              <w:right w:val="single" w:color="auto" w:sz="4" w:space="0"/>
            </w:tcBorders>
            <w:noWrap w:val="0"/>
            <w:vAlign w:val="center"/>
          </w:tcPr>
          <w:p w14:paraId="751195E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检测点位名称</w:t>
            </w:r>
          </w:p>
        </w:tc>
        <w:tc>
          <w:tcPr>
            <w:tcW w:w="1701" w:type="dxa"/>
            <w:tcBorders>
              <w:top w:val="single" w:color="auto" w:sz="4" w:space="0"/>
              <w:left w:val="single" w:color="auto" w:sz="4" w:space="0"/>
              <w:bottom w:val="single" w:color="auto" w:sz="4" w:space="0"/>
              <w:right w:val="single" w:color="auto" w:sz="4" w:space="0"/>
            </w:tcBorders>
            <w:noWrap w:val="0"/>
            <w:vAlign w:val="center"/>
          </w:tcPr>
          <w:p w14:paraId="1709C94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坐标</w:t>
            </w:r>
          </w:p>
        </w:tc>
        <w:tc>
          <w:tcPr>
            <w:tcW w:w="1182" w:type="dxa"/>
            <w:tcBorders>
              <w:top w:val="single" w:color="auto" w:sz="4" w:space="0"/>
              <w:left w:val="single" w:color="auto" w:sz="4" w:space="0"/>
              <w:bottom w:val="single" w:color="auto" w:sz="4" w:space="0"/>
              <w:right w:val="single" w:color="auto" w:sz="4" w:space="0"/>
            </w:tcBorders>
            <w:noWrap w:val="0"/>
            <w:vAlign w:val="center"/>
          </w:tcPr>
          <w:p w14:paraId="6AF1B90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检测日期</w:t>
            </w:r>
          </w:p>
        </w:tc>
        <w:tc>
          <w:tcPr>
            <w:tcW w:w="1182" w:type="dxa"/>
            <w:tcBorders>
              <w:top w:val="single" w:color="auto" w:sz="4" w:space="0"/>
              <w:left w:val="single" w:color="auto" w:sz="4" w:space="0"/>
              <w:bottom w:val="single" w:color="auto" w:sz="4" w:space="0"/>
              <w:right w:val="single" w:color="auto" w:sz="4" w:space="0"/>
            </w:tcBorders>
            <w:noWrap w:val="0"/>
            <w:vAlign w:val="center"/>
          </w:tcPr>
          <w:p w14:paraId="5654523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检测时间（昼）</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4C38C35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结果值dB</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A</w:t>
            </w:r>
            <w:r>
              <w:rPr>
                <w:rFonts w:hint="default" w:ascii="Times New Roman" w:hAnsi="Times New Roman" w:eastAsia="宋体" w:cs="Times New Roman"/>
                <w:color w:val="auto"/>
                <w:sz w:val="21"/>
                <w:szCs w:val="21"/>
                <w:highlight w:val="none"/>
                <w:lang w:eastAsia="zh-CN"/>
              </w:rPr>
              <w:t>）</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5F28982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检测时间（夜）</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57AB22F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结果值dB</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A</w:t>
            </w:r>
            <w:r>
              <w:rPr>
                <w:rFonts w:hint="default" w:ascii="Times New Roman" w:hAnsi="Times New Roman" w:eastAsia="宋体" w:cs="Times New Roman"/>
                <w:color w:val="auto"/>
                <w:sz w:val="21"/>
                <w:szCs w:val="21"/>
                <w:highlight w:val="none"/>
                <w:lang w:eastAsia="zh-CN"/>
              </w:rPr>
              <w:t>）</w:t>
            </w:r>
          </w:p>
        </w:tc>
      </w:tr>
      <w:tr w14:paraId="6713F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tcBorders>
              <w:top w:val="single" w:color="auto" w:sz="4" w:space="0"/>
              <w:left w:val="single" w:color="auto" w:sz="4" w:space="0"/>
              <w:bottom w:val="single" w:color="auto" w:sz="4" w:space="0"/>
              <w:right w:val="single" w:color="auto" w:sz="4" w:space="0"/>
            </w:tcBorders>
            <w:noWrap w:val="0"/>
            <w:vAlign w:val="center"/>
          </w:tcPr>
          <w:p w14:paraId="34F43B7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厂界东侧△1</w:t>
            </w:r>
          </w:p>
        </w:tc>
        <w:tc>
          <w:tcPr>
            <w:tcW w:w="1701" w:type="dxa"/>
            <w:tcBorders>
              <w:top w:val="single" w:color="auto" w:sz="4" w:space="0"/>
              <w:left w:val="single" w:color="auto" w:sz="4" w:space="0"/>
              <w:bottom w:val="single" w:color="auto" w:sz="4" w:space="0"/>
              <w:right w:val="single" w:color="auto" w:sz="4" w:space="0"/>
            </w:tcBorders>
            <w:noWrap w:val="0"/>
            <w:vAlign w:val="center"/>
          </w:tcPr>
          <w:p w14:paraId="32688D4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E</w:t>
            </w:r>
            <w:r>
              <w:rPr>
                <w:rFonts w:hint="default" w:ascii="Times New Roman" w:hAnsi="Times New Roman" w:eastAsia="宋体" w:cs="Times New Roman"/>
                <w:color w:val="FF0000"/>
                <w:kern w:val="0"/>
                <w:sz w:val="21"/>
                <w:szCs w:val="21"/>
                <w:highlight w:val="none"/>
              </w:rPr>
              <w:t>108°5</w:t>
            </w:r>
            <w:r>
              <w:rPr>
                <w:rFonts w:hint="default" w:ascii="Times New Roman" w:hAnsi="Times New Roman" w:eastAsia="宋体" w:cs="Times New Roman"/>
                <w:color w:val="FF0000"/>
                <w:kern w:val="0"/>
                <w:sz w:val="21"/>
                <w:szCs w:val="21"/>
                <w:highlight w:val="none"/>
                <w:lang w:val="en-US" w:eastAsia="zh-CN"/>
              </w:rPr>
              <w:t>6</w:t>
            </w:r>
            <w:r>
              <w:rPr>
                <w:rFonts w:hint="default" w:ascii="Times New Roman" w:hAnsi="Times New Roman" w:eastAsia="宋体" w:cs="Times New Roman"/>
                <w:color w:val="FF0000"/>
                <w:kern w:val="0"/>
                <w:sz w:val="21"/>
                <w:szCs w:val="21"/>
                <w:highlight w:val="none"/>
              </w:rPr>
              <w:t>′</w:t>
            </w:r>
            <w:r>
              <w:rPr>
                <w:rFonts w:hint="default" w:ascii="Times New Roman" w:hAnsi="Times New Roman" w:eastAsia="宋体" w:cs="Times New Roman"/>
                <w:color w:val="FF0000"/>
                <w:kern w:val="0"/>
                <w:sz w:val="21"/>
                <w:szCs w:val="21"/>
                <w:highlight w:val="none"/>
                <w:lang w:val="en-US" w:eastAsia="zh-CN"/>
              </w:rPr>
              <w:t>9.91</w:t>
            </w:r>
            <w:r>
              <w:rPr>
                <w:rFonts w:hint="default" w:ascii="Times New Roman" w:hAnsi="Times New Roman" w:eastAsia="宋体" w:cs="Times New Roman"/>
                <w:color w:val="FF0000"/>
                <w:kern w:val="0"/>
                <w:sz w:val="21"/>
                <w:szCs w:val="21"/>
                <w:highlight w:val="none"/>
              </w:rPr>
              <w:t>″</w:t>
            </w:r>
            <w:r>
              <w:rPr>
                <w:rFonts w:hint="default" w:ascii="Times New Roman" w:hAnsi="Times New Roman" w:eastAsia="宋体" w:cs="Times New Roman"/>
                <w:color w:val="FF0000"/>
                <w:kern w:val="0"/>
                <w:sz w:val="21"/>
                <w:szCs w:val="21"/>
                <w:highlight w:val="none"/>
                <w:lang w:eastAsia="zh-CN"/>
              </w:rPr>
              <w:t>；</w:t>
            </w:r>
            <w:r>
              <w:rPr>
                <w:rFonts w:hint="default" w:ascii="Times New Roman" w:hAnsi="Times New Roman" w:eastAsia="宋体" w:cs="Times New Roman"/>
                <w:color w:val="FF0000"/>
                <w:kern w:val="0"/>
                <w:sz w:val="21"/>
                <w:szCs w:val="21"/>
                <w:highlight w:val="none"/>
                <w:lang w:val="en-US" w:eastAsia="zh-CN"/>
              </w:rPr>
              <w:t>N</w:t>
            </w:r>
            <w:r>
              <w:rPr>
                <w:rFonts w:hint="default" w:ascii="Times New Roman" w:hAnsi="Times New Roman" w:eastAsia="宋体" w:cs="Times New Roman"/>
                <w:color w:val="FF0000"/>
                <w:kern w:val="0"/>
                <w:sz w:val="21"/>
                <w:szCs w:val="21"/>
                <w:highlight w:val="none"/>
              </w:rPr>
              <w:t>41°7′</w:t>
            </w:r>
            <w:r>
              <w:rPr>
                <w:rFonts w:hint="default" w:ascii="Times New Roman" w:hAnsi="Times New Roman" w:eastAsia="宋体" w:cs="Times New Roman"/>
                <w:color w:val="FF0000"/>
                <w:kern w:val="0"/>
                <w:sz w:val="21"/>
                <w:szCs w:val="21"/>
                <w:highlight w:val="none"/>
                <w:lang w:val="en-US" w:eastAsia="zh-CN"/>
              </w:rPr>
              <w:t>3.67</w:t>
            </w:r>
            <w:r>
              <w:rPr>
                <w:rFonts w:hint="default" w:ascii="Times New Roman" w:hAnsi="Times New Roman" w:eastAsia="宋体" w:cs="Times New Roman"/>
                <w:color w:val="FF0000"/>
                <w:kern w:val="0"/>
                <w:sz w:val="21"/>
                <w:szCs w:val="21"/>
                <w:highlight w:val="none"/>
              </w:rPr>
              <w:t>″</w:t>
            </w:r>
          </w:p>
        </w:tc>
        <w:tc>
          <w:tcPr>
            <w:tcW w:w="1182" w:type="dxa"/>
            <w:vMerge w:val="restart"/>
            <w:tcBorders>
              <w:top w:val="single" w:color="auto" w:sz="4" w:space="0"/>
              <w:left w:val="single" w:color="auto" w:sz="4" w:space="0"/>
              <w:bottom w:val="single" w:color="auto" w:sz="4" w:space="0"/>
              <w:right w:val="single" w:color="auto" w:sz="4" w:space="0"/>
            </w:tcBorders>
            <w:noWrap w:val="0"/>
            <w:vAlign w:val="center"/>
          </w:tcPr>
          <w:p w14:paraId="12AACCE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2022</w:t>
            </w:r>
            <w:r>
              <w:rPr>
                <w:rFonts w:hint="default" w:ascii="Times New Roman" w:hAnsi="Times New Roman" w:eastAsia="宋体" w:cs="Times New Roman"/>
                <w:color w:val="auto"/>
                <w:sz w:val="21"/>
                <w:szCs w:val="21"/>
                <w:highlight w:val="none"/>
                <w:lang w:eastAsia="zh-CN"/>
              </w:rPr>
              <w:t>-12-0</w:t>
            </w:r>
            <w:r>
              <w:rPr>
                <w:rFonts w:hint="default" w:ascii="Times New Roman" w:hAnsi="Times New Roman" w:eastAsia="宋体" w:cs="Times New Roman"/>
                <w:color w:val="auto"/>
                <w:sz w:val="21"/>
                <w:szCs w:val="21"/>
                <w:highlight w:val="none"/>
              </w:rPr>
              <w:t>4</w:t>
            </w:r>
          </w:p>
        </w:tc>
        <w:tc>
          <w:tcPr>
            <w:tcW w:w="1182" w:type="dxa"/>
            <w:tcBorders>
              <w:top w:val="single" w:color="auto" w:sz="4" w:space="0"/>
              <w:left w:val="single" w:color="auto" w:sz="4" w:space="0"/>
              <w:bottom w:val="single" w:color="auto" w:sz="4" w:space="0"/>
              <w:right w:val="single" w:color="auto" w:sz="4" w:space="0"/>
            </w:tcBorders>
            <w:noWrap w:val="0"/>
            <w:vAlign w:val="center"/>
          </w:tcPr>
          <w:p w14:paraId="32196F4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09</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2-09</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2</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706E0A0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53</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147782D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01-22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11</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0AE7350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44</w:t>
            </w:r>
          </w:p>
        </w:tc>
      </w:tr>
      <w:tr w14:paraId="39D2C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tcBorders>
              <w:top w:val="single" w:color="auto" w:sz="4" w:space="0"/>
              <w:left w:val="single" w:color="auto" w:sz="4" w:space="0"/>
              <w:bottom w:val="single" w:color="auto" w:sz="4" w:space="0"/>
              <w:right w:val="single" w:color="auto" w:sz="4" w:space="0"/>
            </w:tcBorders>
            <w:noWrap w:val="0"/>
            <w:vAlign w:val="center"/>
          </w:tcPr>
          <w:p w14:paraId="3884B2C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厂界南侧△2</w:t>
            </w:r>
          </w:p>
        </w:tc>
        <w:tc>
          <w:tcPr>
            <w:tcW w:w="1701" w:type="dxa"/>
            <w:tcBorders>
              <w:top w:val="single" w:color="auto" w:sz="4" w:space="0"/>
              <w:left w:val="single" w:color="auto" w:sz="4" w:space="0"/>
              <w:bottom w:val="single" w:color="auto" w:sz="4" w:space="0"/>
              <w:right w:val="single" w:color="auto" w:sz="4" w:space="0"/>
            </w:tcBorders>
            <w:noWrap w:val="0"/>
            <w:vAlign w:val="center"/>
          </w:tcPr>
          <w:p w14:paraId="57F7744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E</w:t>
            </w:r>
            <w:r>
              <w:rPr>
                <w:rFonts w:hint="default" w:ascii="Times New Roman" w:hAnsi="Times New Roman" w:eastAsia="宋体" w:cs="Times New Roman"/>
                <w:color w:val="FF0000"/>
                <w:kern w:val="0"/>
                <w:sz w:val="21"/>
                <w:szCs w:val="21"/>
                <w:highlight w:val="none"/>
              </w:rPr>
              <w:t>108°5</w:t>
            </w:r>
            <w:r>
              <w:rPr>
                <w:rFonts w:hint="default" w:ascii="Times New Roman" w:hAnsi="Times New Roman" w:eastAsia="宋体" w:cs="Times New Roman"/>
                <w:color w:val="FF0000"/>
                <w:kern w:val="0"/>
                <w:sz w:val="21"/>
                <w:szCs w:val="21"/>
                <w:highlight w:val="none"/>
                <w:lang w:val="en-US" w:eastAsia="zh-CN"/>
              </w:rPr>
              <w:t>6</w:t>
            </w:r>
            <w:r>
              <w:rPr>
                <w:rFonts w:hint="default" w:ascii="Times New Roman" w:hAnsi="Times New Roman" w:eastAsia="宋体" w:cs="Times New Roman"/>
                <w:color w:val="FF0000"/>
                <w:kern w:val="0"/>
                <w:sz w:val="21"/>
                <w:szCs w:val="21"/>
                <w:highlight w:val="none"/>
              </w:rPr>
              <w:t>′</w:t>
            </w:r>
            <w:r>
              <w:rPr>
                <w:rFonts w:hint="default" w:ascii="Times New Roman" w:hAnsi="Times New Roman" w:eastAsia="宋体" w:cs="Times New Roman"/>
                <w:color w:val="FF0000"/>
                <w:kern w:val="0"/>
                <w:sz w:val="21"/>
                <w:szCs w:val="21"/>
                <w:highlight w:val="none"/>
                <w:lang w:val="en-US" w:eastAsia="zh-CN"/>
              </w:rPr>
              <w:t>2.45</w:t>
            </w:r>
            <w:r>
              <w:rPr>
                <w:rFonts w:hint="default" w:ascii="Times New Roman" w:hAnsi="Times New Roman" w:eastAsia="宋体" w:cs="Times New Roman"/>
                <w:color w:val="FF0000"/>
                <w:kern w:val="0"/>
                <w:sz w:val="21"/>
                <w:szCs w:val="21"/>
                <w:highlight w:val="none"/>
              </w:rPr>
              <w:t>″</w:t>
            </w:r>
            <w:r>
              <w:rPr>
                <w:rFonts w:hint="default" w:ascii="Times New Roman" w:hAnsi="Times New Roman" w:eastAsia="宋体" w:cs="Times New Roman"/>
                <w:color w:val="FF0000"/>
                <w:kern w:val="0"/>
                <w:sz w:val="21"/>
                <w:szCs w:val="21"/>
                <w:highlight w:val="none"/>
                <w:lang w:eastAsia="zh-CN"/>
              </w:rPr>
              <w:t>；</w:t>
            </w:r>
            <w:r>
              <w:rPr>
                <w:rFonts w:hint="default" w:ascii="Times New Roman" w:hAnsi="Times New Roman" w:eastAsia="宋体" w:cs="Times New Roman"/>
                <w:color w:val="FF0000"/>
                <w:kern w:val="0"/>
                <w:sz w:val="21"/>
                <w:szCs w:val="21"/>
                <w:highlight w:val="none"/>
                <w:lang w:val="en-US" w:eastAsia="zh-CN"/>
              </w:rPr>
              <w:t>N</w:t>
            </w:r>
            <w:r>
              <w:rPr>
                <w:rFonts w:hint="default" w:ascii="Times New Roman" w:hAnsi="Times New Roman" w:eastAsia="宋体" w:cs="Times New Roman"/>
                <w:color w:val="FF0000"/>
                <w:kern w:val="0"/>
                <w:sz w:val="21"/>
                <w:szCs w:val="21"/>
                <w:highlight w:val="none"/>
              </w:rPr>
              <w:t>41°7′</w:t>
            </w:r>
            <w:r>
              <w:rPr>
                <w:rFonts w:hint="default" w:ascii="Times New Roman" w:hAnsi="Times New Roman" w:eastAsia="宋体" w:cs="Times New Roman"/>
                <w:color w:val="FF0000"/>
                <w:kern w:val="0"/>
                <w:sz w:val="21"/>
                <w:szCs w:val="21"/>
                <w:highlight w:val="none"/>
                <w:lang w:val="en-US" w:eastAsia="zh-CN"/>
              </w:rPr>
              <w:t>1.41</w:t>
            </w:r>
            <w:r>
              <w:rPr>
                <w:rFonts w:hint="default" w:ascii="Times New Roman" w:hAnsi="Times New Roman" w:eastAsia="宋体" w:cs="Times New Roman"/>
                <w:color w:val="FF0000"/>
                <w:kern w:val="0"/>
                <w:sz w:val="21"/>
                <w:szCs w:val="21"/>
                <w:highlight w:val="none"/>
              </w:rPr>
              <w:t>″</w:t>
            </w:r>
          </w:p>
        </w:tc>
        <w:tc>
          <w:tcPr>
            <w:tcW w:w="1182" w:type="dxa"/>
            <w:vMerge w:val="continue"/>
            <w:tcBorders>
              <w:top w:val="single" w:color="auto" w:sz="4" w:space="0"/>
              <w:left w:val="single" w:color="auto" w:sz="4" w:space="0"/>
              <w:bottom w:val="single" w:color="auto" w:sz="4" w:space="0"/>
              <w:right w:val="single" w:color="auto" w:sz="4" w:space="0"/>
            </w:tcBorders>
            <w:noWrap w:val="0"/>
            <w:vAlign w:val="center"/>
          </w:tcPr>
          <w:p w14:paraId="0A92855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182" w:type="dxa"/>
            <w:tcBorders>
              <w:top w:val="single" w:color="auto" w:sz="4" w:space="0"/>
              <w:left w:val="single" w:color="auto" w:sz="4" w:space="0"/>
              <w:bottom w:val="single" w:color="auto" w:sz="4" w:space="0"/>
              <w:right w:val="single" w:color="auto" w:sz="4" w:space="0"/>
            </w:tcBorders>
            <w:noWrap w:val="0"/>
            <w:vAlign w:val="center"/>
          </w:tcPr>
          <w:p w14:paraId="684AE1A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09</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27</w:t>
            </w:r>
            <w:r>
              <w:rPr>
                <w:rFonts w:hint="default" w:ascii="Times New Roman" w:hAnsi="Times New Roman" w:eastAsia="宋体" w:cs="Times New Roman"/>
                <w:color w:val="auto"/>
                <w:sz w:val="21"/>
                <w:szCs w:val="21"/>
                <w:highlight w:val="none"/>
              </w:rPr>
              <w:t>-09</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37</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7B51617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7CB6E9F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22</w:t>
            </w:r>
            <w:r>
              <w:rPr>
                <w:rFonts w:hint="default" w:ascii="Times New Roman" w:hAnsi="Times New Roman" w:eastAsia="宋体" w:cs="Times New Roman"/>
                <w:color w:val="auto"/>
                <w:sz w:val="21"/>
                <w:szCs w:val="21"/>
                <w:highlight w:val="none"/>
              </w:rPr>
              <w:t>-22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32</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577D5A5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w:t>
            </w:r>
          </w:p>
        </w:tc>
      </w:tr>
      <w:tr w14:paraId="2EB7F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tcBorders>
              <w:top w:val="single" w:color="auto" w:sz="4" w:space="0"/>
              <w:left w:val="single" w:color="auto" w:sz="4" w:space="0"/>
              <w:bottom w:val="single" w:color="auto" w:sz="4" w:space="0"/>
              <w:right w:val="single" w:color="auto" w:sz="4" w:space="0"/>
            </w:tcBorders>
            <w:noWrap w:val="0"/>
            <w:vAlign w:val="center"/>
          </w:tcPr>
          <w:p w14:paraId="12561B8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厂界西北侧△3</w:t>
            </w:r>
          </w:p>
        </w:tc>
        <w:tc>
          <w:tcPr>
            <w:tcW w:w="1701" w:type="dxa"/>
            <w:tcBorders>
              <w:top w:val="single" w:color="auto" w:sz="4" w:space="0"/>
              <w:left w:val="single" w:color="auto" w:sz="4" w:space="0"/>
              <w:bottom w:val="single" w:color="auto" w:sz="4" w:space="0"/>
              <w:right w:val="single" w:color="auto" w:sz="4" w:space="0"/>
            </w:tcBorders>
            <w:noWrap w:val="0"/>
            <w:vAlign w:val="center"/>
          </w:tcPr>
          <w:p w14:paraId="3775CB2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E</w:t>
            </w:r>
            <w:r>
              <w:rPr>
                <w:rFonts w:hint="default" w:ascii="Times New Roman" w:hAnsi="Times New Roman" w:eastAsia="宋体" w:cs="Times New Roman"/>
                <w:color w:val="FF0000"/>
                <w:kern w:val="0"/>
                <w:sz w:val="21"/>
                <w:szCs w:val="21"/>
                <w:highlight w:val="none"/>
              </w:rPr>
              <w:t>108°5</w:t>
            </w:r>
            <w:r>
              <w:rPr>
                <w:rFonts w:hint="default" w:ascii="Times New Roman" w:hAnsi="Times New Roman" w:eastAsia="宋体" w:cs="Times New Roman"/>
                <w:color w:val="FF0000"/>
                <w:kern w:val="0"/>
                <w:sz w:val="21"/>
                <w:szCs w:val="21"/>
                <w:highlight w:val="none"/>
                <w:lang w:val="en-US" w:eastAsia="zh-CN"/>
              </w:rPr>
              <w:t>5</w:t>
            </w:r>
            <w:r>
              <w:rPr>
                <w:rFonts w:hint="default" w:ascii="Times New Roman" w:hAnsi="Times New Roman" w:eastAsia="宋体" w:cs="Times New Roman"/>
                <w:color w:val="FF0000"/>
                <w:kern w:val="0"/>
                <w:sz w:val="21"/>
                <w:szCs w:val="21"/>
                <w:highlight w:val="none"/>
              </w:rPr>
              <w:t>′</w:t>
            </w:r>
            <w:r>
              <w:rPr>
                <w:rFonts w:hint="default" w:ascii="Times New Roman" w:hAnsi="Times New Roman" w:eastAsia="宋体" w:cs="Times New Roman"/>
                <w:color w:val="FF0000"/>
                <w:kern w:val="0"/>
                <w:sz w:val="21"/>
                <w:szCs w:val="21"/>
                <w:highlight w:val="none"/>
                <w:lang w:val="en-US" w:eastAsia="zh-CN"/>
              </w:rPr>
              <w:t>51.08</w:t>
            </w:r>
            <w:r>
              <w:rPr>
                <w:rFonts w:hint="default" w:ascii="Times New Roman" w:hAnsi="Times New Roman" w:eastAsia="宋体" w:cs="Times New Roman"/>
                <w:color w:val="FF0000"/>
                <w:kern w:val="0"/>
                <w:sz w:val="21"/>
                <w:szCs w:val="21"/>
                <w:highlight w:val="none"/>
              </w:rPr>
              <w:t>″</w:t>
            </w:r>
            <w:r>
              <w:rPr>
                <w:rFonts w:hint="default" w:ascii="Times New Roman" w:hAnsi="Times New Roman" w:eastAsia="宋体" w:cs="Times New Roman"/>
                <w:color w:val="FF0000"/>
                <w:kern w:val="0"/>
                <w:sz w:val="21"/>
                <w:szCs w:val="21"/>
                <w:highlight w:val="none"/>
                <w:lang w:eastAsia="zh-CN"/>
              </w:rPr>
              <w:t>；</w:t>
            </w:r>
            <w:r>
              <w:rPr>
                <w:rFonts w:hint="default" w:ascii="Times New Roman" w:hAnsi="Times New Roman" w:eastAsia="宋体" w:cs="Times New Roman"/>
                <w:color w:val="FF0000"/>
                <w:kern w:val="0"/>
                <w:sz w:val="21"/>
                <w:szCs w:val="21"/>
                <w:highlight w:val="none"/>
                <w:lang w:val="en-US" w:eastAsia="zh-CN"/>
              </w:rPr>
              <w:t>N</w:t>
            </w:r>
            <w:r>
              <w:rPr>
                <w:rFonts w:hint="default" w:ascii="Times New Roman" w:hAnsi="Times New Roman" w:eastAsia="宋体" w:cs="Times New Roman"/>
                <w:color w:val="FF0000"/>
                <w:kern w:val="0"/>
                <w:sz w:val="21"/>
                <w:szCs w:val="21"/>
                <w:highlight w:val="none"/>
              </w:rPr>
              <w:t>41°7′</w:t>
            </w:r>
            <w:r>
              <w:rPr>
                <w:rFonts w:hint="default" w:ascii="Times New Roman" w:hAnsi="Times New Roman" w:eastAsia="宋体" w:cs="Times New Roman"/>
                <w:color w:val="FF0000"/>
                <w:kern w:val="0"/>
                <w:sz w:val="21"/>
                <w:szCs w:val="21"/>
                <w:highlight w:val="none"/>
                <w:lang w:val="en-US" w:eastAsia="zh-CN"/>
              </w:rPr>
              <w:t>13.83</w:t>
            </w:r>
            <w:r>
              <w:rPr>
                <w:rFonts w:hint="default" w:ascii="Times New Roman" w:hAnsi="Times New Roman" w:eastAsia="宋体" w:cs="Times New Roman"/>
                <w:color w:val="FF0000"/>
                <w:kern w:val="0"/>
                <w:sz w:val="21"/>
                <w:szCs w:val="21"/>
                <w:highlight w:val="none"/>
              </w:rPr>
              <w:t>″</w:t>
            </w:r>
          </w:p>
        </w:tc>
        <w:tc>
          <w:tcPr>
            <w:tcW w:w="1182" w:type="dxa"/>
            <w:vMerge w:val="continue"/>
            <w:tcBorders>
              <w:top w:val="single" w:color="auto" w:sz="4" w:space="0"/>
              <w:left w:val="single" w:color="auto" w:sz="4" w:space="0"/>
              <w:bottom w:val="single" w:color="auto" w:sz="4" w:space="0"/>
              <w:right w:val="single" w:color="auto" w:sz="4" w:space="0"/>
            </w:tcBorders>
            <w:noWrap w:val="0"/>
            <w:vAlign w:val="center"/>
          </w:tcPr>
          <w:p w14:paraId="0C65F52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182" w:type="dxa"/>
            <w:tcBorders>
              <w:top w:val="single" w:color="auto" w:sz="4" w:space="0"/>
              <w:left w:val="single" w:color="auto" w:sz="4" w:space="0"/>
              <w:bottom w:val="single" w:color="auto" w:sz="4" w:space="0"/>
              <w:right w:val="single" w:color="auto" w:sz="4" w:space="0"/>
            </w:tcBorders>
            <w:noWrap w:val="0"/>
            <w:vAlign w:val="center"/>
          </w:tcPr>
          <w:p w14:paraId="046B3BB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09</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40</w:t>
            </w:r>
            <w:r>
              <w:rPr>
                <w:rFonts w:hint="default" w:ascii="Times New Roman" w:hAnsi="Times New Roman" w:eastAsia="宋体" w:cs="Times New Roman"/>
                <w:color w:val="auto"/>
                <w:sz w:val="21"/>
                <w:szCs w:val="21"/>
                <w:highlight w:val="none"/>
              </w:rPr>
              <w:t>-09</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50</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1447C61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51</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060EFFF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22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38</w:t>
            </w:r>
            <w:r>
              <w:rPr>
                <w:rFonts w:hint="default" w:ascii="Times New Roman" w:hAnsi="Times New Roman" w:eastAsia="宋体" w:cs="Times New Roman"/>
                <w:color w:val="auto"/>
                <w:sz w:val="21"/>
                <w:szCs w:val="21"/>
                <w:highlight w:val="none"/>
              </w:rPr>
              <w:t>-22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4</w:t>
            </w:r>
            <w:r>
              <w:rPr>
                <w:rFonts w:hint="default" w:ascii="Times New Roman" w:hAnsi="Times New Roman" w:eastAsia="宋体" w:cs="Times New Roman"/>
                <w:color w:val="auto"/>
                <w:sz w:val="21"/>
                <w:szCs w:val="21"/>
                <w:highlight w:val="none"/>
                <w:lang w:val="en-US" w:eastAsia="zh-CN"/>
              </w:rPr>
              <w:t>8</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766D164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42</w:t>
            </w:r>
          </w:p>
        </w:tc>
      </w:tr>
      <w:tr w14:paraId="76E57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tcBorders>
              <w:top w:val="single" w:color="auto" w:sz="4" w:space="0"/>
              <w:left w:val="single" w:color="auto" w:sz="4" w:space="0"/>
              <w:bottom w:val="single" w:color="auto" w:sz="4" w:space="0"/>
              <w:right w:val="single" w:color="auto" w:sz="4" w:space="0"/>
            </w:tcBorders>
            <w:noWrap w:val="0"/>
            <w:vAlign w:val="center"/>
          </w:tcPr>
          <w:p w14:paraId="2D05602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厂界北侧△4</w:t>
            </w:r>
          </w:p>
        </w:tc>
        <w:tc>
          <w:tcPr>
            <w:tcW w:w="1701" w:type="dxa"/>
            <w:tcBorders>
              <w:top w:val="single" w:color="auto" w:sz="4" w:space="0"/>
              <w:left w:val="single" w:color="auto" w:sz="4" w:space="0"/>
              <w:bottom w:val="single" w:color="auto" w:sz="4" w:space="0"/>
              <w:right w:val="single" w:color="auto" w:sz="4" w:space="0"/>
            </w:tcBorders>
            <w:noWrap w:val="0"/>
            <w:vAlign w:val="center"/>
          </w:tcPr>
          <w:p w14:paraId="100FF5C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E</w:t>
            </w:r>
            <w:r>
              <w:rPr>
                <w:rFonts w:hint="default" w:ascii="Times New Roman" w:hAnsi="Times New Roman" w:eastAsia="宋体" w:cs="Times New Roman"/>
                <w:color w:val="FF0000"/>
                <w:kern w:val="0"/>
                <w:sz w:val="21"/>
                <w:szCs w:val="21"/>
                <w:highlight w:val="none"/>
              </w:rPr>
              <w:t>108°5</w:t>
            </w:r>
            <w:r>
              <w:rPr>
                <w:rFonts w:hint="default" w:ascii="Times New Roman" w:hAnsi="Times New Roman" w:eastAsia="宋体" w:cs="Times New Roman"/>
                <w:color w:val="FF0000"/>
                <w:kern w:val="0"/>
                <w:sz w:val="21"/>
                <w:szCs w:val="21"/>
                <w:highlight w:val="none"/>
                <w:lang w:val="en-US" w:eastAsia="zh-CN"/>
              </w:rPr>
              <w:t>6</w:t>
            </w:r>
            <w:r>
              <w:rPr>
                <w:rFonts w:hint="default" w:ascii="Times New Roman" w:hAnsi="Times New Roman" w:eastAsia="宋体" w:cs="Times New Roman"/>
                <w:color w:val="FF0000"/>
                <w:kern w:val="0"/>
                <w:sz w:val="21"/>
                <w:szCs w:val="21"/>
                <w:highlight w:val="none"/>
              </w:rPr>
              <w:t>′</w:t>
            </w:r>
            <w:r>
              <w:rPr>
                <w:rFonts w:hint="default" w:ascii="Times New Roman" w:hAnsi="Times New Roman" w:eastAsia="宋体" w:cs="Times New Roman"/>
                <w:color w:val="FF0000"/>
                <w:kern w:val="0"/>
                <w:sz w:val="21"/>
                <w:szCs w:val="21"/>
                <w:highlight w:val="none"/>
                <w:lang w:val="en-US" w:eastAsia="zh-CN"/>
              </w:rPr>
              <w:t>6.73</w:t>
            </w:r>
            <w:r>
              <w:rPr>
                <w:rFonts w:hint="default" w:ascii="Times New Roman" w:hAnsi="Times New Roman" w:eastAsia="宋体" w:cs="Times New Roman"/>
                <w:color w:val="FF0000"/>
                <w:kern w:val="0"/>
                <w:sz w:val="21"/>
                <w:szCs w:val="21"/>
                <w:highlight w:val="none"/>
              </w:rPr>
              <w:t>″</w:t>
            </w:r>
            <w:r>
              <w:rPr>
                <w:rFonts w:hint="default" w:ascii="Times New Roman" w:hAnsi="Times New Roman" w:eastAsia="宋体" w:cs="Times New Roman"/>
                <w:color w:val="FF0000"/>
                <w:kern w:val="0"/>
                <w:sz w:val="21"/>
                <w:szCs w:val="21"/>
                <w:highlight w:val="none"/>
                <w:lang w:eastAsia="zh-CN"/>
              </w:rPr>
              <w:t>；</w:t>
            </w:r>
            <w:r>
              <w:rPr>
                <w:rFonts w:hint="default" w:ascii="Times New Roman" w:hAnsi="Times New Roman" w:eastAsia="宋体" w:cs="Times New Roman"/>
                <w:color w:val="FF0000"/>
                <w:kern w:val="0"/>
                <w:sz w:val="21"/>
                <w:szCs w:val="21"/>
                <w:highlight w:val="none"/>
                <w:lang w:val="en-US" w:eastAsia="zh-CN"/>
              </w:rPr>
              <w:t>N</w:t>
            </w:r>
            <w:r>
              <w:rPr>
                <w:rFonts w:hint="default" w:ascii="Times New Roman" w:hAnsi="Times New Roman" w:eastAsia="宋体" w:cs="Times New Roman"/>
                <w:color w:val="FF0000"/>
                <w:kern w:val="0"/>
                <w:sz w:val="21"/>
                <w:szCs w:val="21"/>
                <w:highlight w:val="none"/>
              </w:rPr>
              <w:t>41°7′</w:t>
            </w:r>
            <w:r>
              <w:rPr>
                <w:rFonts w:hint="default" w:ascii="Times New Roman" w:hAnsi="Times New Roman" w:eastAsia="宋体" w:cs="Times New Roman"/>
                <w:color w:val="FF0000"/>
                <w:kern w:val="0"/>
                <w:sz w:val="21"/>
                <w:szCs w:val="21"/>
                <w:highlight w:val="none"/>
                <w:lang w:val="en-US" w:eastAsia="zh-CN"/>
              </w:rPr>
              <w:t>11.40</w:t>
            </w:r>
            <w:r>
              <w:rPr>
                <w:rFonts w:hint="default" w:ascii="Times New Roman" w:hAnsi="Times New Roman" w:eastAsia="宋体" w:cs="Times New Roman"/>
                <w:color w:val="FF0000"/>
                <w:kern w:val="0"/>
                <w:sz w:val="21"/>
                <w:szCs w:val="21"/>
                <w:highlight w:val="none"/>
              </w:rPr>
              <w:t>″</w:t>
            </w:r>
          </w:p>
        </w:tc>
        <w:tc>
          <w:tcPr>
            <w:tcW w:w="1182" w:type="dxa"/>
            <w:vMerge w:val="continue"/>
            <w:tcBorders>
              <w:top w:val="single" w:color="auto" w:sz="4" w:space="0"/>
              <w:left w:val="single" w:color="auto" w:sz="4" w:space="0"/>
              <w:bottom w:val="single" w:color="auto" w:sz="4" w:space="0"/>
              <w:right w:val="single" w:color="auto" w:sz="4" w:space="0"/>
            </w:tcBorders>
            <w:noWrap w:val="0"/>
            <w:vAlign w:val="center"/>
          </w:tcPr>
          <w:p w14:paraId="2165273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182" w:type="dxa"/>
            <w:tcBorders>
              <w:top w:val="single" w:color="auto" w:sz="4" w:space="0"/>
              <w:left w:val="single" w:color="auto" w:sz="4" w:space="0"/>
              <w:bottom w:val="single" w:color="auto" w:sz="4" w:space="0"/>
              <w:right w:val="single" w:color="auto" w:sz="4" w:space="0"/>
            </w:tcBorders>
            <w:noWrap w:val="0"/>
            <w:vAlign w:val="center"/>
          </w:tcPr>
          <w:p w14:paraId="19243FF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09</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59</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09</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150CE0D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150B8C5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53</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03</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2EC0850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w:t>
            </w:r>
          </w:p>
        </w:tc>
      </w:tr>
      <w:tr w14:paraId="380A6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tcBorders>
              <w:top w:val="single" w:color="auto" w:sz="4" w:space="0"/>
              <w:left w:val="single" w:color="auto" w:sz="4" w:space="0"/>
              <w:bottom w:val="single" w:color="auto" w:sz="4" w:space="0"/>
              <w:right w:val="single" w:color="auto" w:sz="4" w:space="0"/>
            </w:tcBorders>
            <w:noWrap w:val="0"/>
            <w:vAlign w:val="center"/>
          </w:tcPr>
          <w:p w14:paraId="5228C82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南侧敏感点△5</w:t>
            </w:r>
          </w:p>
        </w:tc>
        <w:tc>
          <w:tcPr>
            <w:tcW w:w="1701" w:type="dxa"/>
            <w:tcBorders>
              <w:top w:val="single" w:color="auto" w:sz="4" w:space="0"/>
              <w:left w:val="single" w:color="auto" w:sz="4" w:space="0"/>
              <w:bottom w:val="single" w:color="auto" w:sz="4" w:space="0"/>
              <w:right w:val="single" w:color="auto" w:sz="4" w:space="0"/>
            </w:tcBorders>
            <w:noWrap w:val="0"/>
            <w:vAlign w:val="center"/>
          </w:tcPr>
          <w:p w14:paraId="784EFA0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kern w:val="0"/>
                <w:sz w:val="21"/>
                <w:szCs w:val="21"/>
                <w:highlight w:val="none"/>
                <w:lang w:val="en-US" w:eastAsia="zh-CN"/>
              </w:rPr>
              <w:t>E</w:t>
            </w:r>
            <w:r>
              <w:rPr>
                <w:rFonts w:hint="default" w:ascii="Times New Roman" w:hAnsi="Times New Roman" w:eastAsia="宋体" w:cs="Times New Roman"/>
                <w:color w:val="FF0000"/>
                <w:kern w:val="0"/>
                <w:sz w:val="21"/>
                <w:szCs w:val="21"/>
                <w:highlight w:val="none"/>
              </w:rPr>
              <w:t>108°55′5</w:t>
            </w:r>
            <w:r>
              <w:rPr>
                <w:rFonts w:hint="default" w:ascii="Times New Roman" w:hAnsi="Times New Roman" w:eastAsia="宋体" w:cs="Times New Roman"/>
                <w:color w:val="FF0000"/>
                <w:kern w:val="0"/>
                <w:sz w:val="21"/>
                <w:szCs w:val="21"/>
                <w:highlight w:val="none"/>
                <w:lang w:val="en-US" w:eastAsia="zh-CN"/>
              </w:rPr>
              <w:t>2.02</w:t>
            </w:r>
            <w:r>
              <w:rPr>
                <w:rFonts w:hint="default" w:ascii="Times New Roman" w:hAnsi="Times New Roman" w:eastAsia="宋体" w:cs="Times New Roman"/>
                <w:color w:val="FF0000"/>
                <w:kern w:val="0"/>
                <w:sz w:val="21"/>
                <w:szCs w:val="21"/>
                <w:highlight w:val="none"/>
              </w:rPr>
              <w:t>″</w:t>
            </w:r>
            <w:r>
              <w:rPr>
                <w:rFonts w:hint="default" w:ascii="Times New Roman" w:hAnsi="Times New Roman" w:eastAsia="宋体" w:cs="Times New Roman"/>
                <w:color w:val="FF0000"/>
                <w:kern w:val="0"/>
                <w:sz w:val="21"/>
                <w:szCs w:val="21"/>
                <w:highlight w:val="none"/>
                <w:lang w:eastAsia="zh-CN"/>
              </w:rPr>
              <w:t>；</w:t>
            </w:r>
            <w:r>
              <w:rPr>
                <w:rFonts w:hint="default" w:ascii="Times New Roman" w:hAnsi="Times New Roman" w:eastAsia="宋体" w:cs="Times New Roman"/>
                <w:color w:val="FF0000"/>
                <w:kern w:val="0"/>
                <w:sz w:val="21"/>
                <w:szCs w:val="21"/>
                <w:highlight w:val="none"/>
                <w:lang w:val="en-US" w:eastAsia="zh-CN"/>
              </w:rPr>
              <w:t>N</w:t>
            </w:r>
            <w:r>
              <w:rPr>
                <w:rFonts w:hint="default" w:ascii="Times New Roman" w:hAnsi="Times New Roman" w:eastAsia="宋体" w:cs="Times New Roman"/>
                <w:color w:val="FF0000"/>
                <w:kern w:val="0"/>
                <w:sz w:val="21"/>
                <w:szCs w:val="21"/>
                <w:highlight w:val="none"/>
              </w:rPr>
              <w:t>41°</w:t>
            </w:r>
            <w:r>
              <w:rPr>
                <w:rFonts w:hint="default" w:ascii="Times New Roman" w:hAnsi="Times New Roman" w:eastAsia="宋体" w:cs="Times New Roman"/>
                <w:color w:val="FF0000"/>
                <w:kern w:val="0"/>
                <w:sz w:val="21"/>
                <w:szCs w:val="21"/>
                <w:highlight w:val="none"/>
                <w:lang w:val="en-US" w:eastAsia="zh-CN"/>
              </w:rPr>
              <w:t>6</w:t>
            </w:r>
            <w:r>
              <w:rPr>
                <w:rFonts w:hint="default" w:ascii="Times New Roman" w:hAnsi="Times New Roman" w:eastAsia="宋体" w:cs="Times New Roman"/>
                <w:color w:val="FF0000"/>
                <w:kern w:val="0"/>
                <w:sz w:val="21"/>
                <w:szCs w:val="21"/>
                <w:highlight w:val="none"/>
              </w:rPr>
              <w:t>′</w:t>
            </w:r>
            <w:r>
              <w:rPr>
                <w:rFonts w:hint="default" w:ascii="Times New Roman" w:hAnsi="Times New Roman" w:eastAsia="宋体" w:cs="Times New Roman"/>
                <w:color w:val="FF0000"/>
                <w:kern w:val="0"/>
                <w:sz w:val="21"/>
                <w:szCs w:val="21"/>
                <w:highlight w:val="none"/>
                <w:lang w:val="en-US" w:eastAsia="zh-CN"/>
              </w:rPr>
              <w:t>59.93</w:t>
            </w:r>
            <w:r>
              <w:rPr>
                <w:rFonts w:hint="default" w:ascii="Times New Roman" w:hAnsi="Times New Roman" w:eastAsia="宋体" w:cs="Times New Roman"/>
                <w:color w:val="FF0000"/>
                <w:kern w:val="0"/>
                <w:sz w:val="21"/>
                <w:szCs w:val="21"/>
                <w:highlight w:val="none"/>
              </w:rPr>
              <w:t>″</w:t>
            </w:r>
          </w:p>
        </w:tc>
        <w:tc>
          <w:tcPr>
            <w:tcW w:w="1182" w:type="dxa"/>
            <w:vMerge w:val="continue"/>
            <w:tcBorders>
              <w:top w:val="single" w:color="auto" w:sz="4" w:space="0"/>
              <w:left w:val="single" w:color="auto" w:sz="4" w:space="0"/>
              <w:bottom w:val="single" w:color="auto" w:sz="4" w:space="0"/>
              <w:right w:val="single" w:color="auto" w:sz="4" w:space="0"/>
            </w:tcBorders>
            <w:noWrap w:val="0"/>
            <w:vAlign w:val="center"/>
          </w:tcPr>
          <w:p w14:paraId="3061621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182" w:type="dxa"/>
            <w:tcBorders>
              <w:top w:val="single" w:color="auto" w:sz="4" w:space="0"/>
              <w:left w:val="single" w:color="auto" w:sz="4" w:space="0"/>
              <w:bottom w:val="single" w:color="auto" w:sz="4" w:space="0"/>
              <w:right w:val="single" w:color="auto" w:sz="4" w:space="0"/>
            </w:tcBorders>
            <w:noWrap w:val="0"/>
            <w:vAlign w:val="center"/>
          </w:tcPr>
          <w:p w14:paraId="5172354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16</w:t>
            </w: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26</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25F0BDF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53</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778AACA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rPr>
              <w:t>-23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19</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2D3F94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w:t>
            </w:r>
          </w:p>
        </w:tc>
      </w:tr>
      <w:tr w14:paraId="059EF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tcBorders>
              <w:top w:val="single" w:color="auto" w:sz="4" w:space="0"/>
              <w:left w:val="single" w:color="auto" w:sz="4" w:space="0"/>
              <w:bottom w:val="single" w:color="auto" w:sz="4" w:space="0"/>
              <w:right w:val="single" w:color="auto" w:sz="4" w:space="0"/>
            </w:tcBorders>
            <w:noWrap w:val="0"/>
            <w:vAlign w:val="center"/>
          </w:tcPr>
          <w:p w14:paraId="7AA2DED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厂界东侧△1</w:t>
            </w:r>
          </w:p>
        </w:tc>
        <w:tc>
          <w:tcPr>
            <w:tcW w:w="1701" w:type="dxa"/>
            <w:tcBorders>
              <w:top w:val="single" w:color="auto" w:sz="4" w:space="0"/>
              <w:left w:val="single" w:color="auto" w:sz="4" w:space="0"/>
              <w:bottom w:val="single" w:color="auto" w:sz="4" w:space="0"/>
              <w:right w:val="single" w:color="auto" w:sz="4" w:space="0"/>
            </w:tcBorders>
            <w:noWrap w:val="0"/>
            <w:vAlign w:val="center"/>
          </w:tcPr>
          <w:p w14:paraId="73F4D4B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E</w:t>
            </w:r>
            <w:r>
              <w:rPr>
                <w:rFonts w:hint="default" w:ascii="Times New Roman" w:hAnsi="Times New Roman" w:eastAsia="宋体" w:cs="Times New Roman"/>
                <w:color w:val="FF0000"/>
                <w:kern w:val="0"/>
                <w:sz w:val="21"/>
                <w:szCs w:val="21"/>
                <w:highlight w:val="none"/>
              </w:rPr>
              <w:t>108°5</w:t>
            </w:r>
            <w:r>
              <w:rPr>
                <w:rFonts w:hint="default" w:ascii="Times New Roman" w:hAnsi="Times New Roman" w:eastAsia="宋体" w:cs="Times New Roman"/>
                <w:color w:val="FF0000"/>
                <w:kern w:val="0"/>
                <w:sz w:val="21"/>
                <w:szCs w:val="21"/>
                <w:highlight w:val="none"/>
                <w:lang w:val="en-US" w:eastAsia="zh-CN"/>
              </w:rPr>
              <w:t>6</w:t>
            </w:r>
            <w:r>
              <w:rPr>
                <w:rFonts w:hint="default" w:ascii="Times New Roman" w:hAnsi="Times New Roman" w:eastAsia="宋体" w:cs="Times New Roman"/>
                <w:color w:val="FF0000"/>
                <w:kern w:val="0"/>
                <w:sz w:val="21"/>
                <w:szCs w:val="21"/>
                <w:highlight w:val="none"/>
              </w:rPr>
              <w:t>′</w:t>
            </w:r>
            <w:r>
              <w:rPr>
                <w:rFonts w:hint="default" w:ascii="Times New Roman" w:hAnsi="Times New Roman" w:eastAsia="宋体" w:cs="Times New Roman"/>
                <w:color w:val="FF0000"/>
                <w:kern w:val="0"/>
                <w:sz w:val="21"/>
                <w:szCs w:val="21"/>
                <w:highlight w:val="none"/>
                <w:lang w:val="en-US" w:eastAsia="zh-CN"/>
              </w:rPr>
              <w:t>9.91</w:t>
            </w:r>
            <w:r>
              <w:rPr>
                <w:rFonts w:hint="default" w:ascii="Times New Roman" w:hAnsi="Times New Roman" w:eastAsia="宋体" w:cs="Times New Roman"/>
                <w:color w:val="FF0000"/>
                <w:kern w:val="0"/>
                <w:sz w:val="21"/>
                <w:szCs w:val="21"/>
                <w:highlight w:val="none"/>
              </w:rPr>
              <w:t>″</w:t>
            </w:r>
            <w:r>
              <w:rPr>
                <w:rFonts w:hint="default" w:ascii="Times New Roman" w:hAnsi="Times New Roman" w:eastAsia="宋体" w:cs="Times New Roman"/>
                <w:color w:val="FF0000"/>
                <w:kern w:val="0"/>
                <w:sz w:val="21"/>
                <w:szCs w:val="21"/>
                <w:highlight w:val="none"/>
                <w:lang w:eastAsia="zh-CN"/>
              </w:rPr>
              <w:t>；</w:t>
            </w:r>
            <w:r>
              <w:rPr>
                <w:rFonts w:hint="default" w:ascii="Times New Roman" w:hAnsi="Times New Roman" w:eastAsia="宋体" w:cs="Times New Roman"/>
                <w:color w:val="FF0000"/>
                <w:kern w:val="0"/>
                <w:sz w:val="21"/>
                <w:szCs w:val="21"/>
                <w:highlight w:val="none"/>
                <w:lang w:val="en-US" w:eastAsia="zh-CN"/>
              </w:rPr>
              <w:t>N</w:t>
            </w:r>
            <w:r>
              <w:rPr>
                <w:rFonts w:hint="default" w:ascii="Times New Roman" w:hAnsi="Times New Roman" w:eastAsia="宋体" w:cs="Times New Roman"/>
                <w:color w:val="FF0000"/>
                <w:kern w:val="0"/>
                <w:sz w:val="21"/>
                <w:szCs w:val="21"/>
                <w:highlight w:val="none"/>
              </w:rPr>
              <w:t>41°7′</w:t>
            </w:r>
            <w:r>
              <w:rPr>
                <w:rFonts w:hint="default" w:ascii="Times New Roman" w:hAnsi="Times New Roman" w:eastAsia="宋体" w:cs="Times New Roman"/>
                <w:color w:val="FF0000"/>
                <w:kern w:val="0"/>
                <w:sz w:val="21"/>
                <w:szCs w:val="21"/>
                <w:highlight w:val="none"/>
                <w:lang w:val="en-US" w:eastAsia="zh-CN"/>
              </w:rPr>
              <w:t>3.67</w:t>
            </w:r>
            <w:r>
              <w:rPr>
                <w:rFonts w:hint="default" w:ascii="Times New Roman" w:hAnsi="Times New Roman" w:eastAsia="宋体" w:cs="Times New Roman"/>
                <w:color w:val="FF0000"/>
                <w:kern w:val="0"/>
                <w:sz w:val="21"/>
                <w:szCs w:val="21"/>
                <w:highlight w:val="none"/>
              </w:rPr>
              <w:t>″</w:t>
            </w:r>
          </w:p>
        </w:tc>
        <w:tc>
          <w:tcPr>
            <w:tcW w:w="1182" w:type="dxa"/>
            <w:vMerge w:val="restart"/>
            <w:tcBorders>
              <w:top w:val="single" w:color="auto" w:sz="4" w:space="0"/>
              <w:left w:val="single" w:color="auto" w:sz="4" w:space="0"/>
              <w:bottom w:val="single" w:color="auto" w:sz="4" w:space="0"/>
              <w:right w:val="single" w:color="auto" w:sz="4" w:space="0"/>
            </w:tcBorders>
            <w:noWrap w:val="0"/>
            <w:vAlign w:val="center"/>
          </w:tcPr>
          <w:p w14:paraId="51BC37A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2022</w:t>
            </w:r>
            <w:r>
              <w:rPr>
                <w:rFonts w:hint="default" w:ascii="Times New Roman" w:hAnsi="Times New Roman" w:eastAsia="宋体" w:cs="Times New Roman"/>
                <w:color w:val="auto"/>
                <w:sz w:val="21"/>
                <w:szCs w:val="21"/>
                <w:highlight w:val="none"/>
                <w:lang w:eastAsia="zh-CN"/>
              </w:rPr>
              <w:t>-12-0</w:t>
            </w:r>
            <w:r>
              <w:rPr>
                <w:rFonts w:hint="default" w:ascii="Times New Roman" w:hAnsi="Times New Roman" w:eastAsia="宋体" w:cs="Times New Roman"/>
                <w:color w:val="auto"/>
                <w:sz w:val="21"/>
                <w:szCs w:val="21"/>
                <w:highlight w:val="none"/>
              </w:rPr>
              <w:t>5</w:t>
            </w:r>
          </w:p>
        </w:tc>
        <w:tc>
          <w:tcPr>
            <w:tcW w:w="1182" w:type="dxa"/>
            <w:tcBorders>
              <w:top w:val="single" w:color="auto" w:sz="4" w:space="0"/>
              <w:left w:val="single" w:color="auto" w:sz="4" w:space="0"/>
              <w:bottom w:val="single" w:color="auto" w:sz="4" w:space="0"/>
              <w:right w:val="single" w:color="auto" w:sz="4" w:space="0"/>
            </w:tcBorders>
            <w:noWrap w:val="0"/>
            <w:vAlign w:val="center"/>
          </w:tcPr>
          <w:p w14:paraId="6F10032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11-1</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21</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1DF9CD2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54</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777AD42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16</w:t>
            </w:r>
            <w:r>
              <w:rPr>
                <w:rFonts w:hint="default" w:ascii="Times New Roman" w:hAnsi="Times New Roman" w:eastAsia="宋体" w:cs="Times New Roman"/>
                <w:color w:val="auto"/>
                <w:sz w:val="21"/>
                <w:szCs w:val="21"/>
                <w:highlight w:val="none"/>
              </w:rPr>
              <w:t>-22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26</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039C692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45</w:t>
            </w:r>
          </w:p>
        </w:tc>
      </w:tr>
      <w:tr w14:paraId="4116D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tcBorders>
              <w:top w:val="single" w:color="auto" w:sz="4" w:space="0"/>
              <w:left w:val="single" w:color="auto" w:sz="4" w:space="0"/>
              <w:bottom w:val="single" w:color="auto" w:sz="4" w:space="0"/>
              <w:right w:val="single" w:color="auto" w:sz="4" w:space="0"/>
            </w:tcBorders>
            <w:noWrap w:val="0"/>
            <w:vAlign w:val="center"/>
          </w:tcPr>
          <w:p w14:paraId="752036E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厂界南侧△2</w:t>
            </w:r>
          </w:p>
        </w:tc>
        <w:tc>
          <w:tcPr>
            <w:tcW w:w="1701" w:type="dxa"/>
            <w:tcBorders>
              <w:top w:val="single" w:color="auto" w:sz="4" w:space="0"/>
              <w:left w:val="single" w:color="auto" w:sz="4" w:space="0"/>
              <w:bottom w:val="single" w:color="auto" w:sz="4" w:space="0"/>
              <w:right w:val="single" w:color="auto" w:sz="4" w:space="0"/>
            </w:tcBorders>
            <w:noWrap w:val="0"/>
            <w:vAlign w:val="center"/>
          </w:tcPr>
          <w:p w14:paraId="1EA8618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E</w:t>
            </w:r>
            <w:r>
              <w:rPr>
                <w:rFonts w:hint="default" w:ascii="Times New Roman" w:hAnsi="Times New Roman" w:eastAsia="宋体" w:cs="Times New Roman"/>
                <w:color w:val="FF0000"/>
                <w:kern w:val="0"/>
                <w:sz w:val="21"/>
                <w:szCs w:val="21"/>
                <w:highlight w:val="none"/>
              </w:rPr>
              <w:t>108°5</w:t>
            </w:r>
            <w:r>
              <w:rPr>
                <w:rFonts w:hint="default" w:ascii="Times New Roman" w:hAnsi="Times New Roman" w:eastAsia="宋体" w:cs="Times New Roman"/>
                <w:color w:val="FF0000"/>
                <w:kern w:val="0"/>
                <w:sz w:val="21"/>
                <w:szCs w:val="21"/>
                <w:highlight w:val="none"/>
                <w:lang w:val="en-US" w:eastAsia="zh-CN"/>
              </w:rPr>
              <w:t>6</w:t>
            </w:r>
            <w:r>
              <w:rPr>
                <w:rFonts w:hint="default" w:ascii="Times New Roman" w:hAnsi="Times New Roman" w:eastAsia="宋体" w:cs="Times New Roman"/>
                <w:color w:val="FF0000"/>
                <w:kern w:val="0"/>
                <w:sz w:val="21"/>
                <w:szCs w:val="21"/>
                <w:highlight w:val="none"/>
              </w:rPr>
              <w:t>′</w:t>
            </w:r>
            <w:r>
              <w:rPr>
                <w:rFonts w:hint="default" w:ascii="Times New Roman" w:hAnsi="Times New Roman" w:eastAsia="宋体" w:cs="Times New Roman"/>
                <w:color w:val="FF0000"/>
                <w:kern w:val="0"/>
                <w:sz w:val="21"/>
                <w:szCs w:val="21"/>
                <w:highlight w:val="none"/>
                <w:lang w:val="en-US" w:eastAsia="zh-CN"/>
              </w:rPr>
              <w:t>2.45</w:t>
            </w:r>
            <w:r>
              <w:rPr>
                <w:rFonts w:hint="default" w:ascii="Times New Roman" w:hAnsi="Times New Roman" w:eastAsia="宋体" w:cs="Times New Roman"/>
                <w:color w:val="FF0000"/>
                <w:kern w:val="0"/>
                <w:sz w:val="21"/>
                <w:szCs w:val="21"/>
                <w:highlight w:val="none"/>
              </w:rPr>
              <w:t>″</w:t>
            </w:r>
            <w:r>
              <w:rPr>
                <w:rFonts w:hint="default" w:ascii="Times New Roman" w:hAnsi="Times New Roman" w:eastAsia="宋体" w:cs="Times New Roman"/>
                <w:color w:val="FF0000"/>
                <w:kern w:val="0"/>
                <w:sz w:val="21"/>
                <w:szCs w:val="21"/>
                <w:highlight w:val="none"/>
                <w:lang w:eastAsia="zh-CN"/>
              </w:rPr>
              <w:t>；</w:t>
            </w:r>
            <w:r>
              <w:rPr>
                <w:rFonts w:hint="default" w:ascii="Times New Roman" w:hAnsi="Times New Roman" w:eastAsia="宋体" w:cs="Times New Roman"/>
                <w:color w:val="FF0000"/>
                <w:kern w:val="0"/>
                <w:sz w:val="21"/>
                <w:szCs w:val="21"/>
                <w:highlight w:val="none"/>
                <w:lang w:val="en-US" w:eastAsia="zh-CN"/>
              </w:rPr>
              <w:t>N</w:t>
            </w:r>
            <w:r>
              <w:rPr>
                <w:rFonts w:hint="default" w:ascii="Times New Roman" w:hAnsi="Times New Roman" w:eastAsia="宋体" w:cs="Times New Roman"/>
                <w:color w:val="FF0000"/>
                <w:kern w:val="0"/>
                <w:sz w:val="21"/>
                <w:szCs w:val="21"/>
                <w:highlight w:val="none"/>
              </w:rPr>
              <w:t>41°7′</w:t>
            </w:r>
            <w:r>
              <w:rPr>
                <w:rFonts w:hint="default" w:ascii="Times New Roman" w:hAnsi="Times New Roman" w:eastAsia="宋体" w:cs="Times New Roman"/>
                <w:color w:val="FF0000"/>
                <w:kern w:val="0"/>
                <w:sz w:val="21"/>
                <w:szCs w:val="21"/>
                <w:highlight w:val="none"/>
                <w:lang w:val="en-US" w:eastAsia="zh-CN"/>
              </w:rPr>
              <w:t>1.41</w:t>
            </w:r>
            <w:r>
              <w:rPr>
                <w:rFonts w:hint="default" w:ascii="Times New Roman" w:hAnsi="Times New Roman" w:eastAsia="宋体" w:cs="Times New Roman"/>
                <w:color w:val="FF0000"/>
                <w:kern w:val="0"/>
                <w:sz w:val="21"/>
                <w:szCs w:val="21"/>
                <w:highlight w:val="none"/>
              </w:rPr>
              <w:t>″</w:t>
            </w:r>
          </w:p>
        </w:tc>
        <w:tc>
          <w:tcPr>
            <w:tcW w:w="1182" w:type="dxa"/>
            <w:vMerge w:val="continue"/>
            <w:tcBorders>
              <w:top w:val="single" w:color="auto" w:sz="4" w:space="0"/>
              <w:left w:val="single" w:color="auto" w:sz="4" w:space="0"/>
              <w:bottom w:val="single" w:color="auto" w:sz="4" w:space="0"/>
              <w:right w:val="single" w:color="auto" w:sz="4" w:space="0"/>
            </w:tcBorders>
            <w:noWrap w:val="0"/>
            <w:vAlign w:val="center"/>
          </w:tcPr>
          <w:p w14:paraId="79272CB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182" w:type="dxa"/>
            <w:tcBorders>
              <w:top w:val="single" w:color="auto" w:sz="4" w:space="0"/>
              <w:left w:val="single" w:color="auto" w:sz="4" w:space="0"/>
              <w:bottom w:val="single" w:color="auto" w:sz="4" w:space="0"/>
              <w:right w:val="single" w:color="auto" w:sz="4" w:space="0"/>
            </w:tcBorders>
            <w:noWrap w:val="0"/>
            <w:vAlign w:val="center"/>
          </w:tcPr>
          <w:p w14:paraId="7B80B9C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27-1</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37</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406AAC5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51</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1464914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23</w:t>
            </w:r>
            <w:r>
              <w:rPr>
                <w:rFonts w:hint="default" w:ascii="Times New Roman" w:hAnsi="Times New Roman" w:eastAsia="宋体" w:cs="Times New Roman"/>
                <w:color w:val="auto"/>
                <w:sz w:val="21"/>
                <w:szCs w:val="21"/>
                <w:highlight w:val="none"/>
              </w:rPr>
              <w:t>-22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33</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678633B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w:t>
            </w:r>
          </w:p>
        </w:tc>
      </w:tr>
      <w:tr w14:paraId="5FDA2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tcBorders>
              <w:top w:val="single" w:color="auto" w:sz="4" w:space="0"/>
              <w:left w:val="single" w:color="auto" w:sz="4" w:space="0"/>
              <w:bottom w:val="single" w:color="auto" w:sz="4" w:space="0"/>
              <w:right w:val="single" w:color="auto" w:sz="4" w:space="0"/>
            </w:tcBorders>
            <w:noWrap w:val="0"/>
            <w:vAlign w:val="center"/>
          </w:tcPr>
          <w:p w14:paraId="5E2E146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厂界西北侧△3</w:t>
            </w:r>
          </w:p>
        </w:tc>
        <w:tc>
          <w:tcPr>
            <w:tcW w:w="1701" w:type="dxa"/>
            <w:tcBorders>
              <w:top w:val="single" w:color="auto" w:sz="4" w:space="0"/>
              <w:left w:val="single" w:color="auto" w:sz="4" w:space="0"/>
              <w:bottom w:val="single" w:color="auto" w:sz="4" w:space="0"/>
              <w:right w:val="single" w:color="auto" w:sz="4" w:space="0"/>
            </w:tcBorders>
            <w:noWrap w:val="0"/>
            <w:vAlign w:val="center"/>
          </w:tcPr>
          <w:p w14:paraId="486309D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E</w:t>
            </w:r>
            <w:r>
              <w:rPr>
                <w:rFonts w:hint="default" w:ascii="Times New Roman" w:hAnsi="Times New Roman" w:eastAsia="宋体" w:cs="Times New Roman"/>
                <w:color w:val="FF0000"/>
                <w:kern w:val="0"/>
                <w:sz w:val="21"/>
                <w:szCs w:val="21"/>
                <w:highlight w:val="none"/>
              </w:rPr>
              <w:t>108°5</w:t>
            </w:r>
            <w:r>
              <w:rPr>
                <w:rFonts w:hint="default" w:ascii="Times New Roman" w:hAnsi="Times New Roman" w:eastAsia="宋体" w:cs="Times New Roman"/>
                <w:color w:val="FF0000"/>
                <w:kern w:val="0"/>
                <w:sz w:val="21"/>
                <w:szCs w:val="21"/>
                <w:highlight w:val="none"/>
                <w:lang w:val="en-US" w:eastAsia="zh-CN"/>
              </w:rPr>
              <w:t>5</w:t>
            </w:r>
            <w:r>
              <w:rPr>
                <w:rFonts w:hint="default" w:ascii="Times New Roman" w:hAnsi="Times New Roman" w:eastAsia="宋体" w:cs="Times New Roman"/>
                <w:color w:val="FF0000"/>
                <w:kern w:val="0"/>
                <w:sz w:val="21"/>
                <w:szCs w:val="21"/>
                <w:highlight w:val="none"/>
              </w:rPr>
              <w:t>′</w:t>
            </w:r>
            <w:r>
              <w:rPr>
                <w:rFonts w:hint="default" w:ascii="Times New Roman" w:hAnsi="Times New Roman" w:eastAsia="宋体" w:cs="Times New Roman"/>
                <w:color w:val="FF0000"/>
                <w:kern w:val="0"/>
                <w:sz w:val="21"/>
                <w:szCs w:val="21"/>
                <w:highlight w:val="none"/>
                <w:lang w:val="en-US" w:eastAsia="zh-CN"/>
              </w:rPr>
              <w:t>51.08</w:t>
            </w:r>
            <w:r>
              <w:rPr>
                <w:rFonts w:hint="default" w:ascii="Times New Roman" w:hAnsi="Times New Roman" w:eastAsia="宋体" w:cs="Times New Roman"/>
                <w:color w:val="FF0000"/>
                <w:kern w:val="0"/>
                <w:sz w:val="21"/>
                <w:szCs w:val="21"/>
                <w:highlight w:val="none"/>
              </w:rPr>
              <w:t>″</w:t>
            </w:r>
            <w:r>
              <w:rPr>
                <w:rFonts w:hint="default" w:ascii="Times New Roman" w:hAnsi="Times New Roman" w:eastAsia="宋体" w:cs="Times New Roman"/>
                <w:color w:val="FF0000"/>
                <w:kern w:val="0"/>
                <w:sz w:val="21"/>
                <w:szCs w:val="21"/>
                <w:highlight w:val="none"/>
                <w:lang w:eastAsia="zh-CN"/>
              </w:rPr>
              <w:t>；</w:t>
            </w:r>
            <w:r>
              <w:rPr>
                <w:rFonts w:hint="default" w:ascii="Times New Roman" w:hAnsi="Times New Roman" w:eastAsia="宋体" w:cs="Times New Roman"/>
                <w:color w:val="FF0000"/>
                <w:kern w:val="0"/>
                <w:sz w:val="21"/>
                <w:szCs w:val="21"/>
                <w:highlight w:val="none"/>
                <w:lang w:val="en-US" w:eastAsia="zh-CN"/>
              </w:rPr>
              <w:t>N</w:t>
            </w:r>
            <w:r>
              <w:rPr>
                <w:rFonts w:hint="default" w:ascii="Times New Roman" w:hAnsi="Times New Roman" w:eastAsia="宋体" w:cs="Times New Roman"/>
                <w:color w:val="FF0000"/>
                <w:kern w:val="0"/>
                <w:sz w:val="21"/>
                <w:szCs w:val="21"/>
                <w:highlight w:val="none"/>
              </w:rPr>
              <w:t>41°7′</w:t>
            </w:r>
            <w:r>
              <w:rPr>
                <w:rFonts w:hint="default" w:ascii="Times New Roman" w:hAnsi="Times New Roman" w:eastAsia="宋体" w:cs="Times New Roman"/>
                <w:color w:val="FF0000"/>
                <w:kern w:val="0"/>
                <w:sz w:val="21"/>
                <w:szCs w:val="21"/>
                <w:highlight w:val="none"/>
                <w:lang w:val="en-US" w:eastAsia="zh-CN"/>
              </w:rPr>
              <w:t>13.83</w:t>
            </w:r>
            <w:r>
              <w:rPr>
                <w:rFonts w:hint="default" w:ascii="Times New Roman" w:hAnsi="Times New Roman" w:eastAsia="宋体" w:cs="Times New Roman"/>
                <w:color w:val="FF0000"/>
                <w:kern w:val="0"/>
                <w:sz w:val="21"/>
                <w:szCs w:val="21"/>
                <w:highlight w:val="none"/>
              </w:rPr>
              <w:t>″</w:t>
            </w:r>
          </w:p>
        </w:tc>
        <w:tc>
          <w:tcPr>
            <w:tcW w:w="1182" w:type="dxa"/>
            <w:vMerge w:val="continue"/>
            <w:tcBorders>
              <w:top w:val="single" w:color="auto" w:sz="4" w:space="0"/>
              <w:left w:val="single" w:color="auto" w:sz="4" w:space="0"/>
              <w:bottom w:val="single" w:color="auto" w:sz="4" w:space="0"/>
              <w:right w:val="single" w:color="auto" w:sz="4" w:space="0"/>
            </w:tcBorders>
            <w:noWrap w:val="0"/>
            <w:vAlign w:val="center"/>
          </w:tcPr>
          <w:p w14:paraId="040C01B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182" w:type="dxa"/>
            <w:tcBorders>
              <w:top w:val="single" w:color="auto" w:sz="4" w:space="0"/>
              <w:left w:val="single" w:color="auto" w:sz="4" w:space="0"/>
              <w:bottom w:val="single" w:color="auto" w:sz="4" w:space="0"/>
              <w:right w:val="single" w:color="auto" w:sz="4" w:space="0"/>
            </w:tcBorders>
            <w:noWrap w:val="0"/>
            <w:vAlign w:val="center"/>
          </w:tcPr>
          <w:p w14:paraId="0B67059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42-1</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52</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08E6DCA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78EE887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22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39</w:t>
            </w:r>
            <w:r>
              <w:rPr>
                <w:rFonts w:hint="default" w:ascii="Times New Roman" w:hAnsi="Times New Roman" w:eastAsia="宋体" w:cs="Times New Roman"/>
                <w:color w:val="auto"/>
                <w:sz w:val="21"/>
                <w:szCs w:val="21"/>
                <w:highlight w:val="none"/>
              </w:rPr>
              <w:t>-22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4</w:t>
            </w:r>
            <w:r>
              <w:rPr>
                <w:rFonts w:hint="default" w:ascii="Times New Roman" w:hAnsi="Times New Roman" w:eastAsia="宋体" w:cs="Times New Roman"/>
                <w:color w:val="auto"/>
                <w:sz w:val="21"/>
                <w:szCs w:val="21"/>
                <w:highlight w:val="none"/>
                <w:lang w:val="en-US" w:eastAsia="zh-CN"/>
              </w:rPr>
              <w:t>9</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00EF295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42</w:t>
            </w:r>
          </w:p>
        </w:tc>
      </w:tr>
      <w:tr w14:paraId="04394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tcBorders>
              <w:top w:val="single" w:color="auto" w:sz="4" w:space="0"/>
              <w:left w:val="single" w:color="auto" w:sz="4" w:space="0"/>
              <w:bottom w:val="single" w:color="auto" w:sz="4" w:space="0"/>
              <w:right w:val="single" w:color="auto" w:sz="4" w:space="0"/>
            </w:tcBorders>
            <w:noWrap w:val="0"/>
            <w:vAlign w:val="center"/>
          </w:tcPr>
          <w:p w14:paraId="57CECBF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厂界北侧△4</w:t>
            </w:r>
          </w:p>
        </w:tc>
        <w:tc>
          <w:tcPr>
            <w:tcW w:w="1701" w:type="dxa"/>
            <w:tcBorders>
              <w:top w:val="single" w:color="auto" w:sz="4" w:space="0"/>
              <w:left w:val="single" w:color="auto" w:sz="4" w:space="0"/>
              <w:bottom w:val="single" w:color="auto" w:sz="4" w:space="0"/>
              <w:right w:val="single" w:color="auto" w:sz="4" w:space="0"/>
            </w:tcBorders>
            <w:noWrap w:val="0"/>
            <w:vAlign w:val="center"/>
          </w:tcPr>
          <w:p w14:paraId="68F4514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rPr>
              <w:t>E</w:t>
            </w:r>
            <w:r>
              <w:rPr>
                <w:rFonts w:hint="default" w:ascii="Times New Roman" w:hAnsi="Times New Roman" w:eastAsia="宋体" w:cs="Times New Roman"/>
                <w:color w:val="FF0000"/>
                <w:kern w:val="0"/>
                <w:sz w:val="21"/>
                <w:szCs w:val="21"/>
                <w:highlight w:val="none"/>
              </w:rPr>
              <w:t>108°5</w:t>
            </w:r>
            <w:r>
              <w:rPr>
                <w:rFonts w:hint="default" w:ascii="Times New Roman" w:hAnsi="Times New Roman" w:eastAsia="宋体" w:cs="Times New Roman"/>
                <w:color w:val="FF0000"/>
                <w:kern w:val="0"/>
                <w:sz w:val="21"/>
                <w:szCs w:val="21"/>
                <w:highlight w:val="none"/>
                <w:lang w:val="en-US" w:eastAsia="zh-CN"/>
              </w:rPr>
              <w:t>6</w:t>
            </w:r>
            <w:r>
              <w:rPr>
                <w:rFonts w:hint="default" w:ascii="Times New Roman" w:hAnsi="Times New Roman" w:eastAsia="宋体" w:cs="Times New Roman"/>
                <w:color w:val="FF0000"/>
                <w:kern w:val="0"/>
                <w:sz w:val="21"/>
                <w:szCs w:val="21"/>
                <w:highlight w:val="none"/>
              </w:rPr>
              <w:t>′</w:t>
            </w:r>
            <w:r>
              <w:rPr>
                <w:rFonts w:hint="default" w:ascii="Times New Roman" w:hAnsi="Times New Roman" w:eastAsia="宋体" w:cs="Times New Roman"/>
                <w:color w:val="FF0000"/>
                <w:kern w:val="0"/>
                <w:sz w:val="21"/>
                <w:szCs w:val="21"/>
                <w:highlight w:val="none"/>
                <w:lang w:val="en-US" w:eastAsia="zh-CN"/>
              </w:rPr>
              <w:t>6.73</w:t>
            </w:r>
            <w:r>
              <w:rPr>
                <w:rFonts w:hint="default" w:ascii="Times New Roman" w:hAnsi="Times New Roman" w:eastAsia="宋体" w:cs="Times New Roman"/>
                <w:color w:val="FF0000"/>
                <w:kern w:val="0"/>
                <w:sz w:val="21"/>
                <w:szCs w:val="21"/>
                <w:highlight w:val="none"/>
              </w:rPr>
              <w:t>″</w:t>
            </w:r>
            <w:r>
              <w:rPr>
                <w:rFonts w:hint="default" w:ascii="Times New Roman" w:hAnsi="Times New Roman" w:eastAsia="宋体" w:cs="Times New Roman"/>
                <w:color w:val="FF0000"/>
                <w:kern w:val="0"/>
                <w:sz w:val="21"/>
                <w:szCs w:val="21"/>
                <w:highlight w:val="none"/>
                <w:lang w:eastAsia="zh-CN"/>
              </w:rPr>
              <w:t>；</w:t>
            </w:r>
            <w:r>
              <w:rPr>
                <w:rFonts w:hint="default" w:ascii="Times New Roman" w:hAnsi="Times New Roman" w:eastAsia="宋体" w:cs="Times New Roman"/>
                <w:color w:val="FF0000"/>
                <w:kern w:val="0"/>
                <w:sz w:val="21"/>
                <w:szCs w:val="21"/>
                <w:highlight w:val="none"/>
                <w:lang w:val="en-US" w:eastAsia="zh-CN"/>
              </w:rPr>
              <w:t>N</w:t>
            </w:r>
            <w:r>
              <w:rPr>
                <w:rFonts w:hint="default" w:ascii="Times New Roman" w:hAnsi="Times New Roman" w:eastAsia="宋体" w:cs="Times New Roman"/>
                <w:color w:val="FF0000"/>
                <w:kern w:val="0"/>
                <w:sz w:val="21"/>
                <w:szCs w:val="21"/>
                <w:highlight w:val="none"/>
              </w:rPr>
              <w:t>41°7′</w:t>
            </w:r>
            <w:r>
              <w:rPr>
                <w:rFonts w:hint="default" w:ascii="Times New Roman" w:hAnsi="Times New Roman" w:eastAsia="宋体" w:cs="Times New Roman"/>
                <w:color w:val="FF0000"/>
                <w:kern w:val="0"/>
                <w:sz w:val="21"/>
                <w:szCs w:val="21"/>
                <w:highlight w:val="none"/>
                <w:lang w:val="en-US" w:eastAsia="zh-CN"/>
              </w:rPr>
              <w:t>11.40</w:t>
            </w:r>
            <w:r>
              <w:rPr>
                <w:rFonts w:hint="default" w:ascii="Times New Roman" w:hAnsi="Times New Roman" w:eastAsia="宋体" w:cs="Times New Roman"/>
                <w:color w:val="FF0000"/>
                <w:kern w:val="0"/>
                <w:sz w:val="21"/>
                <w:szCs w:val="21"/>
                <w:highlight w:val="none"/>
              </w:rPr>
              <w:t>″</w:t>
            </w:r>
          </w:p>
        </w:tc>
        <w:tc>
          <w:tcPr>
            <w:tcW w:w="1182" w:type="dxa"/>
            <w:vMerge w:val="continue"/>
            <w:tcBorders>
              <w:top w:val="single" w:color="auto" w:sz="4" w:space="0"/>
              <w:left w:val="single" w:color="auto" w:sz="4" w:space="0"/>
              <w:bottom w:val="single" w:color="auto" w:sz="4" w:space="0"/>
              <w:right w:val="single" w:color="auto" w:sz="4" w:space="0"/>
            </w:tcBorders>
            <w:noWrap w:val="0"/>
            <w:vAlign w:val="center"/>
          </w:tcPr>
          <w:p w14:paraId="36BE303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182" w:type="dxa"/>
            <w:tcBorders>
              <w:top w:val="single" w:color="auto" w:sz="4" w:space="0"/>
              <w:left w:val="single" w:color="auto" w:sz="4" w:space="0"/>
              <w:bottom w:val="single" w:color="auto" w:sz="4" w:space="0"/>
              <w:right w:val="single" w:color="auto" w:sz="4" w:space="0"/>
            </w:tcBorders>
            <w:noWrap w:val="0"/>
            <w:vAlign w:val="center"/>
          </w:tcPr>
          <w:p w14:paraId="5B2BD15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58-1</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08</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2CA82AB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1CFAE0F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53</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03</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6BE741D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w:t>
            </w:r>
          </w:p>
        </w:tc>
      </w:tr>
      <w:tr w14:paraId="0D80B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2" w:type="dxa"/>
            <w:tcBorders>
              <w:top w:val="single" w:color="auto" w:sz="4" w:space="0"/>
              <w:left w:val="single" w:color="auto" w:sz="4" w:space="0"/>
              <w:bottom w:val="single" w:color="auto" w:sz="4" w:space="0"/>
              <w:right w:val="single" w:color="auto" w:sz="4" w:space="0"/>
            </w:tcBorders>
            <w:noWrap w:val="0"/>
            <w:vAlign w:val="center"/>
          </w:tcPr>
          <w:p w14:paraId="56E0D0E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南侧敏感点△5</w:t>
            </w:r>
          </w:p>
        </w:tc>
        <w:tc>
          <w:tcPr>
            <w:tcW w:w="1701" w:type="dxa"/>
            <w:tcBorders>
              <w:top w:val="single" w:color="auto" w:sz="4" w:space="0"/>
              <w:left w:val="single" w:color="auto" w:sz="4" w:space="0"/>
              <w:bottom w:val="single" w:color="auto" w:sz="4" w:space="0"/>
              <w:right w:val="single" w:color="auto" w:sz="4" w:space="0"/>
            </w:tcBorders>
            <w:noWrap w:val="0"/>
            <w:vAlign w:val="center"/>
          </w:tcPr>
          <w:p w14:paraId="3CCB7EC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kern w:val="0"/>
                <w:sz w:val="21"/>
                <w:szCs w:val="21"/>
                <w:highlight w:val="none"/>
                <w:lang w:val="en-US" w:eastAsia="zh-CN"/>
              </w:rPr>
              <w:t>E</w:t>
            </w:r>
            <w:r>
              <w:rPr>
                <w:rFonts w:hint="default" w:ascii="Times New Roman" w:hAnsi="Times New Roman" w:eastAsia="宋体" w:cs="Times New Roman"/>
                <w:color w:val="FF0000"/>
                <w:kern w:val="0"/>
                <w:sz w:val="21"/>
                <w:szCs w:val="21"/>
                <w:highlight w:val="none"/>
              </w:rPr>
              <w:t>108°55′5</w:t>
            </w:r>
            <w:r>
              <w:rPr>
                <w:rFonts w:hint="default" w:ascii="Times New Roman" w:hAnsi="Times New Roman" w:eastAsia="宋体" w:cs="Times New Roman"/>
                <w:color w:val="FF0000"/>
                <w:kern w:val="0"/>
                <w:sz w:val="21"/>
                <w:szCs w:val="21"/>
                <w:highlight w:val="none"/>
                <w:lang w:val="en-US" w:eastAsia="zh-CN"/>
              </w:rPr>
              <w:t>2.02</w:t>
            </w:r>
            <w:r>
              <w:rPr>
                <w:rFonts w:hint="default" w:ascii="Times New Roman" w:hAnsi="Times New Roman" w:eastAsia="宋体" w:cs="Times New Roman"/>
                <w:color w:val="FF0000"/>
                <w:kern w:val="0"/>
                <w:sz w:val="21"/>
                <w:szCs w:val="21"/>
                <w:highlight w:val="none"/>
              </w:rPr>
              <w:t>″</w:t>
            </w:r>
            <w:r>
              <w:rPr>
                <w:rFonts w:hint="default" w:ascii="Times New Roman" w:hAnsi="Times New Roman" w:eastAsia="宋体" w:cs="Times New Roman"/>
                <w:color w:val="FF0000"/>
                <w:kern w:val="0"/>
                <w:sz w:val="21"/>
                <w:szCs w:val="21"/>
                <w:highlight w:val="none"/>
                <w:lang w:eastAsia="zh-CN"/>
              </w:rPr>
              <w:t>；</w:t>
            </w:r>
            <w:r>
              <w:rPr>
                <w:rFonts w:hint="default" w:ascii="Times New Roman" w:hAnsi="Times New Roman" w:eastAsia="宋体" w:cs="Times New Roman"/>
                <w:color w:val="FF0000"/>
                <w:kern w:val="0"/>
                <w:sz w:val="21"/>
                <w:szCs w:val="21"/>
                <w:highlight w:val="none"/>
                <w:lang w:val="en-US" w:eastAsia="zh-CN"/>
              </w:rPr>
              <w:t>N</w:t>
            </w:r>
            <w:r>
              <w:rPr>
                <w:rFonts w:hint="default" w:ascii="Times New Roman" w:hAnsi="Times New Roman" w:eastAsia="宋体" w:cs="Times New Roman"/>
                <w:color w:val="FF0000"/>
                <w:kern w:val="0"/>
                <w:sz w:val="21"/>
                <w:szCs w:val="21"/>
                <w:highlight w:val="none"/>
              </w:rPr>
              <w:t>41°</w:t>
            </w:r>
            <w:r>
              <w:rPr>
                <w:rFonts w:hint="default" w:ascii="Times New Roman" w:hAnsi="Times New Roman" w:eastAsia="宋体" w:cs="Times New Roman"/>
                <w:color w:val="FF0000"/>
                <w:kern w:val="0"/>
                <w:sz w:val="21"/>
                <w:szCs w:val="21"/>
                <w:highlight w:val="none"/>
                <w:lang w:val="en-US" w:eastAsia="zh-CN"/>
              </w:rPr>
              <w:t>6</w:t>
            </w:r>
            <w:r>
              <w:rPr>
                <w:rFonts w:hint="default" w:ascii="Times New Roman" w:hAnsi="Times New Roman" w:eastAsia="宋体" w:cs="Times New Roman"/>
                <w:color w:val="FF0000"/>
                <w:kern w:val="0"/>
                <w:sz w:val="21"/>
                <w:szCs w:val="21"/>
                <w:highlight w:val="none"/>
              </w:rPr>
              <w:t>′</w:t>
            </w:r>
            <w:r>
              <w:rPr>
                <w:rFonts w:hint="default" w:ascii="Times New Roman" w:hAnsi="Times New Roman" w:eastAsia="宋体" w:cs="Times New Roman"/>
                <w:color w:val="FF0000"/>
                <w:kern w:val="0"/>
                <w:sz w:val="21"/>
                <w:szCs w:val="21"/>
                <w:highlight w:val="none"/>
                <w:lang w:val="en-US" w:eastAsia="zh-CN"/>
              </w:rPr>
              <w:t>59.93</w:t>
            </w:r>
            <w:r>
              <w:rPr>
                <w:rFonts w:hint="default" w:ascii="Times New Roman" w:hAnsi="Times New Roman" w:eastAsia="宋体" w:cs="Times New Roman"/>
                <w:color w:val="FF0000"/>
                <w:kern w:val="0"/>
                <w:sz w:val="21"/>
                <w:szCs w:val="21"/>
                <w:highlight w:val="none"/>
              </w:rPr>
              <w:t>″</w:t>
            </w:r>
          </w:p>
        </w:tc>
        <w:tc>
          <w:tcPr>
            <w:tcW w:w="1182" w:type="dxa"/>
            <w:vMerge w:val="continue"/>
            <w:tcBorders>
              <w:top w:val="single" w:color="auto" w:sz="4" w:space="0"/>
              <w:left w:val="single" w:color="auto" w:sz="4" w:space="0"/>
              <w:bottom w:val="single" w:color="auto" w:sz="4" w:space="0"/>
              <w:right w:val="single" w:color="auto" w:sz="4" w:space="0"/>
            </w:tcBorders>
            <w:noWrap w:val="0"/>
            <w:vAlign w:val="center"/>
          </w:tcPr>
          <w:p w14:paraId="7A69584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182" w:type="dxa"/>
            <w:tcBorders>
              <w:top w:val="single" w:color="auto" w:sz="4" w:space="0"/>
              <w:left w:val="single" w:color="auto" w:sz="4" w:space="0"/>
              <w:bottom w:val="single" w:color="auto" w:sz="4" w:space="0"/>
              <w:right w:val="single" w:color="auto" w:sz="4" w:space="0"/>
            </w:tcBorders>
            <w:noWrap w:val="0"/>
            <w:vAlign w:val="center"/>
          </w:tcPr>
          <w:p w14:paraId="55521C3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12-1</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22</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7689488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51</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3648AB2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23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rPr>
              <w:t>-23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9</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16900D6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42</w:t>
            </w:r>
          </w:p>
        </w:tc>
      </w:tr>
      <w:tr w14:paraId="23E79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1" w:type="dxa"/>
            <w:gridSpan w:val="3"/>
            <w:tcBorders>
              <w:top w:val="single" w:color="auto" w:sz="4" w:space="0"/>
              <w:left w:val="single" w:color="auto" w:sz="4" w:space="0"/>
              <w:bottom w:val="single" w:color="auto" w:sz="4" w:space="0"/>
              <w:right w:val="single" w:color="auto" w:sz="4" w:space="0"/>
            </w:tcBorders>
            <w:noWrap w:val="0"/>
            <w:vAlign w:val="center"/>
          </w:tcPr>
          <w:p w14:paraId="71817E0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C000"/>
                <w:sz w:val="21"/>
                <w:szCs w:val="21"/>
                <w:highlight w:val="none"/>
              </w:rPr>
            </w:pPr>
            <w:r>
              <w:rPr>
                <w:rFonts w:hint="default" w:ascii="Times New Roman" w:hAnsi="Times New Roman" w:eastAsia="宋体" w:cs="Times New Roman"/>
                <w:color w:val="FFC000"/>
                <w:sz w:val="21"/>
                <w:szCs w:val="21"/>
                <w:highlight w:val="none"/>
              </w:rPr>
              <w:t>限值</w:t>
            </w:r>
          </w:p>
        </w:tc>
        <w:tc>
          <w:tcPr>
            <w:tcW w:w="1182" w:type="dxa"/>
            <w:tcBorders>
              <w:top w:val="single" w:color="auto" w:sz="4" w:space="0"/>
              <w:left w:val="single" w:color="auto" w:sz="4" w:space="0"/>
              <w:bottom w:val="single" w:color="auto" w:sz="4" w:space="0"/>
              <w:right w:val="single" w:color="auto" w:sz="4" w:space="0"/>
            </w:tcBorders>
            <w:noWrap w:val="0"/>
            <w:vAlign w:val="center"/>
          </w:tcPr>
          <w:p w14:paraId="5AE705A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C000"/>
                <w:sz w:val="21"/>
                <w:szCs w:val="21"/>
                <w:highlight w:val="none"/>
              </w:rPr>
            </w:pPr>
          </w:p>
        </w:tc>
        <w:tc>
          <w:tcPr>
            <w:tcW w:w="1183" w:type="dxa"/>
            <w:tcBorders>
              <w:top w:val="single" w:color="auto" w:sz="4" w:space="0"/>
              <w:left w:val="single" w:color="auto" w:sz="4" w:space="0"/>
              <w:bottom w:val="single" w:color="auto" w:sz="4" w:space="0"/>
              <w:right w:val="single" w:color="auto" w:sz="4" w:space="0"/>
            </w:tcBorders>
            <w:noWrap w:val="0"/>
            <w:vAlign w:val="center"/>
          </w:tcPr>
          <w:p w14:paraId="56CB8B8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C000"/>
                <w:sz w:val="21"/>
                <w:szCs w:val="21"/>
                <w:highlight w:val="none"/>
                <w:lang w:val="en-US" w:eastAsia="zh-CN"/>
              </w:rPr>
            </w:pPr>
            <w:r>
              <w:rPr>
                <w:rFonts w:hint="default" w:ascii="Times New Roman" w:hAnsi="Times New Roman" w:eastAsia="宋体" w:cs="Times New Roman"/>
                <w:color w:val="FFC000"/>
                <w:sz w:val="21"/>
                <w:szCs w:val="21"/>
                <w:highlight w:val="none"/>
                <w:lang w:val="en-US" w:eastAsia="zh-CN"/>
              </w:rPr>
              <w:t>55</w:t>
            </w:r>
          </w:p>
        </w:tc>
        <w:tc>
          <w:tcPr>
            <w:tcW w:w="1183" w:type="dxa"/>
            <w:tcBorders>
              <w:top w:val="single" w:color="auto" w:sz="4" w:space="0"/>
              <w:left w:val="single" w:color="auto" w:sz="4" w:space="0"/>
              <w:bottom w:val="single" w:color="auto" w:sz="4" w:space="0"/>
              <w:right w:val="single" w:color="auto" w:sz="4" w:space="0"/>
            </w:tcBorders>
            <w:noWrap w:val="0"/>
            <w:vAlign w:val="center"/>
          </w:tcPr>
          <w:p w14:paraId="4452E00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C000"/>
                <w:sz w:val="21"/>
                <w:szCs w:val="21"/>
                <w:highlight w:val="none"/>
              </w:rPr>
            </w:pPr>
          </w:p>
        </w:tc>
        <w:tc>
          <w:tcPr>
            <w:tcW w:w="1183" w:type="dxa"/>
            <w:tcBorders>
              <w:top w:val="single" w:color="auto" w:sz="4" w:space="0"/>
              <w:left w:val="single" w:color="auto" w:sz="4" w:space="0"/>
              <w:bottom w:val="single" w:color="auto" w:sz="4" w:space="0"/>
              <w:right w:val="single" w:color="auto" w:sz="4" w:space="0"/>
            </w:tcBorders>
            <w:noWrap w:val="0"/>
            <w:vAlign w:val="center"/>
          </w:tcPr>
          <w:p w14:paraId="25D421D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C000"/>
                <w:sz w:val="21"/>
                <w:szCs w:val="21"/>
                <w:highlight w:val="none"/>
                <w:lang w:val="en-US" w:eastAsia="zh-CN"/>
              </w:rPr>
            </w:pPr>
            <w:r>
              <w:rPr>
                <w:rFonts w:hint="default" w:ascii="Times New Roman" w:hAnsi="Times New Roman" w:eastAsia="宋体" w:cs="Times New Roman"/>
                <w:color w:val="FFC000"/>
                <w:sz w:val="21"/>
                <w:szCs w:val="21"/>
                <w:highlight w:val="none"/>
                <w:lang w:val="en-US" w:eastAsia="zh-CN"/>
              </w:rPr>
              <w:t>45</w:t>
            </w:r>
          </w:p>
        </w:tc>
      </w:tr>
      <w:tr w14:paraId="12EF9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1" w:type="dxa"/>
            <w:gridSpan w:val="3"/>
            <w:tcBorders>
              <w:top w:val="single" w:color="auto" w:sz="4" w:space="0"/>
              <w:left w:val="single" w:color="auto" w:sz="4" w:space="0"/>
              <w:bottom w:val="single" w:color="auto" w:sz="4" w:space="0"/>
              <w:right w:val="single" w:color="auto" w:sz="4" w:space="0"/>
            </w:tcBorders>
            <w:noWrap w:val="0"/>
            <w:vAlign w:val="center"/>
          </w:tcPr>
          <w:p w14:paraId="31A0840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C000"/>
                <w:sz w:val="21"/>
                <w:szCs w:val="21"/>
                <w:highlight w:val="none"/>
              </w:rPr>
            </w:pPr>
            <w:r>
              <w:rPr>
                <w:rFonts w:hint="default" w:ascii="Times New Roman" w:hAnsi="Times New Roman" w:eastAsia="宋体" w:cs="Times New Roman"/>
                <w:color w:val="FFC000"/>
                <w:sz w:val="21"/>
                <w:szCs w:val="21"/>
                <w:highlight w:val="none"/>
              </w:rPr>
              <w:t>执行标准</w:t>
            </w:r>
          </w:p>
        </w:tc>
        <w:tc>
          <w:tcPr>
            <w:tcW w:w="4731" w:type="dxa"/>
            <w:gridSpan w:val="4"/>
            <w:tcBorders>
              <w:top w:val="single" w:color="auto" w:sz="4" w:space="0"/>
              <w:left w:val="single" w:color="auto" w:sz="4" w:space="0"/>
              <w:bottom w:val="single" w:color="auto" w:sz="4" w:space="0"/>
              <w:right w:val="single" w:color="auto" w:sz="4" w:space="0"/>
            </w:tcBorders>
            <w:noWrap w:val="0"/>
            <w:vAlign w:val="center"/>
          </w:tcPr>
          <w:p w14:paraId="1CEB31F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C000"/>
                <w:sz w:val="21"/>
                <w:szCs w:val="21"/>
                <w:highlight w:val="none"/>
                <w:lang w:val="en-US" w:eastAsia="zh-CN"/>
              </w:rPr>
            </w:pPr>
            <w:r>
              <w:rPr>
                <w:rFonts w:hint="default" w:ascii="Times New Roman" w:hAnsi="Times New Roman" w:eastAsia="宋体" w:cs="Times New Roman"/>
                <w:color w:val="FFC000"/>
                <w:sz w:val="21"/>
                <w:szCs w:val="21"/>
                <w:highlight w:val="none"/>
              </w:rPr>
              <w:t>《声环境质量标准》（GB3096-2008）中</w:t>
            </w:r>
            <w:r>
              <w:rPr>
                <w:rFonts w:hint="default" w:ascii="Times New Roman" w:hAnsi="Times New Roman" w:eastAsia="宋体" w:cs="Times New Roman"/>
                <w:color w:val="FFC000"/>
                <w:sz w:val="21"/>
                <w:szCs w:val="21"/>
                <w:highlight w:val="none"/>
                <w:lang w:val="en-US" w:eastAsia="zh-CN"/>
              </w:rPr>
              <w:t>1</w:t>
            </w:r>
            <w:r>
              <w:rPr>
                <w:rFonts w:hint="default" w:ascii="Times New Roman" w:hAnsi="Times New Roman" w:eastAsia="宋体" w:cs="Times New Roman"/>
                <w:color w:val="FFC000"/>
                <w:sz w:val="21"/>
                <w:szCs w:val="21"/>
                <w:highlight w:val="none"/>
              </w:rPr>
              <w:t>类标准</w:t>
            </w:r>
          </w:p>
        </w:tc>
      </w:tr>
    </w:tbl>
    <w:p w14:paraId="581FC201">
      <w:pPr>
        <w:pStyle w:val="6"/>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4.2.4.5声环境质量现状评价</w:t>
      </w:r>
    </w:p>
    <w:p w14:paraId="0776633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C000"/>
          <w:highlight w:val="none"/>
        </w:rPr>
      </w:pPr>
      <w:r>
        <w:rPr>
          <w:rFonts w:hint="default" w:ascii="Times New Roman" w:hAnsi="Times New Roman" w:eastAsia="宋体" w:cs="Times New Roman"/>
          <w:color w:val="FFC000"/>
          <w:highlight w:val="none"/>
        </w:rPr>
        <w:t>1）评价标准</w:t>
      </w:r>
    </w:p>
    <w:p w14:paraId="0F7E9CB7">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C000"/>
          <w:highlight w:val="none"/>
          <w:lang w:eastAsia="zh-CN"/>
        </w:rPr>
      </w:pPr>
      <w:r>
        <w:rPr>
          <w:rFonts w:hint="default" w:ascii="Times New Roman" w:hAnsi="Times New Roman" w:eastAsia="宋体" w:cs="Times New Roman"/>
          <w:color w:val="FFC000"/>
          <w:highlight w:val="none"/>
        </w:rPr>
        <w:t>根据项目区域的环境特征，声环境现状评价依据《声环境质量标准》（GB3096</w:t>
      </w:r>
      <w:r>
        <w:rPr>
          <w:rFonts w:hint="default" w:ascii="Times New Roman" w:hAnsi="Times New Roman" w:eastAsia="宋体" w:cs="Times New Roman"/>
          <w:color w:val="FFC000"/>
          <w:highlight w:val="none"/>
          <w:lang w:eastAsia="zh-CN"/>
        </w:rPr>
        <w:t>-</w:t>
      </w:r>
      <w:r>
        <w:rPr>
          <w:rFonts w:hint="default" w:ascii="Times New Roman" w:hAnsi="Times New Roman" w:eastAsia="宋体" w:cs="Times New Roman"/>
          <w:color w:val="FFC000"/>
          <w:highlight w:val="none"/>
        </w:rPr>
        <w:t>2008）中的</w:t>
      </w:r>
      <w:r>
        <w:rPr>
          <w:rFonts w:hint="default" w:ascii="Times New Roman" w:hAnsi="Times New Roman" w:eastAsia="宋体" w:cs="Times New Roman"/>
          <w:color w:val="FFC000"/>
          <w:highlight w:val="none"/>
          <w:lang w:val="en-US" w:eastAsia="zh-CN"/>
        </w:rPr>
        <w:t>1</w:t>
      </w:r>
      <w:r>
        <w:rPr>
          <w:rFonts w:hint="default" w:ascii="Times New Roman" w:hAnsi="Times New Roman" w:eastAsia="宋体" w:cs="Times New Roman"/>
          <w:color w:val="FFC000"/>
          <w:highlight w:val="none"/>
        </w:rPr>
        <w:t>类区标准：昼间</w:t>
      </w:r>
      <w:r>
        <w:rPr>
          <w:rFonts w:hint="default" w:ascii="Times New Roman" w:hAnsi="Times New Roman" w:eastAsia="宋体" w:cs="Times New Roman"/>
          <w:color w:val="FFC000"/>
          <w:highlight w:val="none"/>
          <w:lang w:val="en-US" w:eastAsia="zh-CN"/>
        </w:rPr>
        <w:t>55</w:t>
      </w:r>
      <w:r>
        <w:rPr>
          <w:rFonts w:hint="default" w:ascii="Times New Roman" w:hAnsi="Times New Roman" w:eastAsia="宋体" w:cs="Times New Roman"/>
          <w:color w:val="FFC000"/>
          <w:highlight w:val="none"/>
        </w:rPr>
        <w:t>dB</w:t>
      </w:r>
      <w:r>
        <w:rPr>
          <w:rFonts w:hint="default" w:ascii="Times New Roman" w:hAnsi="Times New Roman" w:eastAsia="宋体" w:cs="Times New Roman"/>
          <w:color w:val="FFC000"/>
          <w:highlight w:val="none"/>
          <w:lang w:eastAsia="zh-CN"/>
        </w:rPr>
        <w:t>（</w:t>
      </w:r>
      <w:r>
        <w:rPr>
          <w:rFonts w:hint="default" w:ascii="Times New Roman" w:hAnsi="Times New Roman" w:eastAsia="宋体" w:cs="Times New Roman"/>
          <w:color w:val="FFC000"/>
          <w:highlight w:val="none"/>
          <w:lang w:eastAsia="zh-CN"/>
        </w:rPr>
        <w:t>A</w:t>
      </w:r>
      <w:r>
        <w:rPr>
          <w:rFonts w:hint="default" w:ascii="Times New Roman" w:hAnsi="Times New Roman" w:eastAsia="宋体" w:cs="Times New Roman"/>
          <w:color w:val="FFC000"/>
          <w:highlight w:val="none"/>
          <w:lang w:eastAsia="zh-CN"/>
        </w:rPr>
        <w:t>）</w:t>
      </w:r>
      <w:r>
        <w:rPr>
          <w:rFonts w:hint="default" w:ascii="Times New Roman" w:hAnsi="Times New Roman" w:eastAsia="宋体" w:cs="Times New Roman"/>
          <w:color w:val="FFC000"/>
          <w:highlight w:val="none"/>
        </w:rPr>
        <w:t>，夜间</w:t>
      </w:r>
      <w:r>
        <w:rPr>
          <w:rFonts w:hint="default" w:ascii="Times New Roman" w:hAnsi="Times New Roman" w:eastAsia="宋体" w:cs="Times New Roman"/>
          <w:color w:val="FFC000"/>
          <w:highlight w:val="none"/>
          <w:lang w:val="en-US" w:eastAsia="zh-CN"/>
        </w:rPr>
        <w:t>45</w:t>
      </w:r>
      <w:r>
        <w:rPr>
          <w:rFonts w:hint="default" w:ascii="Times New Roman" w:hAnsi="Times New Roman" w:eastAsia="宋体" w:cs="Times New Roman"/>
          <w:color w:val="FFC000"/>
          <w:highlight w:val="none"/>
        </w:rPr>
        <w:t>dB</w:t>
      </w:r>
      <w:r>
        <w:rPr>
          <w:rFonts w:hint="default" w:ascii="Times New Roman" w:hAnsi="Times New Roman" w:eastAsia="宋体" w:cs="Times New Roman"/>
          <w:color w:val="FFC000"/>
          <w:highlight w:val="none"/>
          <w:lang w:eastAsia="zh-CN"/>
        </w:rPr>
        <w:t>（</w:t>
      </w:r>
      <w:r>
        <w:rPr>
          <w:rFonts w:hint="default" w:ascii="Times New Roman" w:hAnsi="Times New Roman" w:eastAsia="宋体" w:cs="Times New Roman"/>
          <w:color w:val="FFC000"/>
          <w:highlight w:val="none"/>
          <w:lang w:eastAsia="zh-CN"/>
        </w:rPr>
        <w:t>A</w:t>
      </w:r>
      <w:r>
        <w:rPr>
          <w:rFonts w:hint="default" w:ascii="Times New Roman" w:hAnsi="Times New Roman" w:eastAsia="宋体" w:cs="Times New Roman"/>
          <w:color w:val="FFC000"/>
          <w:highlight w:val="none"/>
          <w:lang w:eastAsia="zh-CN"/>
        </w:rPr>
        <w:t>）</w:t>
      </w:r>
      <w:r>
        <w:rPr>
          <w:rFonts w:hint="default" w:ascii="Times New Roman" w:hAnsi="Times New Roman" w:eastAsia="宋体" w:cs="Times New Roman"/>
          <w:color w:val="FFC000"/>
          <w:highlight w:val="none"/>
          <w:lang w:eastAsia="zh-CN"/>
        </w:rPr>
        <w:t>。</w:t>
      </w:r>
    </w:p>
    <w:p w14:paraId="5BDF0FE0">
      <w:pPr>
        <w:pageBreakBefore w:val="0"/>
        <w:widowControl w:val="0"/>
        <w:kinsoku/>
        <w:wordWrap/>
        <w:overflowPunct/>
        <w:topLinePunct/>
        <w:autoSpaceDE w:val="0"/>
        <w:autoSpaceDN/>
        <w:bidi w:val="0"/>
        <w:adjustRightInd/>
        <w:snapToGrid w:val="0"/>
        <w:spacing w:line="360" w:lineRule="auto"/>
        <w:ind w:left="0" w:leftChars="0" w:right="0" w:rightChars="0" w:firstLine="496"/>
        <w:textAlignment w:val="auto"/>
        <w:rPr>
          <w:rFonts w:hint="default" w:ascii="Times New Roman" w:hAnsi="Times New Roman" w:eastAsia="宋体" w:cs="Times New Roman"/>
          <w:color w:val="auto"/>
          <w:spacing w:val="4"/>
          <w:szCs w:val="24"/>
          <w:highlight w:val="none"/>
        </w:rPr>
      </w:pPr>
      <w:r>
        <w:rPr>
          <w:rFonts w:hint="default" w:ascii="Times New Roman" w:hAnsi="Times New Roman" w:eastAsia="宋体" w:cs="Times New Roman"/>
          <w:color w:val="auto"/>
          <w:spacing w:val="4"/>
          <w:szCs w:val="24"/>
          <w:highlight w:val="none"/>
        </w:rPr>
        <w:t>2）评价结果</w:t>
      </w:r>
    </w:p>
    <w:p w14:paraId="4C665565">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根据监测结果</w:t>
      </w:r>
      <w:r>
        <w:rPr>
          <w:rFonts w:hint="default" w:ascii="Times New Roman" w:hAnsi="Times New Roman" w:eastAsia="宋体" w:cs="Times New Roman"/>
          <w:color w:val="auto"/>
          <w:highlight w:val="none"/>
          <w:lang w:eastAsia="zh-CN"/>
        </w:rPr>
        <w:t>可知，本项目拟建场区</w:t>
      </w:r>
      <w:r>
        <w:rPr>
          <w:rFonts w:hint="default" w:ascii="Times New Roman" w:hAnsi="Times New Roman" w:eastAsia="宋体" w:cs="Times New Roman"/>
          <w:color w:val="00B050"/>
          <w:highlight w:val="none"/>
          <w:lang w:eastAsia="zh-CN"/>
        </w:rPr>
        <w:t>厂界四周及敏感点</w:t>
      </w:r>
      <w:r>
        <w:rPr>
          <w:rFonts w:hint="default" w:ascii="Times New Roman" w:hAnsi="Times New Roman" w:eastAsia="宋体" w:cs="Times New Roman"/>
          <w:color w:val="auto"/>
          <w:highlight w:val="none"/>
        </w:rPr>
        <w:t>昼间声环境现状</w:t>
      </w:r>
      <w:r>
        <w:rPr>
          <w:rFonts w:hint="default" w:ascii="Times New Roman" w:hAnsi="Times New Roman" w:eastAsia="宋体" w:cs="Times New Roman"/>
          <w:color w:val="auto"/>
          <w:highlight w:val="none"/>
          <w:lang w:eastAsia="zh-CN"/>
        </w:rPr>
        <w:t>监测值为</w:t>
      </w:r>
      <w:r>
        <w:rPr>
          <w:rFonts w:hint="default" w:ascii="Times New Roman" w:hAnsi="Times New Roman" w:eastAsia="宋体" w:cs="Times New Roman"/>
          <w:color w:val="auto"/>
          <w:highlight w:val="none"/>
          <w:lang w:val="en-US" w:eastAsia="zh-CN"/>
        </w:rPr>
        <w:t>50</w:t>
      </w:r>
      <w:r>
        <w:rPr>
          <w:rFonts w:hint="default" w:ascii="Times New Roman" w:hAnsi="Times New Roman" w:eastAsia="宋体" w:cs="Times New Roman"/>
          <w:color w:val="auto"/>
          <w:highlight w:val="none"/>
        </w:rPr>
        <w:t>~5</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dB</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A</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、夜间声环境现状</w:t>
      </w:r>
      <w:r>
        <w:rPr>
          <w:rFonts w:hint="default" w:ascii="Times New Roman" w:hAnsi="Times New Roman" w:eastAsia="宋体" w:cs="Times New Roman"/>
          <w:color w:val="auto"/>
          <w:highlight w:val="none"/>
          <w:lang w:eastAsia="zh-CN"/>
        </w:rPr>
        <w:t>监测值为</w:t>
      </w:r>
      <w:r>
        <w:rPr>
          <w:rFonts w:hint="default" w:ascii="Times New Roman" w:hAnsi="Times New Roman" w:eastAsia="宋体" w:cs="Times New Roman"/>
          <w:color w:val="auto"/>
          <w:highlight w:val="none"/>
          <w:lang w:val="en-US" w:eastAsia="zh-CN"/>
        </w:rPr>
        <w:t>40</w:t>
      </w:r>
      <w:r>
        <w:rPr>
          <w:rFonts w:hint="default" w:ascii="Times New Roman" w:hAnsi="Times New Roman" w:eastAsia="宋体" w:cs="Times New Roman"/>
          <w:color w:val="auto"/>
          <w:highlight w:val="none"/>
        </w:rPr>
        <w:t>~4</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dB</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A</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FFC000"/>
          <w:highlight w:val="none"/>
        </w:rPr>
        <w:t>均满足《声环境质量标准》</w:t>
      </w:r>
      <w:r>
        <w:rPr>
          <w:rFonts w:hint="default" w:ascii="Times New Roman" w:hAnsi="Times New Roman" w:eastAsia="宋体" w:cs="Times New Roman"/>
          <w:color w:val="FFC000"/>
          <w:highlight w:val="none"/>
          <w:lang w:eastAsia="zh-CN"/>
        </w:rPr>
        <w:t>（</w:t>
      </w:r>
      <w:r>
        <w:rPr>
          <w:rFonts w:hint="default" w:ascii="Times New Roman" w:hAnsi="Times New Roman" w:eastAsia="宋体" w:cs="Times New Roman"/>
          <w:color w:val="FFC000"/>
          <w:highlight w:val="none"/>
        </w:rPr>
        <w:t>GB3096-2008</w:t>
      </w:r>
      <w:r>
        <w:rPr>
          <w:rFonts w:hint="default" w:ascii="Times New Roman" w:hAnsi="Times New Roman" w:eastAsia="宋体" w:cs="Times New Roman"/>
          <w:color w:val="FFC000"/>
          <w:highlight w:val="none"/>
          <w:lang w:eastAsia="zh-CN"/>
        </w:rPr>
        <w:t>）</w:t>
      </w:r>
      <w:r>
        <w:rPr>
          <w:rFonts w:hint="default" w:ascii="Times New Roman" w:hAnsi="Times New Roman" w:eastAsia="宋体" w:cs="Times New Roman"/>
          <w:color w:val="FFC000"/>
          <w:highlight w:val="none"/>
        </w:rPr>
        <w:t>中</w:t>
      </w:r>
      <w:r>
        <w:rPr>
          <w:rFonts w:hint="default" w:ascii="Times New Roman" w:hAnsi="Times New Roman" w:eastAsia="宋体" w:cs="Times New Roman"/>
          <w:color w:val="FFC000"/>
          <w:highlight w:val="none"/>
          <w:lang w:val="en-US" w:eastAsia="zh-CN"/>
        </w:rPr>
        <w:t>1</w:t>
      </w:r>
      <w:r>
        <w:rPr>
          <w:rFonts w:hint="default" w:ascii="Times New Roman" w:hAnsi="Times New Roman" w:eastAsia="宋体" w:cs="Times New Roman"/>
          <w:color w:val="FFC000"/>
          <w:highlight w:val="none"/>
        </w:rPr>
        <w:t>类标准限值要求</w:t>
      </w:r>
      <w:r>
        <w:rPr>
          <w:rFonts w:hint="default" w:ascii="Times New Roman" w:hAnsi="Times New Roman" w:eastAsia="宋体" w:cs="Times New Roman"/>
          <w:color w:val="FFC000"/>
          <w:highlight w:val="none"/>
          <w:lang w:eastAsia="zh-CN"/>
        </w:rPr>
        <w:t>。</w:t>
      </w:r>
    </w:p>
    <w:p w14:paraId="01BBF54B">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p>
    <w:p w14:paraId="00C14B1F">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p>
    <w:p w14:paraId="7776D56B">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p>
    <w:p w14:paraId="1632C37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sectPr>
          <w:pgSz w:w="11906" w:h="16838"/>
          <w:pgMar w:top="1440" w:right="1800" w:bottom="1440" w:left="1800" w:header="851" w:footer="1134" w:gutter="0"/>
          <w:pgBorders>
            <w:top w:val="none" w:sz="0" w:space="0"/>
            <w:left w:val="none" w:sz="0" w:space="0"/>
            <w:bottom w:val="none" w:sz="0" w:space="0"/>
            <w:right w:val="none" w:sz="0" w:space="0"/>
          </w:pgBorders>
          <w:pgNumType w:fmt="decimal"/>
          <w:cols w:space="425" w:num="1"/>
          <w:docGrid w:linePitch="326" w:charSpace="0"/>
        </w:sectPr>
      </w:pPr>
    </w:p>
    <w:p w14:paraId="0B2829B4">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45280" behindDoc="0" locked="0" layoutInCell="1" allowOverlap="1">
                <wp:simplePos x="0" y="0"/>
                <wp:positionH relativeFrom="column">
                  <wp:posOffset>5059680</wp:posOffset>
                </wp:positionH>
                <wp:positionV relativeFrom="paragraph">
                  <wp:posOffset>2312035</wp:posOffset>
                </wp:positionV>
                <wp:extent cx="107950" cy="107950"/>
                <wp:effectExtent l="12700" t="12700" r="12700" b="12700"/>
                <wp:wrapNone/>
                <wp:docPr id="147" name="椭圆 147"/>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98.4pt;margin-top:182.05pt;height:8.5pt;width:8.5pt;z-index:251745280;v-text-anchor:middle;mso-width-relative:page;mso-height-relative:page;" fillcolor="#000000 [3213]" filled="t" stroked="t" coordsize="21600,21600" o:gfxdata="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xomhHtkAAAALAQAADwAAAAAAAAABACAAAAAiAAAAZHJzL2Rvd25yZXYueG1sUEsBAhQA&#10;FAAAAAgAh07iQAsxqYZjAgAA4wQAAA4AAAAAAAAAAQAgAAAAKAEAAGRycy9lMm9Eb2MueG1sUEsF&#10;BgAAAAAGAAYAWQEAAP0FAAAAAA==&#10;">
                <v:fill on="t" focussize="0,0"/>
                <v:stroke weight="2pt" color="#FF0000 [3204]" joinstyle="round"/>
                <v:imagedata o:title=""/>
                <o:lock v:ext="edit" aspectratio="f"/>
              </v:shape>
            </w:pict>
          </mc:Fallback>
        </mc:AlternateContent>
      </w:r>
      <w:r>
        <w:rPr>
          <w:rFonts w:hint="default" w:ascii="Times New Roman" w:hAnsi="Times New Roman" w:eastAsia="宋体" w:cs="Times New Roman"/>
          <w:color w:val="auto"/>
          <w:highlight w:val="none"/>
        </w:rPr>
        <w:drawing>
          <wp:anchor distT="0" distB="0" distL="114300" distR="114300" simplePos="0" relativeHeight="251749376" behindDoc="0" locked="0" layoutInCell="1" allowOverlap="1">
            <wp:simplePos x="0" y="0"/>
            <wp:positionH relativeFrom="column">
              <wp:posOffset>69215</wp:posOffset>
            </wp:positionH>
            <wp:positionV relativeFrom="page">
              <wp:posOffset>912495</wp:posOffset>
            </wp:positionV>
            <wp:extent cx="984250" cy="1080135"/>
            <wp:effectExtent l="0" t="0" r="6350" b="5715"/>
            <wp:wrapNone/>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16"/>
                    <a:srcRect l="3538" r="4555"/>
                    <a:stretch>
                      <a:fillRect/>
                    </a:stretch>
                  </pic:blipFill>
                  <pic:spPr>
                    <a:xfrm>
                      <a:off x="0" y="0"/>
                      <a:ext cx="984250" cy="1080135"/>
                    </a:xfrm>
                    <a:prstGeom prst="rect">
                      <a:avLst/>
                    </a:prstGeom>
                    <a:noFill/>
                    <a:ln>
                      <a:noFill/>
                    </a:ln>
                  </pic:spPr>
                </pic:pic>
              </a:graphicData>
            </a:graphic>
          </wp:anchor>
        </w:drawing>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56544" behindDoc="0" locked="0" layoutInCell="1" allowOverlap="1">
                <wp:simplePos x="0" y="0"/>
                <wp:positionH relativeFrom="column">
                  <wp:posOffset>6211570</wp:posOffset>
                </wp:positionH>
                <wp:positionV relativeFrom="paragraph">
                  <wp:posOffset>1529080</wp:posOffset>
                </wp:positionV>
                <wp:extent cx="375285" cy="1228725"/>
                <wp:effectExtent l="0" t="0" r="0" b="0"/>
                <wp:wrapNone/>
                <wp:docPr id="112" name="矩形 112"/>
                <wp:cNvGraphicFramePr/>
                <a:graphic xmlns:a="http://schemas.openxmlformats.org/drawingml/2006/main">
                  <a:graphicData uri="http://schemas.microsoft.com/office/word/2010/wordprocessingShape">
                    <wps:wsp>
                      <wps:cNvSpPr/>
                      <wps:spPr>
                        <a:xfrm>
                          <a:off x="0" y="0"/>
                          <a:ext cx="375285" cy="12287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889C13">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eastAsia="宋体"/>
                                <w:b/>
                                <w:bCs/>
                                <w:color w:val="00B0F0"/>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00B0F0"/>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地下水流向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9.1pt;margin-top:120.4pt;height:96.75pt;width:29.55pt;z-index:251756544;v-text-anchor:middle;mso-width-relative:page;mso-height-relative:page;" filled="f" stroked="f" coordsize="21600,21600" o:gfxdata="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z+LE82gAA&#10;AAwBAAAPAAAAAAAAAAEAIAAAACIAAABkcnMvZG93bnJldi54bWxQSwECFAAUAAAACACHTuJAg8Jo&#10;KVUCAACaBAAADgAAAAAAAAABACAAAAApAQAAZHJzL2Uyb0RvYy54bWxQSwUGAAAAAAYABgBZAQAA&#10;8AUAAAAA&#10;">
                <v:fill on="f" focussize="0,0"/>
                <v:stroke on="f" weight="2pt"/>
                <v:imagedata o:title=""/>
                <o:lock v:ext="edit" aspectratio="f"/>
                <v:textbox>
                  <w:txbxContent>
                    <w:p w14:paraId="0F889C13">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eastAsia="宋体"/>
                          <w:b/>
                          <w:bCs/>
                          <w:color w:val="00B0F0"/>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00B0F0"/>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地下水流向</w:t>
                      </w:r>
                    </w:p>
                  </w:txbxContent>
                </v:textbox>
              </v:rect>
            </w:pict>
          </mc:Fallback>
        </mc:AlternateContent>
      </w:r>
      <w:r>
        <w:rPr>
          <w:rFonts w:hint="default" w:ascii="Times New Roman" w:hAnsi="Times New Roman" w:eastAsia="宋体" w:cs="Times New Roman"/>
          <w:sz w:val="32"/>
          <w:highlight w:val="none"/>
        </w:rPr>
        <mc:AlternateContent>
          <mc:Choice Requires="wps">
            <w:drawing>
              <wp:anchor distT="0" distB="0" distL="114300" distR="114300" simplePos="0" relativeHeight="251755520" behindDoc="0" locked="0" layoutInCell="1" allowOverlap="1">
                <wp:simplePos x="0" y="0"/>
                <wp:positionH relativeFrom="column">
                  <wp:posOffset>6148070</wp:posOffset>
                </wp:positionH>
                <wp:positionV relativeFrom="paragraph">
                  <wp:posOffset>1868805</wp:posOffset>
                </wp:positionV>
                <wp:extent cx="142240" cy="488950"/>
                <wp:effectExtent l="12700" t="12700" r="16510" b="12700"/>
                <wp:wrapNone/>
                <wp:docPr id="113" name="下箭头 113"/>
                <wp:cNvGraphicFramePr/>
                <a:graphic xmlns:a="http://schemas.openxmlformats.org/drawingml/2006/main">
                  <a:graphicData uri="http://schemas.microsoft.com/office/word/2010/wordprocessingShape">
                    <wps:wsp>
                      <wps:cNvSpPr/>
                      <wps:spPr>
                        <a:xfrm>
                          <a:off x="7291070" y="2783205"/>
                          <a:ext cx="142240" cy="488950"/>
                        </a:xfrm>
                        <a:prstGeom prst="downArrow">
                          <a:avLst/>
                        </a:prstGeom>
                        <a:solidFill>
                          <a:schemeClr val="tx1"/>
                        </a:solid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7" type="#_x0000_t67" style="position:absolute;left:0pt;margin-left:484.1pt;margin-top:147.15pt;height:38.5pt;width:11.2pt;z-index:251755520;v-text-anchor:middle;mso-width-relative:page;mso-height-relative:page;" fillcolor="#000000 [3213]" filled="t" stroked="t" coordsize="21600,21600" o:gfxdata="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C29L1NkAAAALAQAADwAAAAAAAAABACAA&#10;AAAiAAAAZHJzL2Rvd25yZXYueG1sUEsBAhQAFAAAAAgAh07iQE/9BJh+AgAA9AQAAA4AAAAAAAAA&#10;AQAgAAAAKAEAAGRycy9lMm9Eb2MueG1sUEsFBgAAAAAGAAYAWQEAABgGAAAAAA==&#10;" adj="18459,5400">
                <v:fill on="t" focussize="0,0"/>
                <v:stroke weight="2pt" color="#00B0F0 [2404]" joinstyle="round"/>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54496" behindDoc="0" locked="0" layoutInCell="1" allowOverlap="1">
                <wp:simplePos x="0" y="0"/>
                <wp:positionH relativeFrom="column">
                  <wp:posOffset>5332730</wp:posOffset>
                </wp:positionH>
                <wp:positionV relativeFrom="paragraph">
                  <wp:posOffset>2874010</wp:posOffset>
                </wp:positionV>
                <wp:extent cx="107950" cy="179705"/>
                <wp:effectExtent l="12700" t="12700" r="12700" b="17145"/>
                <wp:wrapNone/>
                <wp:docPr id="114" name="菱形 114"/>
                <wp:cNvGraphicFramePr/>
                <a:graphic xmlns:a="http://schemas.openxmlformats.org/drawingml/2006/main">
                  <a:graphicData uri="http://schemas.microsoft.com/office/word/2010/wordprocessingShape">
                    <wps:wsp>
                      <wps:cNvSpPr/>
                      <wps:spPr>
                        <a:xfrm>
                          <a:off x="0" y="0"/>
                          <a:ext cx="107950" cy="179705"/>
                        </a:xfrm>
                        <a:prstGeom prst="diamond">
                          <a:avLst/>
                        </a:prstGeom>
                        <a:solidFill>
                          <a:schemeClr val="tx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margin-left:419.9pt;margin-top:226.3pt;height:14.15pt;width:8.5pt;z-index:251754496;v-text-anchor:middle;mso-width-relative:page;mso-height-relative:page;" fillcolor="#000000 [3213]" filled="t" stroked="t" coordsize="21600,21600" o:gfxdata="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kOMch1wAAAAsBAAAPAAAAAAAAAAEAIAAAACIAAABkcnMvZG93bnJldi54bWxQ&#10;SwECFAAUAAAACACHTuJAvEs8KmoCAADjBAAADgAAAAAAAAABACAAAAAmAQAAZHJzL2Uyb0RvYy54&#10;bWxQSwUGAAAAAAYABgBZAQAAAgYAAAAA&#10;">
                <v:fill on="t" focussize="0,0"/>
                <v:stroke weight="2pt" color="#00B0F0 [3204]" joinstyle="round"/>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53472" behindDoc="0" locked="0" layoutInCell="1" allowOverlap="1">
                <wp:simplePos x="0" y="0"/>
                <wp:positionH relativeFrom="column">
                  <wp:posOffset>5503545</wp:posOffset>
                </wp:positionH>
                <wp:positionV relativeFrom="paragraph">
                  <wp:posOffset>3155950</wp:posOffset>
                </wp:positionV>
                <wp:extent cx="107950" cy="179705"/>
                <wp:effectExtent l="12700" t="12700" r="12700" b="17145"/>
                <wp:wrapNone/>
                <wp:docPr id="123" name="菱形 123"/>
                <wp:cNvGraphicFramePr/>
                <a:graphic xmlns:a="http://schemas.openxmlformats.org/drawingml/2006/main">
                  <a:graphicData uri="http://schemas.microsoft.com/office/word/2010/wordprocessingShape">
                    <wps:wsp>
                      <wps:cNvSpPr/>
                      <wps:spPr>
                        <a:xfrm>
                          <a:off x="0" y="0"/>
                          <a:ext cx="107950" cy="179705"/>
                        </a:xfrm>
                        <a:prstGeom prst="diamond">
                          <a:avLst/>
                        </a:prstGeom>
                        <a:solidFill>
                          <a:schemeClr val="tx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margin-left:433.35pt;margin-top:248.5pt;height:14.15pt;width:8.5pt;z-index:251753472;v-text-anchor:middle;mso-width-relative:page;mso-height-relative:page;" fillcolor="#000000 [3213]" filled="t" stroked="t" coordsize="21600,21600" o:gfxdata="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HpliezZAAAACwEAAA8AAAAAAAAAAQAgAAAAIgAAAGRycy9kb3ducmV2Lnht&#10;bFBLAQIUABQAAAAIAIdO4kCQajx8agIAAOMEAAAOAAAAAAAAAAEAIAAAACgBAABkcnMvZTJvRG9j&#10;LnhtbFBLBQYAAAAABgAGAFkBAAAEBgAAAAA=&#10;">
                <v:fill on="t" focussize="0,0"/>
                <v:stroke weight="2pt" color="#00B0F0 [3204]" joinstyle="round"/>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51424" behindDoc="0" locked="0" layoutInCell="1" allowOverlap="1">
                <wp:simplePos x="0" y="0"/>
                <wp:positionH relativeFrom="column">
                  <wp:posOffset>5350510</wp:posOffset>
                </wp:positionH>
                <wp:positionV relativeFrom="paragraph">
                  <wp:posOffset>2595880</wp:posOffset>
                </wp:positionV>
                <wp:extent cx="107950" cy="179705"/>
                <wp:effectExtent l="12700" t="12700" r="12700" b="17145"/>
                <wp:wrapNone/>
                <wp:docPr id="124" name="菱形 124"/>
                <wp:cNvGraphicFramePr/>
                <a:graphic xmlns:a="http://schemas.openxmlformats.org/drawingml/2006/main">
                  <a:graphicData uri="http://schemas.microsoft.com/office/word/2010/wordprocessingShape">
                    <wps:wsp>
                      <wps:cNvSpPr/>
                      <wps:spPr>
                        <a:xfrm>
                          <a:off x="0" y="0"/>
                          <a:ext cx="107950" cy="179705"/>
                        </a:xfrm>
                        <a:prstGeom prst="diamond">
                          <a:avLst/>
                        </a:prstGeom>
                        <a:solidFill>
                          <a:schemeClr val="tx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margin-left:421.3pt;margin-top:204.4pt;height:14.15pt;width:8.5pt;z-index:251751424;v-text-anchor:middle;mso-width-relative:page;mso-height-relative:page;" fillcolor="#000000 [3213]" filled="t" stroked="t" coordsize="21600,21600" o:gfxdata="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flgAW1wAAAAsBAAAPAAAAAAAAAAEAIAAAACIAAABkcnMvZG93bnJldi54bWxQ&#10;SwECFAAUAAAACACHTuJAAZZtN2oCAADjBAAADgAAAAAAAAABACAAAAAmAQAAZHJzL2Uyb0RvYy54&#10;bWxQSwUGAAAAAAYABgBZAQAAAgYAAAAA&#10;">
                <v:fill on="t" focussize="0,0"/>
                <v:stroke weight="2pt" color="#00B0F0 [3204]" joinstyle="round"/>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52448" behindDoc="0" locked="0" layoutInCell="1" allowOverlap="1">
                <wp:simplePos x="0" y="0"/>
                <wp:positionH relativeFrom="column">
                  <wp:posOffset>5755005</wp:posOffset>
                </wp:positionH>
                <wp:positionV relativeFrom="paragraph">
                  <wp:posOffset>2423795</wp:posOffset>
                </wp:positionV>
                <wp:extent cx="107950" cy="179705"/>
                <wp:effectExtent l="12700" t="12700" r="12700" b="17145"/>
                <wp:wrapNone/>
                <wp:docPr id="126" name="菱形 126"/>
                <wp:cNvGraphicFramePr/>
                <a:graphic xmlns:a="http://schemas.openxmlformats.org/drawingml/2006/main">
                  <a:graphicData uri="http://schemas.microsoft.com/office/word/2010/wordprocessingShape">
                    <wps:wsp>
                      <wps:cNvSpPr/>
                      <wps:spPr>
                        <a:xfrm>
                          <a:off x="0" y="0"/>
                          <a:ext cx="107950" cy="179705"/>
                        </a:xfrm>
                        <a:prstGeom prst="diamond">
                          <a:avLst/>
                        </a:prstGeom>
                        <a:solidFill>
                          <a:schemeClr val="tx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margin-left:453.15pt;margin-top:190.85pt;height:14.15pt;width:8.5pt;z-index:251752448;v-text-anchor:middle;mso-width-relative:page;mso-height-relative:page;" fillcolor="#000000 [3213]" filled="t" stroked="t" coordsize="21600,21600" o:gfxdata="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Yq0ZfdgAAAALAQAADwAAAAAAAAABACAAAAAiAAAAZHJzL2Rvd25yZXYueG1s&#10;UEsBAhQAFAAAAAgAh07iQOEHG4xqAgAA4wQAAA4AAAAAAAAAAQAgAAAAJwEAAGRycy9lMm9Eb2Mu&#10;eG1sUEsFBgAAAAAGAAYAWQEAAAMGAAAAAA==&#10;">
                <v:fill on="t" focussize="0,0"/>
                <v:stroke weight="2pt" color="#00B0F0 [3204]" joinstyle="round"/>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50400" behindDoc="0" locked="0" layoutInCell="1" allowOverlap="1">
                <wp:simplePos x="0" y="0"/>
                <wp:positionH relativeFrom="column">
                  <wp:posOffset>5193030</wp:posOffset>
                </wp:positionH>
                <wp:positionV relativeFrom="paragraph">
                  <wp:posOffset>2303780</wp:posOffset>
                </wp:positionV>
                <wp:extent cx="107950" cy="179705"/>
                <wp:effectExtent l="12700" t="12700" r="12700" b="17145"/>
                <wp:wrapNone/>
                <wp:docPr id="128" name="菱形 128"/>
                <wp:cNvGraphicFramePr/>
                <a:graphic xmlns:a="http://schemas.openxmlformats.org/drawingml/2006/main">
                  <a:graphicData uri="http://schemas.microsoft.com/office/word/2010/wordprocessingShape">
                    <wps:wsp>
                      <wps:cNvSpPr/>
                      <wps:spPr>
                        <a:xfrm>
                          <a:off x="0" y="0"/>
                          <a:ext cx="107950" cy="179705"/>
                        </a:xfrm>
                        <a:prstGeom prst="diamond">
                          <a:avLst/>
                        </a:prstGeom>
                        <a:solidFill>
                          <a:schemeClr val="tx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margin-left:408.9pt;margin-top:181.4pt;height:14.15pt;width:8.5pt;z-index:251750400;v-text-anchor:middle;mso-width-relative:page;mso-height-relative:page;" fillcolor="#000000 [3213]" filled="t" stroked="t" coordsize="21600,21600" o:gfxdata="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HtSjk9gAAAALAQAADwAAAAAAAAABACAAAAAiAAAAZHJzL2Rvd25yZXYueG1s&#10;UEsBAhQAFAAAAAgAh07iQMP+uBpqAgAA4wQAAA4AAAAAAAAAAQAgAAAAJwEAAGRycy9lMm9Eb2Mu&#10;eG1sUEsFBgAAAAAGAAYAWQEAAAMGAAAAAA==&#10;">
                <v:fill on="t" focussize="0,0"/>
                <v:stroke weight="2pt" color="#00B0F0 [3204]" joinstyle="round"/>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48352" behindDoc="0" locked="0" layoutInCell="1" allowOverlap="1">
                <wp:simplePos x="0" y="0"/>
                <wp:positionH relativeFrom="column">
                  <wp:posOffset>5060950</wp:posOffset>
                </wp:positionH>
                <wp:positionV relativeFrom="paragraph">
                  <wp:posOffset>1613535</wp:posOffset>
                </wp:positionV>
                <wp:extent cx="107950" cy="179705"/>
                <wp:effectExtent l="12700" t="12700" r="12700" b="17145"/>
                <wp:wrapNone/>
                <wp:docPr id="142" name="菱形 142"/>
                <wp:cNvGraphicFramePr/>
                <a:graphic xmlns:a="http://schemas.openxmlformats.org/drawingml/2006/main">
                  <a:graphicData uri="http://schemas.microsoft.com/office/word/2010/wordprocessingShape">
                    <wps:wsp>
                      <wps:cNvSpPr/>
                      <wps:spPr>
                        <a:xfrm>
                          <a:off x="0" y="0"/>
                          <a:ext cx="107950" cy="179705"/>
                        </a:xfrm>
                        <a:prstGeom prst="diamond">
                          <a:avLst/>
                        </a:prstGeom>
                        <a:solidFill>
                          <a:schemeClr val="tx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margin-left:398.5pt;margin-top:127.05pt;height:14.15pt;width:8.5pt;z-index:251748352;v-text-anchor:middle;mso-width-relative:page;mso-height-relative:page;" fillcolor="#000000 [3213]" filled="t" stroked="t" coordsize="21600,21600" o:gfxdata="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IX1mIHZAAAACwEAAA8AAAAAAAAAAQAgAAAAIgAAAGRycy9kb3ducmV2Lnht&#10;bFBLAQIUABQAAAAIAIdO4kAamSQbagIAAOMEAAAOAAAAAAAAAAEAIAAAACgBAABkcnMvZTJvRG9j&#10;LnhtbFBLBQYAAAAABgAGAFkBAAAEBgAAAAA=&#10;">
                <v:fill on="t" focussize="0,0"/>
                <v:stroke weight="2pt" color="#00B0F0 [3204]" joinstyle="round"/>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40160" behindDoc="0" locked="0" layoutInCell="1" allowOverlap="1">
                <wp:simplePos x="0" y="0"/>
                <wp:positionH relativeFrom="column">
                  <wp:posOffset>3872230</wp:posOffset>
                </wp:positionH>
                <wp:positionV relativeFrom="paragraph">
                  <wp:posOffset>1446530</wp:posOffset>
                </wp:positionV>
                <wp:extent cx="2529840" cy="1791970"/>
                <wp:effectExtent l="12700" t="12700" r="24130" b="29210"/>
                <wp:wrapNone/>
                <wp:docPr id="149" name="矩形 149"/>
                <wp:cNvGraphicFramePr/>
                <a:graphic xmlns:a="http://schemas.openxmlformats.org/drawingml/2006/main">
                  <a:graphicData uri="http://schemas.microsoft.com/office/word/2010/wordprocessingShape">
                    <wps:wsp>
                      <wps:cNvSpPr/>
                      <wps:spPr>
                        <a:xfrm rot="5400000">
                          <a:off x="0" y="0"/>
                          <a:ext cx="2529840" cy="179197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4.9pt;margin-top:113.9pt;height:141.1pt;width:199.2pt;rotation:5898240f;z-index:251740160;v-text-anchor:middle;mso-width-relative:page;mso-height-relative:page;" filled="f" stroked="t" coordsize="21600,21600" o:gfxdata="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pEBPztoAAAAMAQAADwAAAAAAAAABACAAAAAiAAAAZHJzL2Rvd25yZXYueG1s&#10;UEsBAhQAFAAAAAgAh07iQCTYH5hoAgAAxwQAAA4AAAAAAAAAAQAgAAAAKQEAAGRycy9lMm9Eb2Mu&#10;eG1sUEsFBgAAAAAGAAYAWQEAAAMGAAAAAA==&#10;">
                <v:fill on="f" focussize="0,0"/>
                <v:stroke weight="2pt" color="#00B0F0 [3204]" joinstyle="round"/>
                <v:imagedata o:title=""/>
                <o:lock v:ext="edit" aspectratio="f"/>
              </v:rect>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47328" behindDoc="0" locked="0" layoutInCell="1" allowOverlap="1">
                <wp:simplePos x="0" y="0"/>
                <wp:positionH relativeFrom="column">
                  <wp:posOffset>1576705</wp:posOffset>
                </wp:positionH>
                <wp:positionV relativeFrom="paragraph">
                  <wp:posOffset>4431030</wp:posOffset>
                </wp:positionV>
                <wp:extent cx="107950" cy="179705"/>
                <wp:effectExtent l="12700" t="12700" r="12700" b="17145"/>
                <wp:wrapNone/>
                <wp:docPr id="150" name="菱形 150"/>
                <wp:cNvGraphicFramePr/>
                <a:graphic xmlns:a="http://schemas.openxmlformats.org/drawingml/2006/main">
                  <a:graphicData uri="http://schemas.microsoft.com/office/word/2010/wordprocessingShape">
                    <wps:wsp>
                      <wps:cNvSpPr/>
                      <wps:spPr>
                        <a:xfrm>
                          <a:off x="3806825" y="3043555"/>
                          <a:ext cx="107950" cy="179705"/>
                        </a:xfrm>
                        <a:prstGeom prst="diamond">
                          <a:avLst/>
                        </a:prstGeom>
                        <a:solidFill>
                          <a:schemeClr val="tx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margin-left:124.15pt;margin-top:348.9pt;height:14.15pt;width:8.5pt;z-index:251747328;v-text-anchor:middle;mso-width-relative:page;mso-height-relative:page;" fillcolor="#000000 [3213]" filled="t" stroked="t" coordsize="21600,21600" o:gfxdata="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Ybdm2QAAAAsBAAAPAAAAAAAAAAEAIAAAACIAAABk&#10;cnMvZG93bnJldi54bWxQSwECFAAUAAAACACHTuJAu1vMuXcCAADvBAAADgAAAAAAAAABACAAAAAo&#10;AQAAZHJzL2Uyb0RvYy54bWxQSwUGAAAAAAYABgBZAQAAEQYAAAAA&#10;">
                <v:fill on="t" focussize="0,0"/>
                <v:stroke weight="2pt" color="#00B0F0 [3204]" joinstyle="round"/>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44256" behindDoc="0" locked="0" layoutInCell="1" allowOverlap="1">
                <wp:simplePos x="0" y="0"/>
                <wp:positionH relativeFrom="column">
                  <wp:posOffset>1551305</wp:posOffset>
                </wp:positionH>
                <wp:positionV relativeFrom="paragraph">
                  <wp:posOffset>4126230</wp:posOffset>
                </wp:positionV>
                <wp:extent cx="288290" cy="107950"/>
                <wp:effectExtent l="12700" t="12700" r="22860" b="12700"/>
                <wp:wrapNone/>
                <wp:docPr id="151" name="矩形 151"/>
                <wp:cNvGraphicFramePr/>
                <a:graphic xmlns:a="http://schemas.openxmlformats.org/drawingml/2006/main">
                  <a:graphicData uri="http://schemas.microsoft.com/office/word/2010/wordprocessingShape">
                    <wps:wsp>
                      <wps:cNvSpPr/>
                      <wps:spPr>
                        <a:xfrm>
                          <a:off x="0" y="0"/>
                          <a:ext cx="288290" cy="10795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2.15pt;margin-top:324.9pt;height:8.5pt;width:22.7pt;z-index:251744256;v-text-anchor:middle;mso-width-relative:page;mso-height-relative:page;" filled="f" stroked="t" coordsize="21600,21600" o:gfxdata="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R9mdPZAAAACwEAAA8AAAAAAAAAAQAgAAAAIgAAAGRycy9kb3ducmV2LnhtbFBLAQIUABQAAAAI&#10;AIdO4kDblazuXgIAALcEAAAOAAAAAAAAAAEAIAAAACgBAABkcnMvZTJvRG9jLnhtbFBLBQYAAAAA&#10;BgAGAFkBAAD4BQAAAAA=&#10;">
                <v:fill on="f" focussize="0,0"/>
                <v:stroke weight="2pt" color="#00B0F0 [3204]" joinstyle="round"/>
                <v:imagedata o:title=""/>
                <o:lock v:ext="edit" aspectratio="f"/>
              </v:rect>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46304" behindDoc="0" locked="0" layoutInCell="1" allowOverlap="1">
                <wp:simplePos x="0" y="0"/>
                <wp:positionH relativeFrom="column">
                  <wp:posOffset>1423035</wp:posOffset>
                </wp:positionH>
                <wp:positionV relativeFrom="paragraph">
                  <wp:posOffset>3793490</wp:posOffset>
                </wp:positionV>
                <wp:extent cx="107950" cy="107950"/>
                <wp:effectExtent l="12700" t="12700" r="12700" b="12700"/>
                <wp:wrapNone/>
                <wp:docPr id="152" name="椭圆 152"/>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12.05pt;margin-top:298.7pt;height:8.5pt;width:8.5pt;z-index:251746304;v-text-anchor:middle;mso-width-relative:page;mso-height-relative:page;" fillcolor="#000000 [3213]" filled="t" stroked="t" coordsize="21600,21600" o:gfxdata="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rCQzANkAAAALAQAADwAAAAAAAAABACAAAAAiAAAAZHJzL2Rvd25yZXYueG1sUEsBAhQA&#10;FAAAAAgAh07iQC4VbstjAgAA4wQAAA4AAAAAAAAAAQAgAAAAKAEAAGRycy9lMm9Eb2MueG1sUEsF&#10;BgAAAAAGAAYAWQEAAP0FAAAAAA==&#10;">
                <v:fill on="t" focussize="0,0"/>
                <v:stroke weight="2pt" color="#FF0000 [3204]" joinstyle="round"/>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43232" behindDoc="0" locked="0" layoutInCell="1" allowOverlap="1">
                <wp:simplePos x="0" y="0"/>
                <wp:positionH relativeFrom="column">
                  <wp:posOffset>1412240</wp:posOffset>
                </wp:positionH>
                <wp:positionV relativeFrom="paragraph">
                  <wp:posOffset>3470275</wp:posOffset>
                </wp:positionV>
                <wp:extent cx="288290" cy="107950"/>
                <wp:effectExtent l="12700" t="12700" r="22860" b="12700"/>
                <wp:wrapNone/>
                <wp:docPr id="153" name="矩形 153"/>
                <wp:cNvGraphicFramePr/>
                <a:graphic xmlns:a="http://schemas.openxmlformats.org/drawingml/2006/main">
                  <a:graphicData uri="http://schemas.microsoft.com/office/word/2010/wordprocessingShape">
                    <wps:wsp>
                      <wps:cNvSpPr/>
                      <wps:spPr>
                        <a:xfrm>
                          <a:off x="0" y="0"/>
                          <a:ext cx="288290" cy="1079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1.2pt;margin-top:273.25pt;height:8.5pt;width:22.7pt;z-index:251743232;v-text-anchor:middle;mso-width-relative:page;mso-height-relative:page;" filled="f" stroked="t" coordsize="21600,21600" o:gfxdata="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wkXd49oAAAALAQAADwAAAAAAAAABACAAAAAiAAAAZHJzL2Rvd25yZXYueG1sUEsBAhQAFAAA&#10;AAgAh07iQBqXqfNfAgAAtwQAAA4AAAAAAAAAAQAgAAAAKQEAAGRycy9lMm9Eb2MueG1sUEsFBgAA&#10;AAAGAAYAWQEAAPoFAAAAAA==&#10;">
                <v:fill on="f" focussize="0,0"/>
                <v:stroke weight="2pt" color="#FF0000 [3204]" joinstyle="round"/>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42208" behindDoc="0" locked="0" layoutInCell="1" allowOverlap="1">
                <wp:simplePos x="0" y="0"/>
                <wp:positionH relativeFrom="column">
                  <wp:posOffset>493395</wp:posOffset>
                </wp:positionH>
                <wp:positionV relativeFrom="paragraph">
                  <wp:posOffset>3144520</wp:posOffset>
                </wp:positionV>
                <wp:extent cx="288290" cy="107950"/>
                <wp:effectExtent l="12700" t="12700" r="22860" b="12700"/>
                <wp:wrapNone/>
                <wp:docPr id="154" name="矩形 154"/>
                <wp:cNvGraphicFramePr/>
                <a:graphic xmlns:a="http://schemas.openxmlformats.org/drawingml/2006/main">
                  <a:graphicData uri="http://schemas.microsoft.com/office/word/2010/wordprocessingShape">
                    <wps:wsp>
                      <wps:cNvSpPr/>
                      <wps:spPr>
                        <a:xfrm>
                          <a:off x="0" y="0"/>
                          <a:ext cx="288290" cy="1079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85pt;margin-top:247.6pt;height:8.5pt;width:22.7pt;z-index:251742208;v-text-anchor:middle;mso-width-relative:page;mso-height-relative:page;" filled="f" stroked="t" coordsize="21600,21600" o:gfxdata="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X&#10;R4Zh2QAAAAoBAAAPAAAAAAAAAAEAIAAAACIAAABkcnMvZG93bnJldi54bWxQSwECFAAUAAAACACH&#10;TuJAUR/D0VwCAAC3BAAADgAAAAAAAAABACAAAAAoAQAAZHJzL2Uyb0RvYy54bWxQSwUGAAAAAAYA&#10;BgBZAQAA9gUAAAAA&#10;">
                <v:fill on="f" focussize="0,0"/>
                <v:stroke weight="2pt" color="#000000 [3213]" joinstyle="round"/>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41184" behindDoc="0" locked="0" layoutInCell="1" allowOverlap="1">
                <wp:simplePos x="0" y="0"/>
                <wp:positionH relativeFrom="column">
                  <wp:posOffset>45085</wp:posOffset>
                </wp:positionH>
                <wp:positionV relativeFrom="paragraph">
                  <wp:posOffset>2694940</wp:posOffset>
                </wp:positionV>
                <wp:extent cx="1951990" cy="2033905"/>
                <wp:effectExtent l="12700" t="12700" r="16510" b="29845"/>
                <wp:wrapNone/>
                <wp:docPr id="155" name="矩形 155"/>
                <wp:cNvGraphicFramePr/>
                <a:graphic xmlns:a="http://schemas.openxmlformats.org/drawingml/2006/main">
                  <a:graphicData uri="http://schemas.microsoft.com/office/word/2010/wordprocessingShape">
                    <wps:wsp>
                      <wps:cNvSpPr/>
                      <wps:spPr>
                        <a:xfrm>
                          <a:off x="0" y="0"/>
                          <a:ext cx="1951990" cy="2033905"/>
                        </a:xfrm>
                        <a:prstGeom prst="rect">
                          <a:avLst/>
                        </a:prstGeom>
                        <a:solidFill>
                          <a:schemeClr val="accent3">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F78995">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center"/>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图例</w:t>
                            </w:r>
                          </w:p>
                          <w:p w14:paraId="604679C8">
                            <w:pPr>
                              <w:pStyle w:val="1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场区</w:t>
                            </w:r>
                          </w:p>
                          <w:p w14:paraId="16CF10A2">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环境空气评价范围</w:t>
                            </w:r>
                          </w:p>
                          <w:p w14:paraId="4B6CF172">
                            <w:pPr>
                              <w:pStyle w:val="1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环境空气监测点位</w:t>
                            </w:r>
                          </w:p>
                          <w:p w14:paraId="577EF376">
                            <w:pPr>
                              <w:pStyle w:val="1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地下水环境评价范围</w:t>
                            </w:r>
                          </w:p>
                          <w:p w14:paraId="061638A8">
                            <w:pPr>
                              <w:pStyle w:val="1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地下水环境监测点位</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5pt;margin-top:212.2pt;height:160.15pt;width:153.7pt;z-index:251741184;v-text-anchor:middle;mso-width-relative:page;mso-height-relative:page;" fillcolor="#D7E4BD [1302]" filled="t" stroked="t" coordsize="21600,21600" o:gfxdata="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1BnAfdcAAAAJAQAA&#10;DwAAAAAAAAABACAAAAAiAAAAZHJzL2Rvd25yZXYueG1sUEsBAhQAFAAAAAgAh07iQNMTADOMAgAA&#10;JgUAAA4AAAAAAAAAAQAgAAAAJgEAAGRycy9lMm9Eb2MueG1sUEsFBgAAAAAGAAYAWQEAACQGAAAA&#10;AA==&#10;">
                <v:fill on="t" focussize="0,0"/>
                <v:stroke weight="2pt" color="#000000 [3213]" joinstyle="round"/>
                <v:imagedata o:title=""/>
                <o:lock v:ext="edit" aspectratio="f"/>
                <v:textbox>
                  <w:txbxContent>
                    <w:p w14:paraId="75F78995">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center"/>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图例</w:t>
                      </w:r>
                    </w:p>
                    <w:p w14:paraId="604679C8">
                      <w:pPr>
                        <w:pStyle w:val="1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场区</w:t>
                      </w:r>
                    </w:p>
                    <w:p w14:paraId="16CF10A2">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环境空气评价范围</w:t>
                      </w:r>
                    </w:p>
                    <w:p w14:paraId="4B6CF172">
                      <w:pPr>
                        <w:pStyle w:val="1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环境空气监测点位</w:t>
                      </w:r>
                    </w:p>
                    <w:p w14:paraId="577EF376">
                      <w:pPr>
                        <w:pStyle w:val="1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地下水环境评价范围</w:t>
                      </w:r>
                    </w:p>
                    <w:p w14:paraId="061638A8">
                      <w:pPr>
                        <w:pStyle w:val="1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地下水环境监测点位</w:t>
                      </w:r>
                    </w:p>
                  </w:txbxContent>
                </v:textbox>
              </v:rect>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39136" behindDoc="0" locked="0" layoutInCell="1" allowOverlap="1">
                <wp:simplePos x="0" y="0"/>
                <wp:positionH relativeFrom="column">
                  <wp:posOffset>3091180</wp:posOffset>
                </wp:positionH>
                <wp:positionV relativeFrom="paragraph">
                  <wp:posOffset>383540</wp:posOffset>
                </wp:positionV>
                <wp:extent cx="4044315" cy="4027805"/>
                <wp:effectExtent l="12700" t="12700" r="19685" b="17145"/>
                <wp:wrapNone/>
                <wp:docPr id="156" name="矩形 156"/>
                <wp:cNvGraphicFramePr/>
                <a:graphic xmlns:a="http://schemas.openxmlformats.org/drawingml/2006/main">
                  <a:graphicData uri="http://schemas.microsoft.com/office/word/2010/wordprocessingShape">
                    <wps:wsp>
                      <wps:cNvSpPr/>
                      <wps:spPr>
                        <a:xfrm>
                          <a:off x="2465070" y="1605915"/>
                          <a:ext cx="4044315" cy="40278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3.4pt;margin-top:30.2pt;height:317.15pt;width:318.45pt;z-index:251739136;v-text-anchor:middle;mso-width-relative:page;mso-height-relative:page;" filled="f" stroked="t" coordsize="21600,21600" o:gfxdata="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JAllB2gAAAAsBAAAPAAAAAAAAAAEAIAAAACIAAABkcnMvZG93bnJl&#10;di54bWxQSwECFAAUAAAACACHTuJAlCuC620CAADFBAAADgAAAAAAAAABACAAAAApAQAAZHJzL2Uy&#10;b0RvYy54bWxQSwUGAAAAAAYABgBZAQAACAYAAAAA&#10;">
                <v:fill on="f" focussize="0,0"/>
                <v:stroke weight="2pt" color="#FF0000 [3204]" joinstyle="round"/>
                <v:imagedata o:title=""/>
                <o:lock v:ext="edit" aspectratio="f"/>
              </v:rect>
            </w:pict>
          </mc:Fallback>
        </mc:AlternateContent>
      </w:r>
      <w:r>
        <w:rPr>
          <w:rFonts w:hint="default" w:ascii="Times New Roman" w:hAnsi="Times New Roman" w:eastAsia="宋体" w:cs="Times New Roman"/>
          <w:color w:val="auto"/>
          <w:highlight w:val="none"/>
        </w:rPr>
        <w:drawing>
          <wp:inline distT="0" distB="0" distL="114300" distR="114300">
            <wp:extent cx="8279765" cy="4745990"/>
            <wp:effectExtent l="0" t="0" r="6985" b="16510"/>
            <wp:docPr id="157" name="图片 157" descr="3123212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31232123222"/>
                    <pic:cNvPicPr>
                      <a:picLocks noChangeAspect="1"/>
                    </pic:cNvPicPr>
                  </pic:nvPicPr>
                  <pic:blipFill>
                    <a:blip r:embed="rId17"/>
                    <a:stretch>
                      <a:fillRect/>
                    </a:stretch>
                  </pic:blipFill>
                  <pic:spPr>
                    <a:xfrm>
                      <a:off x="0" y="0"/>
                      <a:ext cx="8279765" cy="4745990"/>
                    </a:xfrm>
                    <a:prstGeom prst="rect">
                      <a:avLst/>
                    </a:prstGeom>
                  </pic:spPr>
                </pic:pic>
              </a:graphicData>
            </a:graphic>
          </wp:inline>
        </w:drawing>
      </w:r>
      <w:r>
        <w:rPr>
          <w:rFonts w:hint="default" w:ascii="Times New Roman" w:hAnsi="Times New Roman" w:eastAsia="宋体" w:cs="Times New Roman"/>
          <w:b/>
          <w:bCs/>
          <w:color w:val="auto"/>
          <w:highlight w:val="none"/>
        </w:rPr>
        <w:t>图4.2-1环境现状监测布点</w:t>
      </w:r>
    </w:p>
    <w:p w14:paraId="7218AF8F">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13536" behindDoc="0" locked="0" layoutInCell="1" allowOverlap="1">
                <wp:simplePos x="0" y="0"/>
                <wp:positionH relativeFrom="column">
                  <wp:posOffset>5118735</wp:posOffset>
                </wp:positionH>
                <wp:positionV relativeFrom="paragraph">
                  <wp:posOffset>2840990</wp:posOffset>
                </wp:positionV>
                <wp:extent cx="107950" cy="179705"/>
                <wp:effectExtent l="12700" t="12700" r="12700" b="17145"/>
                <wp:wrapNone/>
                <wp:docPr id="129" name="等腰三角形 129"/>
                <wp:cNvGraphicFramePr/>
                <a:graphic xmlns:a="http://schemas.openxmlformats.org/drawingml/2006/main">
                  <a:graphicData uri="http://schemas.microsoft.com/office/word/2010/wordprocessingShape">
                    <wps:wsp>
                      <wps:cNvSpPr/>
                      <wps:spPr>
                        <a:xfrm>
                          <a:off x="2698750" y="2235200"/>
                          <a:ext cx="107950" cy="179705"/>
                        </a:xfrm>
                        <a:prstGeom prst="triangl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403.05pt;margin-top:223.7pt;height:14.15pt;width:8.5pt;z-index:251713536;v-text-anchor:middle;mso-width-relative:page;mso-height-relative:page;" fillcolor="#FFFF00" filled="t" stroked="t" coordsize="21600,21600" o:gfxdata="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Bk7YME2QAAAAsBAAAPAAAA&#10;AAAAAAEAIAAAACIAAABkcnMvZG93bnJldi54bWxQSwECFAAUAAAACACHTuJA34x3IoYCAAD5BAAA&#10;DgAAAAAAAAABACAAAAAoAQAAZHJzL2Uyb0RvYy54bWxQSwUGAAAAAAYABgBZAQAAIAYAAAAA&#10;" adj="10800">
                <v:fill on="t" focussize="0,0"/>
                <v:stroke weight="2pt" color="#000000 [3213]" joinstyle="round"/>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14560" behindDoc="0" locked="0" layoutInCell="1" allowOverlap="1">
                <wp:simplePos x="0" y="0"/>
                <wp:positionH relativeFrom="column">
                  <wp:posOffset>4219575</wp:posOffset>
                </wp:positionH>
                <wp:positionV relativeFrom="paragraph">
                  <wp:posOffset>3144520</wp:posOffset>
                </wp:positionV>
                <wp:extent cx="107950" cy="179705"/>
                <wp:effectExtent l="12700" t="12700" r="12700" b="17145"/>
                <wp:wrapNone/>
                <wp:docPr id="130" name="等腰三角形 130"/>
                <wp:cNvGraphicFramePr/>
                <a:graphic xmlns:a="http://schemas.openxmlformats.org/drawingml/2006/main">
                  <a:graphicData uri="http://schemas.microsoft.com/office/word/2010/wordprocessingShape">
                    <wps:wsp>
                      <wps:cNvSpPr/>
                      <wps:spPr>
                        <a:xfrm>
                          <a:off x="0" y="0"/>
                          <a:ext cx="107950" cy="179705"/>
                        </a:xfrm>
                        <a:prstGeom prst="triangl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32.25pt;margin-top:247.6pt;height:14.15pt;width:8.5pt;z-index:251714560;v-text-anchor:middle;mso-width-relative:page;mso-height-relative:page;" fillcolor="#FFFF00" filled="t" stroked="t" coordsize="21600,21600" o:gfxdata="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nV9uMtkAAAALAQAADwAAAAAAAAABACAAAAAi&#10;AAAAZHJzL2Rvd25yZXYueG1sUEsBAhQAFAAAAAgAh07iQA0SBPV7AgAA7QQAAA4AAAAAAAAAAQAg&#10;AAAAKAEAAGRycy9lMm9Eb2MueG1sUEsFBgAAAAAGAAYAWQEAABUGAAAAAA==&#10;" adj="10800">
                <v:fill on="t" focussize="0,0"/>
                <v:stroke weight="2pt" color="#000000 [3213]" joinstyle="round"/>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16608" behindDoc="0" locked="0" layoutInCell="1" allowOverlap="1">
                <wp:simplePos x="0" y="0"/>
                <wp:positionH relativeFrom="column">
                  <wp:posOffset>3336290</wp:posOffset>
                </wp:positionH>
                <wp:positionV relativeFrom="paragraph">
                  <wp:posOffset>1887220</wp:posOffset>
                </wp:positionV>
                <wp:extent cx="107950" cy="179705"/>
                <wp:effectExtent l="12700" t="12700" r="12700" b="17145"/>
                <wp:wrapNone/>
                <wp:docPr id="133" name="等腰三角形 133"/>
                <wp:cNvGraphicFramePr/>
                <a:graphic xmlns:a="http://schemas.openxmlformats.org/drawingml/2006/main">
                  <a:graphicData uri="http://schemas.microsoft.com/office/word/2010/wordprocessingShape">
                    <wps:wsp>
                      <wps:cNvSpPr/>
                      <wps:spPr>
                        <a:xfrm>
                          <a:off x="0" y="0"/>
                          <a:ext cx="107950" cy="179705"/>
                        </a:xfrm>
                        <a:prstGeom prst="triangl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62.7pt;margin-top:148.6pt;height:14.15pt;width:8.5pt;z-index:251716608;v-text-anchor:middle;mso-width-relative:page;mso-height-relative:page;" fillcolor="#FFFF00" filled="t" stroked="t" coordsize="21600,21600" o:gfxdata="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IxtK4XZAAAACwEAAA8AAAAAAAAAAQAgAAAA&#10;IgAAAGRycy9kb3ducmV2LnhtbFBLAQIUABQAAAAIAIdO4kCTeynQfAIAAO0EAAAOAAAAAAAAAAEA&#10;IAAAACgBAABkcnMvZTJvRG9jLnhtbFBLBQYAAAAABgAGAFkBAAAWBgAAAAA=&#10;" adj="10800">
                <v:fill on="t" focussize="0,0"/>
                <v:stroke weight="2pt" color="#000000 [3213]" joinstyle="round"/>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37088" behindDoc="0" locked="0" layoutInCell="1" allowOverlap="1">
                <wp:simplePos x="0" y="0"/>
                <wp:positionH relativeFrom="column">
                  <wp:posOffset>4674235</wp:posOffset>
                </wp:positionH>
                <wp:positionV relativeFrom="paragraph">
                  <wp:posOffset>2834005</wp:posOffset>
                </wp:positionV>
                <wp:extent cx="107950" cy="107950"/>
                <wp:effectExtent l="12700" t="12700" r="12700" b="12700"/>
                <wp:wrapNone/>
                <wp:docPr id="49" name="矩形 49"/>
                <wp:cNvGraphicFramePr/>
                <a:graphic xmlns:a="http://schemas.openxmlformats.org/drawingml/2006/main">
                  <a:graphicData uri="http://schemas.microsoft.com/office/word/2010/wordprocessingShape">
                    <wps:wsp>
                      <wps:cNvSpPr/>
                      <wps:spPr>
                        <a:xfrm>
                          <a:off x="0" y="0"/>
                          <a:ext cx="107950" cy="107950"/>
                        </a:xfrm>
                        <a:prstGeom prst="rect">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8.05pt;margin-top:223.15pt;height:8.5pt;width:8.5pt;z-index:251737088;v-text-anchor:middle;mso-width-relative:page;mso-height-relative:page;" fillcolor="#00B050" filled="t" stroked="t" coordsize="21600,21600" o:gfxdata="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DDZt1DYAAAACwEAAA8AAAAAAAAAAQAgAAAAIgAAAGRycy9kb3ducmV2LnhtbFBLAQIUABQAAAAI&#10;AIdO4kAs9IwZXwIAAN4EAAAOAAAAAAAAAAEAIAAAACcBAABkcnMvZTJvRG9jLnhtbFBLBQYAAAAA&#10;BgAGAFkBAAD4BQAAAAA=&#10;">
                <v:fill on="t" focussize="0,0"/>
                <v:stroke weight="2pt" color="#000000 [3213]" joinstyle="round"/>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38112" behindDoc="0" locked="0" layoutInCell="1" allowOverlap="1">
                <wp:simplePos x="0" y="0"/>
                <wp:positionH relativeFrom="column">
                  <wp:posOffset>3818255</wp:posOffset>
                </wp:positionH>
                <wp:positionV relativeFrom="paragraph">
                  <wp:posOffset>2089785</wp:posOffset>
                </wp:positionV>
                <wp:extent cx="107950" cy="107950"/>
                <wp:effectExtent l="12700" t="12700" r="12700" b="12700"/>
                <wp:wrapNone/>
                <wp:docPr id="88" name="矩形 88"/>
                <wp:cNvGraphicFramePr/>
                <a:graphic xmlns:a="http://schemas.openxmlformats.org/drawingml/2006/main">
                  <a:graphicData uri="http://schemas.microsoft.com/office/word/2010/wordprocessingShape">
                    <wps:wsp>
                      <wps:cNvSpPr/>
                      <wps:spPr>
                        <a:xfrm>
                          <a:off x="0" y="0"/>
                          <a:ext cx="107950" cy="107950"/>
                        </a:xfrm>
                        <a:prstGeom prst="rect">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0.65pt;margin-top:164.55pt;height:8.5pt;width:8.5pt;z-index:251738112;v-text-anchor:middle;mso-width-relative:page;mso-height-relative:page;" fillcolor="#00B050" filled="t" stroked="t" coordsize="21600,21600" o:gfxdata="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o+Jp32AAAAAsBAAAPAAAAAAAAAAEAIAAAACIAAABkcnMvZG93bnJldi54bWxQSwECFAAUAAAA&#10;CACHTuJAOZkZY2ACAADeBAAADgAAAAAAAAABACAAAAAnAQAAZHJzL2Uyb0RvYy54bWxQSwUGAAAA&#10;AAYABgBZAQAA+QUAAAAA&#10;">
                <v:fill on="t" focussize="0,0"/>
                <v:stroke weight="2pt" color="#000000 [3213]" joinstyle="round"/>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36064" behindDoc="0" locked="0" layoutInCell="1" allowOverlap="1">
                <wp:simplePos x="0" y="0"/>
                <wp:positionH relativeFrom="column">
                  <wp:posOffset>1498600</wp:posOffset>
                </wp:positionH>
                <wp:positionV relativeFrom="paragraph">
                  <wp:posOffset>3778885</wp:posOffset>
                </wp:positionV>
                <wp:extent cx="107950" cy="107950"/>
                <wp:effectExtent l="12700" t="12700" r="12700" b="12700"/>
                <wp:wrapNone/>
                <wp:docPr id="39" name="矩形 39"/>
                <wp:cNvGraphicFramePr/>
                <a:graphic xmlns:a="http://schemas.openxmlformats.org/drawingml/2006/main">
                  <a:graphicData uri="http://schemas.microsoft.com/office/word/2010/wordprocessingShape">
                    <wps:wsp>
                      <wps:cNvSpPr/>
                      <wps:spPr>
                        <a:xfrm>
                          <a:off x="0" y="0"/>
                          <a:ext cx="107950" cy="107950"/>
                        </a:xfrm>
                        <a:prstGeom prst="rect">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8pt;margin-top:297.55pt;height:8.5pt;width:8.5pt;z-index:251736064;v-text-anchor:middle;mso-width-relative:page;mso-height-relative:page;" fillcolor="#00B050" filled="t" stroked="t" coordsize="21600,21600" o:gfxdata="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A0UYc2AAAAAsBAAAPAAAAAAAAAAEAIAAAACIAAABkcnMvZG93bnJldi54bWxQSwECFAAUAAAA&#10;CACHTuJAcFp6M2ACAADeBAAADgAAAAAAAAABACAAAAAnAQAAZHJzL2Uyb0RvYy54bWxQSwUGAAAA&#10;AAYABgBZAQAA+QUAAAAA&#10;">
                <v:fill on="t" focussize="0,0"/>
                <v:stroke weight="2pt" color="#000000 [3213]" joinstyle="round"/>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35040" behindDoc="0" locked="0" layoutInCell="1" allowOverlap="1">
                <wp:simplePos x="0" y="0"/>
                <wp:positionH relativeFrom="column">
                  <wp:posOffset>1353185</wp:posOffset>
                </wp:positionH>
                <wp:positionV relativeFrom="paragraph">
                  <wp:posOffset>4384040</wp:posOffset>
                </wp:positionV>
                <wp:extent cx="107950" cy="179705"/>
                <wp:effectExtent l="12700" t="12700" r="12700" b="17145"/>
                <wp:wrapNone/>
                <wp:docPr id="26" name="等腰三角形 26"/>
                <wp:cNvGraphicFramePr/>
                <a:graphic xmlns:a="http://schemas.openxmlformats.org/drawingml/2006/main">
                  <a:graphicData uri="http://schemas.microsoft.com/office/word/2010/wordprocessingShape">
                    <wps:wsp>
                      <wps:cNvSpPr/>
                      <wps:spPr>
                        <a:xfrm>
                          <a:off x="0" y="0"/>
                          <a:ext cx="107950" cy="179705"/>
                        </a:xfrm>
                        <a:prstGeom prst="triangl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106.55pt;margin-top:345.2pt;height:14.15pt;width:8.5pt;z-index:251735040;v-text-anchor:middle;mso-width-relative:page;mso-height-relative:page;" fillcolor="#FFFF00" filled="t" stroked="t" coordsize="21600,21600" o:gfxdata="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MA7T5dkAAAALAQAADwAAAAAAAAABACAAAAAi&#10;AAAAZHJzL2Rvd25yZXYueG1sUEsBAhQAFAAAAAgAh07iQCUpT7J7AgAA6wQAAA4AAAAAAAAAAQAg&#10;AAAAKAEAAGRycy9lMm9Eb2MueG1sUEsFBgAAAAAGAAYAWQEAABUGAAAAAA==&#10;" adj="10800">
                <v:fill on="t" focussize="0,0"/>
                <v:stroke weight="2pt" color="#000000 [3213]" joinstyle="round"/>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10464" behindDoc="0" locked="0" layoutInCell="1" allowOverlap="1">
                <wp:simplePos x="0" y="0"/>
                <wp:positionH relativeFrom="column">
                  <wp:posOffset>1349375</wp:posOffset>
                </wp:positionH>
                <wp:positionV relativeFrom="paragraph">
                  <wp:posOffset>4091305</wp:posOffset>
                </wp:positionV>
                <wp:extent cx="288290" cy="107950"/>
                <wp:effectExtent l="12700" t="12700" r="22860" b="12700"/>
                <wp:wrapNone/>
                <wp:docPr id="122" name="矩形 122"/>
                <wp:cNvGraphicFramePr/>
                <a:graphic xmlns:a="http://schemas.openxmlformats.org/drawingml/2006/main">
                  <a:graphicData uri="http://schemas.microsoft.com/office/word/2010/wordprocessingShape">
                    <wps:wsp>
                      <wps:cNvSpPr/>
                      <wps:spPr>
                        <a:xfrm>
                          <a:off x="0" y="0"/>
                          <a:ext cx="288290" cy="10795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6.25pt;margin-top:322.15pt;height:8.5pt;width:22.7pt;z-index:251710464;v-text-anchor:middle;mso-width-relative:page;mso-height-relative:page;" filled="f" stroked="t" coordsize="21600,21600" o:gfxdata="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NQpwazaAAAACwEAAA8AAAAAAAAAAQAgAAAAIgAAAGRycy9kb3ducmV2LnhtbFBLAQIUABQAAAAI&#10;AIdO4kBvkFUJXQIAALcEAAAOAAAAAAAAAAEAIAAAACkBAABkcnMvZTJvRG9jLnhtbFBLBQYAAAAA&#10;BgAGAFkBAAD4BQAAAAA=&#10;">
                <v:fill on="f" focussize="0,0"/>
                <v:stroke weight="2pt" color="#FFFF00 [3204]" joinstyle="round"/>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09440" behindDoc="0" locked="0" layoutInCell="1" allowOverlap="1">
                <wp:simplePos x="0" y="0"/>
                <wp:positionH relativeFrom="column">
                  <wp:posOffset>1473200</wp:posOffset>
                </wp:positionH>
                <wp:positionV relativeFrom="paragraph">
                  <wp:posOffset>3461385</wp:posOffset>
                </wp:positionV>
                <wp:extent cx="288290" cy="107950"/>
                <wp:effectExtent l="12700" t="12700" r="22860" b="12700"/>
                <wp:wrapNone/>
                <wp:docPr id="121" name="矩形 121"/>
                <wp:cNvGraphicFramePr/>
                <a:graphic xmlns:a="http://schemas.openxmlformats.org/drawingml/2006/main">
                  <a:graphicData uri="http://schemas.microsoft.com/office/word/2010/wordprocessingShape">
                    <wps:wsp>
                      <wps:cNvSpPr/>
                      <wps:spPr>
                        <a:xfrm>
                          <a:off x="0" y="0"/>
                          <a:ext cx="288290" cy="107950"/>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6pt;margin-top:272.55pt;height:8.5pt;width:22.7pt;z-index:251709440;v-text-anchor:middle;mso-width-relative:page;mso-height-relative:page;" filled="f" stroked="t" coordsize="21600,21600" o:gfxdata="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3Q3Uf2wAAAAsBAAAPAAAAAAAAAAEAIAAAACIAAABkcnMvZG93bnJldi54bWxQSwECFAAUAAAA&#10;CACHTuJA9NeXLF0CAAC3BAAADgAAAAAAAAABACAAAAAqAQAAZHJzL2Uyb0RvYy54bWxQSwUGAAAA&#10;AAYABgBZAQAA+QUAAAAA&#10;">
                <v:fill on="f" focussize="0,0"/>
                <v:stroke weight="2pt" color="#00B050 [3204]" joinstyle="round"/>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08416" behindDoc="0" locked="0" layoutInCell="1" allowOverlap="1">
                <wp:simplePos x="0" y="0"/>
                <wp:positionH relativeFrom="column">
                  <wp:posOffset>557530</wp:posOffset>
                </wp:positionH>
                <wp:positionV relativeFrom="paragraph">
                  <wp:posOffset>3114040</wp:posOffset>
                </wp:positionV>
                <wp:extent cx="288290" cy="107950"/>
                <wp:effectExtent l="12700" t="12700" r="22860" b="12700"/>
                <wp:wrapNone/>
                <wp:docPr id="120" name="矩形 120"/>
                <wp:cNvGraphicFramePr/>
                <a:graphic xmlns:a="http://schemas.openxmlformats.org/drawingml/2006/main">
                  <a:graphicData uri="http://schemas.microsoft.com/office/word/2010/wordprocessingShape">
                    <wps:wsp>
                      <wps:cNvSpPr/>
                      <wps:spPr>
                        <a:xfrm>
                          <a:off x="0" y="0"/>
                          <a:ext cx="288290" cy="1079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9pt;margin-top:245.2pt;height:8.5pt;width:22.7pt;z-index:251708416;v-text-anchor:middle;mso-width-relative:page;mso-height-relative:page;" filled="f" stroked="t" coordsize="21600,21600" o:gfxdata="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U&#10;dwZ+2gAAAAoBAAAPAAAAAAAAAAEAIAAAACIAAABkcnMvZG93bnJldi54bWxQSwECFAAUAAAACACH&#10;TuJADVNPnFsCAAC3BAAADgAAAAAAAAABACAAAAApAQAAZHJzL2Uyb0RvYy54bWxQSwUGAAAAAAYA&#10;BgBZAQAA9gUAAAAA&#10;">
                <v:fill on="f" focussize="0,0"/>
                <v:stroke weight="2pt" color="#000000 [3213]" joinstyle="round"/>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07392" behindDoc="0" locked="0" layoutInCell="1" allowOverlap="1">
                <wp:simplePos x="0" y="0"/>
                <wp:positionH relativeFrom="column">
                  <wp:posOffset>105410</wp:posOffset>
                </wp:positionH>
                <wp:positionV relativeFrom="paragraph">
                  <wp:posOffset>2681605</wp:posOffset>
                </wp:positionV>
                <wp:extent cx="1806575" cy="2039620"/>
                <wp:effectExtent l="12700" t="12700" r="28575" b="24130"/>
                <wp:wrapNone/>
                <wp:docPr id="119" name="矩形 119"/>
                <wp:cNvGraphicFramePr/>
                <a:graphic xmlns:a="http://schemas.openxmlformats.org/drawingml/2006/main">
                  <a:graphicData uri="http://schemas.microsoft.com/office/word/2010/wordprocessingShape">
                    <wps:wsp>
                      <wps:cNvSpPr/>
                      <wps:spPr>
                        <a:xfrm>
                          <a:off x="0" y="0"/>
                          <a:ext cx="1806575" cy="2039620"/>
                        </a:xfrm>
                        <a:prstGeom prst="rect">
                          <a:avLst/>
                        </a:prstGeom>
                        <a:solidFill>
                          <a:schemeClr val="accent3">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B06F68">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center"/>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图例</w:t>
                            </w:r>
                          </w:p>
                          <w:p w14:paraId="6964C63B">
                            <w:pPr>
                              <w:pStyle w:val="1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场区</w:t>
                            </w:r>
                          </w:p>
                          <w:p w14:paraId="1328ABD1">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土壤环境评价范围</w:t>
                            </w:r>
                          </w:p>
                          <w:p w14:paraId="6356BFF1">
                            <w:pPr>
                              <w:pStyle w:val="1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default"/>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土壤环境监测点位</w:t>
                            </w:r>
                          </w:p>
                          <w:p w14:paraId="2979F66F">
                            <w:pPr>
                              <w:pStyle w:val="1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声环境评价范围</w:t>
                            </w:r>
                          </w:p>
                          <w:p w14:paraId="3AACE4C9">
                            <w:pPr>
                              <w:pStyle w:val="1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default"/>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声环境监测点位</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3pt;margin-top:211.15pt;height:160.6pt;width:142.25pt;z-index:251707392;v-text-anchor:middle;mso-width-relative:page;mso-height-relative:page;" fillcolor="#D7E4BD [1302]" filled="t" stroked="t" coordsize="21600,21600" o:gfxdata="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LFU16/YAAAA&#10;CgEAAA8AAAAAAAAAAQAgAAAAIgAAAGRycy9kb3ducmV2LnhtbFBLAQIUABQAAAAIAIdO4kD3exHT&#10;jwIAACYFAAAOAAAAAAAAAAEAIAAAACcBAABkcnMvZTJvRG9jLnhtbFBLBQYAAAAABgAGAFkBAAAo&#10;BgAAAAA=&#10;">
                <v:fill on="t" focussize="0,0"/>
                <v:stroke weight="2pt" color="#000000 [3213]" joinstyle="round"/>
                <v:imagedata o:title=""/>
                <o:lock v:ext="edit" aspectratio="f"/>
                <v:textbox>
                  <w:txbxContent>
                    <w:p w14:paraId="28B06F68">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center"/>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图例</w:t>
                      </w:r>
                    </w:p>
                    <w:p w14:paraId="6964C63B">
                      <w:pPr>
                        <w:pStyle w:val="1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场区</w:t>
                      </w:r>
                    </w:p>
                    <w:p w14:paraId="1328ABD1">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土壤环境评价范围</w:t>
                      </w:r>
                    </w:p>
                    <w:p w14:paraId="6356BFF1">
                      <w:pPr>
                        <w:pStyle w:val="1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default"/>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土壤环境监测点位</w:t>
                      </w:r>
                    </w:p>
                    <w:p w14:paraId="2979F66F">
                      <w:pPr>
                        <w:pStyle w:val="1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声环境评价范围</w:t>
                      </w:r>
                    </w:p>
                    <w:p w14:paraId="3AACE4C9">
                      <w:pPr>
                        <w:pStyle w:val="1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default"/>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声环境监测点位</w:t>
                      </w:r>
                    </w:p>
                  </w:txbxContent>
                </v:textbox>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12512" behindDoc="0" locked="0" layoutInCell="1" allowOverlap="1">
                <wp:simplePos x="0" y="0"/>
                <wp:positionH relativeFrom="column">
                  <wp:posOffset>4291330</wp:posOffset>
                </wp:positionH>
                <wp:positionV relativeFrom="paragraph">
                  <wp:posOffset>2499360</wp:posOffset>
                </wp:positionV>
                <wp:extent cx="107950" cy="107950"/>
                <wp:effectExtent l="12700" t="12700" r="12700" b="12700"/>
                <wp:wrapNone/>
                <wp:docPr id="127" name="矩形 127"/>
                <wp:cNvGraphicFramePr/>
                <a:graphic xmlns:a="http://schemas.openxmlformats.org/drawingml/2006/main">
                  <a:graphicData uri="http://schemas.microsoft.com/office/word/2010/wordprocessingShape">
                    <wps:wsp>
                      <wps:cNvSpPr/>
                      <wps:spPr>
                        <a:xfrm>
                          <a:off x="0" y="0"/>
                          <a:ext cx="107950" cy="107950"/>
                        </a:xfrm>
                        <a:prstGeom prst="rect">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7.9pt;margin-top:196.8pt;height:8.5pt;width:8.5pt;z-index:251712512;v-text-anchor:middle;mso-width-relative:page;mso-height-relative:page;" fillcolor="#00B050" filled="t" stroked="t" coordsize="21600,21600" o:gfxdata="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5SWugdkAAAALAQAADwAAAAAAAAABACAAAAAiAAAAZHJzL2Rvd25yZXYueG1sUEsBAhQAFAAA&#10;AAgAh07iQIyymPlgAgAA4AQAAA4AAAAAAAAAAQAgAAAAKAEAAGRycy9lMm9Eb2MueG1sUEsFBgAA&#10;AAAGAAYAWQEAAPoFAAAAAA==&#10;">
                <v:fill on="t" focussize="0,0"/>
                <v:stroke weight="2pt" color="#000000 [3213]" joinstyle="round"/>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15584" behindDoc="0" locked="0" layoutInCell="1" allowOverlap="1">
                <wp:simplePos x="0" y="0"/>
                <wp:positionH relativeFrom="column">
                  <wp:posOffset>4686935</wp:posOffset>
                </wp:positionH>
                <wp:positionV relativeFrom="paragraph">
                  <wp:posOffset>1683385</wp:posOffset>
                </wp:positionV>
                <wp:extent cx="107950" cy="179705"/>
                <wp:effectExtent l="12700" t="12700" r="12700" b="17145"/>
                <wp:wrapNone/>
                <wp:docPr id="131" name="等腰三角形 131"/>
                <wp:cNvGraphicFramePr/>
                <a:graphic xmlns:a="http://schemas.openxmlformats.org/drawingml/2006/main">
                  <a:graphicData uri="http://schemas.microsoft.com/office/word/2010/wordprocessingShape">
                    <wps:wsp>
                      <wps:cNvSpPr/>
                      <wps:spPr>
                        <a:xfrm>
                          <a:off x="0" y="0"/>
                          <a:ext cx="107950" cy="179705"/>
                        </a:xfrm>
                        <a:prstGeom prst="triangl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69.05pt;margin-top:132.55pt;height:14.15pt;width:8.5pt;z-index:251715584;v-text-anchor:middle;mso-width-relative:page;mso-height-relative:page;" fillcolor="#FFFF00" filled="t" stroked="t" coordsize="21600,21600" o:gfxdata="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ZTy5s9kAAAALAQAADwAAAAAAAAABACAAAAAi&#10;AAAAZHJzL2Rvd25yZXYueG1sUEsBAhQAFAAAAAgAh07iQIfK4Ol7AgAA7QQAAA4AAAAAAAAAAQAg&#10;AAAAKAEAAGRycy9lMm9Eb2MueG1sUEsFBgAAAAAGAAYAWQEAABUGAAAAAA==&#10;" adj="10800">
                <v:fill on="t" focussize="0,0"/>
                <v:stroke weight="2pt" color="#000000 [3213]" joinstyle="round"/>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17632" behindDoc="0" locked="0" layoutInCell="1" allowOverlap="1">
                <wp:simplePos x="0" y="0"/>
                <wp:positionH relativeFrom="column">
                  <wp:posOffset>3502660</wp:posOffset>
                </wp:positionH>
                <wp:positionV relativeFrom="paragraph">
                  <wp:posOffset>3445510</wp:posOffset>
                </wp:positionV>
                <wp:extent cx="107950" cy="179705"/>
                <wp:effectExtent l="12700" t="12700" r="12700" b="17145"/>
                <wp:wrapNone/>
                <wp:docPr id="135" name="等腰三角形 135"/>
                <wp:cNvGraphicFramePr/>
                <a:graphic xmlns:a="http://schemas.openxmlformats.org/drawingml/2006/main">
                  <a:graphicData uri="http://schemas.microsoft.com/office/word/2010/wordprocessingShape">
                    <wps:wsp>
                      <wps:cNvSpPr/>
                      <wps:spPr>
                        <a:xfrm>
                          <a:off x="0" y="0"/>
                          <a:ext cx="107950" cy="179705"/>
                        </a:xfrm>
                        <a:prstGeom prst="triangl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75.8pt;margin-top:271.3pt;height:14.15pt;width:8.5pt;z-index:251717632;v-text-anchor:middle;mso-width-relative:page;mso-height-relative:page;" fillcolor="#FFFF00" filled="t" stroked="t" coordsize="21600,21600" o:gfxdata="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wcIFn1wAAAAsBAAAPAAAAAAAAAAEAIAAAACIA&#10;AABkcnMvZG93bnJldi54bWxQSwECFAAUAAAACACHTuJAr6hzmnwCAADtBAAADgAAAAAAAAABACAA&#10;AAAmAQAAZHJzL2Uyb0RvYy54bWxQSwUGAAAAAAYABgBZAQAAFAYAAAAA&#10;" adj="10800">
                <v:fill on="t" focussize="0,0"/>
                <v:stroke weight="2pt" color="#000000 [3213]" joinstyle="round"/>
                <v:imagedata o:title=""/>
                <o:lock v:ext="edit" aspectratio="f"/>
              </v:shape>
            </w:pict>
          </mc:Fallback>
        </mc:AlternateContent>
      </w:r>
      <w:r>
        <w:rPr>
          <w:rFonts w:hint="default" w:ascii="Times New Roman" w:hAnsi="Times New Roman" w:eastAsia="宋体" w:cs="Times New Roman"/>
          <w:color w:val="auto"/>
          <w:highlight w:val="none"/>
        </w:rPr>
        <w:drawing>
          <wp:anchor distT="0" distB="0" distL="114300" distR="114300" simplePos="0" relativeHeight="251711488" behindDoc="0" locked="0" layoutInCell="1" allowOverlap="1">
            <wp:simplePos x="0" y="0"/>
            <wp:positionH relativeFrom="column">
              <wp:posOffset>7687945</wp:posOffset>
            </wp:positionH>
            <wp:positionV relativeFrom="paragraph">
              <wp:posOffset>38100</wp:posOffset>
            </wp:positionV>
            <wp:extent cx="588010" cy="647700"/>
            <wp:effectExtent l="0" t="0" r="2540" b="0"/>
            <wp:wrapNone/>
            <wp:docPr id="1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4"/>
                    <pic:cNvPicPr>
                      <a:picLocks noChangeAspect="1"/>
                    </pic:cNvPicPr>
                  </pic:nvPicPr>
                  <pic:blipFill>
                    <a:blip r:embed="rId18"/>
                    <a:stretch>
                      <a:fillRect/>
                    </a:stretch>
                  </pic:blipFill>
                  <pic:spPr>
                    <a:xfrm>
                      <a:off x="0" y="0"/>
                      <a:ext cx="588010" cy="647700"/>
                    </a:xfrm>
                    <a:prstGeom prst="rect">
                      <a:avLst/>
                    </a:prstGeom>
                    <a:noFill/>
                    <a:ln>
                      <a:noFill/>
                    </a:ln>
                  </pic:spPr>
                </pic:pic>
              </a:graphicData>
            </a:graphic>
          </wp:anchor>
        </w:drawing>
      </w:r>
      <w:r>
        <w:rPr>
          <w:rFonts w:hint="default" w:ascii="Times New Roman" w:hAnsi="Times New Roman" w:eastAsia="宋体" w:cs="Times New Roman"/>
          <w:color w:val="auto"/>
          <w:highlight w:val="none"/>
        </w:rPr>
        <w:object>
          <v:shape id="_x0000_i1031" o:spt="75" type="#_x0000_t75" style="height:375.45pt;width:651.95pt;" o:ole="t" filled="f" o:preferrelative="t" stroked="f" coordsize="21600,21600">
            <v:path/>
            <v:fill on="f" focussize="0,0"/>
            <v:stroke on="f"/>
            <v:imagedata r:id="rId20" o:title=""/>
            <o:lock v:ext="edit" aspectratio="t"/>
            <w10:wrap type="none"/>
            <w10:anchorlock/>
          </v:shape>
          <o:OLEObject Type="Embed" ProgID="Visio.Drawing.11" ShapeID="_x0000_i1031" DrawAspect="Content" ObjectID="_1468075731" r:id="rId34">
            <o:LockedField>false</o:LockedField>
          </o:OLEObject>
        </w:object>
      </w:r>
    </w:p>
    <w:p w14:paraId="52249A3F">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图4.2-</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环境现状监测布点图</w:t>
      </w:r>
    </w:p>
    <w:p w14:paraId="69DC4723">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sectPr>
          <w:pgSz w:w="16838" w:h="11906" w:orient="landscape"/>
          <w:pgMar w:top="1440" w:right="1800" w:bottom="1440" w:left="1800" w:header="737" w:footer="1134" w:gutter="0"/>
          <w:pgBorders>
            <w:top w:val="none" w:sz="0" w:space="0"/>
            <w:left w:val="none" w:sz="0" w:space="0"/>
            <w:bottom w:val="none" w:sz="0" w:space="0"/>
            <w:right w:val="none" w:sz="0" w:space="0"/>
          </w:pgBorders>
          <w:pgNumType w:fmt="decimal"/>
          <w:cols w:space="425" w:num="1"/>
          <w:docGrid w:linePitch="326" w:charSpace="0"/>
        </w:sectPr>
      </w:pPr>
    </w:p>
    <w:p w14:paraId="1341147D">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350" w:name="_Toc46421122"/>
      <w:bookmarkStart w:id="351" w:name="_Toc2140"/>
      <w:r>
        <w:rPr>
          <w:rFonts w:hint="default" w:ascii="Times New Roman" w:hAnsi="Times New Roman" w:eastAsia="宋体" w:cs="Times New Roman"/>
          <w:color w:val="auto"/>
          <w:highlight w:val="none"/>
        </w:rPr>
        <w:t>4.2.5生态环境现状调查与评价</w:t>
      </w:r>
      <w:bookmarkEnd w:id="350"/>
      <w:bookmarkEnd w:id="351"/>
    </w:p>
    <w:p w14:paraId="6191833E">
      <w:pPr>
        <w:pageBreakBefore w:val="0"/>
        <w:widowControl w:val="0"/>
        <w:kinsoku/>
        <w:wordWrap/>
        <w:overflowPunct/>
        <w:topLinePunct/>
        <w:autoSpaceDE w:val="0"/>
        <w:autoSpaceDN/>
        <w:bidi w:val="0"/>
        <w:adjustRightInd/>
        <w:snapToGrid w:val="0"/>
        <w:spacing w:line="360" w:lineRule="auto"/>
        <w:ind w:left="0" w:leftChars="0" w:right="0" w:rightChars="0" w:firstLine="480" w:firstLineChars="200"/>
        <w:jc w:val="left"/>
        <w:textAlignment w:val="auto"/>
        <w:outlineLvl w:val="0"/>
        <w:rPr>
          <w:rFonts w:hint="default" w:ascii="Times New Roman" w:hAnsi="Times New Roman" w:eastAsia="宋体" w:cs="Times New Roman"/>
          <w:color w:val="auto"/>
          <w:sz w:val="24"/>
          <w:highlight w:val="none"/>
        </w:rPr>
      </w:pPr>
      <w:bookmarkStart w:id="352" w:name="_Toc27417"/>
      <w:bookmarkStart w:id="353" w:name="_Toc12597"/>
      <w:r>
        <w:rPr>
          <w:rFonts w:hint="default" w:ascii="Times New Roman" w:hAnsi="Times New Roman" w:eastAsia="宋体" w:cs="Times New Roman"/>
          <w:color w:val="auto"/>
          <w:sz w:val="24"/>
          <w:highlight w:val="none"/>
        </w:rPr>
        <w:t>1、遥感数据源的选择与解译</w:t>
      </w:r>
      <w:bookmarkEnd w:id="352"/>
      <w:bookmarkEnd w:id="353"/>
    </w:p>
    <w:p w14:paraId="1E5B0625">
      <w:pPr>
        <w:pageBreakBefore w:val="0"/>
        <w:widowControl w:val="0"/>
        <w:kinsoku/>
        <w:wordWrap/>
        <w:overflowPunct/>
        <w:topLinePunct/>
        <w:autoSpaceDE w:val="0"/>
        <w:autoSpaceDN/>
        <w:bidi w:val="0"/>
        <w:adjustRightInd/>
        <w:snapToGrid w:val="0"/>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本次遥感信息解译使用的信息源为landsat8OLI影像543波段合成，空间分辨率为</w:t>
      </w:r>
      <w:r>
        <w:rPr>
          <w:rFonts w:hint="default" w:ascii="Times New Roman" w:hAnsi="Times New Roman" w:eastAsia="宋体" w:cs="Times New Roman"/>
          <w:color w:val="auto"/>
          <w:sz w:val="24"/>
          <w:highlight w:val="none"/>
          <w:lang w:val="en-US" w:eastAsia="zh-CN"/>
        </w:rPr>
        <w:t>30</w:t>
      </w:r>
      <w:r>
        <w:rPr>
          <w:rFonts w:hint="default" w:ascii="Times New Roman" w:hAnsi="Times New Roman" w:eastAsia="宋体" w:cs="Times New Roman"/>
          <w:color w:val="auto"/>
          <w:sz w:val="24"/>
          <w:highlight w:val="none"/>
        </w:rPr>
        <w:t>m，成像时间为20</w:t>
      </w:r>
      <w:r>
        <w:rPr>
          <w:rFonts w:hint="default" w:ascii="Times New Roman" w:hAnsi="Times New Roman" w:eastAsia="宋体" w:cs="Times New Roman"/>
          <w:color w:val="auto"/>
          <w:sz w:val="24"/>
          <w:highlight w:val="none"/>
          <w:lang w:val="en-US" w:eastAsia="zh-CN"/>
        </w:rPr>
        <w:t>21</w:t>
      </w:r>
      <w:r>
        <w:rPr>
          <w:rFonts w:hint="default" w:ascii="Times New Roman" w:hAnsi="Times New Roman" w:eastAsia="宋体" w:cs="Times New Roman"/>
          <w:color w:val="auto"/>
          <w:sz w:val="24"/>
          <w:highlight w:val="none"/>
        </w:rPr>
        <w:t>年</w:t>
      </w:r>
      <w:r>
        <w:rPr>
          <w:rFonts w:hint="default"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rPr>
        <w:t>月。</w:t>
      </w:r>
    </w:p>
    <w:p w14:paraId="2939A9AD">
      <w:pPr>
        <w:pageBreakBefore w:val="0"/>
        <w:widowControl w:val="0"/>
        <w:kinsoku/>
        <w:wordWrap/>
        <w:overflowPunct/>
        <w:topLinePunct/>
        <w:autoSpaceDE w:val="0"/>
        <w:autoSpaceDN/>
        <w:bidi w:val="0"/>
        <w:adjustRightInd/>
        <w:snapToGrid w:val="0"/>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通过遥感解译与地面调查相结合的方式获取评价范围土地利用、植被类型、土壤侵蚀、景观类型等数据，最终，利用GIS软件完成评价范围内各种生态图件的制作。</w:t>
      </w:r>
    </w:p>
    <w:p w14:paraId="4AE34354">
      <w:pPr>
        <w:pageBreakBefore w:val="0"/>
        <w:widowControl w:val="0"/>
        <w:kinsoku/>
        <w:wordWrap/>
        <w:overflowPunct/>
        <w:topLinePunct/>
        <w:autoSpaceDE w:val="0"/>
        <w:autoSpaceDN/>
        <w:bidi w:val="0"/>
        <w:adjustRightInd/>
        <w:snapToGrid w:val="0"/>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32"/>
          <w:highlight w:val="none"/>
        </w:rPr>
      </w:pPr>
      <w:bookmarkStart w:id="354" w:name="_Toc5335"/>
      <w:bookmarkStart w:id="355" w:name="_Toc15260"/>
      <w:bookmarkStart w:id="356" w:name="_Toc18265"/>
      <w:bookmarkStart w:id="357" w:name="_Toc15827"/>
      <w:bookmarkStart w:id="358" w:name="_Toc28276"/>
      <w:bookmarkStart w:id="359" w:name="_Toc31451"/>
      <w:bookmarkStart w:id="360" w:name="_Toc13073"/>
      <w:r>
        <w:rPr>
          <w:rFonts w:hint="default" w:ascii="Times New Roman" w:hAnsi="Times New Roman" w:eastAsia="宋体" w:cs="Times New Roman"/>
          <w:color w:val="auto"/>
          <w:sz w:val="24"/>
          <w:szCs w:val="32"/>
          <w:highlight w:val="none"/>
        </w:rPr>
        <w:t>2、现场调查</w:t>
      </w:r>
      <w:bookmarkEnd w:id="354"/>
      <w:bookmarkEnd w:id="355"/>
      <w:bookmarkEnd w:id="356"/>
      <w:bookmarkEnd w:id="357"/>
      <w:bookmarkEnd w:id="358"/>
      <w:bookmarkEnd w:id="359"/>
      <w:bookmarkEnd w:id="360"/>
    </w:p>
    <w:p w14:paraId="4DF3BB99">
      <w:pPr>
        <w:pageBreakBefore w:val="0"/>
        <w:widowControl w:val="0"/>
        <w:kinsoku/>
        <w:wordWrap/>
        <w:overflowPunct/>
        <w:topLinePunct/>
        <w:autoSpaceDE w:val="0"/>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地面调查主要采取以实地调查为主，收集资料为辅相结合的方法。实地调查掌握项目区范围内自然生态的基本情况以及各种水土保持项目的情况。</w:t>
      </w:r>
    </w:p>
    <w:p w14:paraId="588A263E">
      <w:pPr>
        <w:pageBreakBefore w:val="0"/>
        <w:widowControl w:val="0"/>
        <w:kinsoku/>
        <w:wordWrap/>
        <w:overflowPunct/>
        <w:topLinePunct/>
        <w:autoSpaceDE w:val="0"/>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现场调查使用1/</w:t>
      </w:r>
      <w:r>
        <w:rPr>
          <w:rFonts w:hint="default" w:ascii="Times New Roman" w:hAnsi="Times New Roman" w:eastAsia="宋体" w:cs="Times New Roman"/>
          <w:color w:val="auto"/>
          <w:sz w:val="24"/>
          <w:highlight w:val="none"/>
          <w:lang w:eastAsia="zh-CN"/>
        </w:rPr>
        <w:t>12100</w:t>
      </w:r>
      <w:r>
        <w:rPr>
          <w:rFonts w:hint="default" w:ascii="Times New Roman" w:hAnsi="Times New Roman" w:eastAsia="宋体" w:cs="Times New Roman"/>
          <w:color w:val="auto"/>
          <w:sz w:val="24"/>
          <w:highlight w:val="none"/>
        </w:rPr>
        <w:t>地形图和全球定位系统。在实地调查的基础上，结合卫星影像图，取得植被组成、土地利用现状等第一手资料，最后利用REGIONMANAGER处理软件绘制评价区1/50000相关生态图件和数据统计表。</w:t>
      </w:r>
    </w:p>
    <w:p w14:paraId="60E392FE">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4"/>
          <w:highlight w:val="none"/>
        </w:rPr>
        <w:t>以项目区边界外扩1.0km，作为本次生态现状的评价范围</w:t>
      </w:r>
      <w:r>
        <w:rPr>
          <w:rFonts w:hint="default" w:ascii="Times New Roman" w:hAnsi="Times New Roman" w:eastAsia="宋体" w:cs="Times New Roman"/>
          <w:color w:val="auto"/>
          <w:sz w:val="24"/>
          <w:highlight w:val="none"/>
          <w:lang w:eastAsia="zh-CN"/>
        </w:rPr>
        <w:t>。</w:t>
      </w:r>
    </w:p>
    <w:p w14:paraId="13AF377A">
      <w:pPr>
        <w:pStyle w:val="6"/>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0"/>
        <w:rPr>
          <w:rFonts w:hint="default" w:ascii="Times New Roman" w:hAnsi="Times New Roman" w:eastAsia="宋体" w:cs="Times New Roman"/>
          <w:color w:val="auto"/>
          <w:highlight w:val="none"/>
        </w:rPr>
      </w:pPr>
      <w:bookmarkStart w:id="361" w:name="_Toc14047"/>
      <w:bookmarkStart w:id="362" w:name="_Toc11622"/>
      <w:r>
        <w:rPr>
          <w:rFonts w:hint="default" w:ascii="Times New Roman" w:hAnsi="Times New Roman" w:eastAsia="宋体" w:cs="Times New Roman"/>
          <w:color w:val="auto"/>
          <w:highlight w:val="none"/>
        </w:rPr>
        <w:t>4.2.</w:t>
      </w:r>
      <w:r>
        <w:rPr>
          <w:rStyle w:val="54"/>
          <w:rFonts w:hint="default" w:ascii="Times New Roman" w:hAnsi="Times New Roman" w:eastAsia="宋体" w:cs="Times New Roman"/>
          <w:b/>
          <w:bCs/>
          <w:color w:val="auto"/>
          <w:highlight w:val="none"/>
          <w:lang w:val="en-US" w:eastAsia="zh-CN"/>
        </w:rPr>
        <w:t>5</w:t>
      </w:r>
      <w:r>
        <w:rPr>
          <w:rFonts w:hint="default" w:ascii="Times New Roman" w:hAnsi="Times New Roman" w:eastAsia="宋体" w:cs="Times New Roman"/>
          <w:color w:val="auto"/>
          <w:highlight w:val="none"/>
        </w:rPr>
        <w:t>.1土地利用现状</w:t>
      </w:r>
      <w:bookmarkEnd w:id="361"/>
      <w:bookmarkEnd w:id="362"/>
    </w:p>
    <w:p w14:paraId="205972F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项目土地利用现状图如图4.2-</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所示。</w:t>
      </w:r>
    </w:p>
    <w:p w14:paraId="5D1A5907">
      <w:pPr>
        <w:pStyle w:val="7"/>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表4.2-1</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lang w:eastAsia="zh-CN"/>
        </w:rPr>
        <w:t>评价区</w:t>
      </w:r>
      <w:r>
        <w:rPr>
          <w:rFonts w:hint="default" w:ascii="Times New Roman" w:hAnsi="Times New Roman" w:eastAsia="宋体" w:cs="Times New Roman"/>
          <w:color w:val="auto"/>
          <w:highlight w:val="none"/>
        </w:rPr>
        <w:t>土地利用类型统计表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55"/>
        <w:gridCol w:w="1655"/>
        <w:gridCol w:w="1655"/>
        <w:gridCol w:w="1656"/>
        <w:gridCol w:w="1656"/>
      </w:tblGrid>
      <w:tr w14:paraId="7F31186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62EB42D">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一级类型</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D147BB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二级类型</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2118CB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斑块数（个）</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97E869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面积（m</w:t>
            </w:r>
            <w:r>
              <w:rPr>
                <w:rFonts w:hint="default" w:ascii="Times New Roman" w:hAnsi="Times New Roman" w:eastAsia="宋体" w:cs="Times New Roman"/>
                <w:color w:val="auto"/>
                <w:sz w:val="21"/>
                <w:szCs w:val="21"/>
                <w:highlight w:val="none"/>
                <w:vertAlign w:val="superscript"/>
                <w:lang w:eastAsia="zh-CN"/>
              </w:rPr>
              <w:t>2</w:t>
            </w:r>
            <w:r>
              <w:rPr>
                <w:rFonts w:hint="default" w:ascii="Times New Roman" w:hAnsi="Times New Roman" w:eastAsia="宋体" w:cs="Times New Roman"/>
                <w:color w:val="auto"/>
                <w:sz w:val="21"/>
                <w:szCs w:val="21"/>
                <w:highlight w:val="none"/>
                <w:lang w:eastAsia="zh-CN"/>
              </w:rPr>
              <w:t>）</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52A884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占总面积比例（%）</w:t>
            </w:r>
          </w:p>
        </w:tc>
      </w:tr>
      <w:tr w14:paraId="3FCBCB0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98A024F">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耕地</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6F35F1A">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水浇地</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005DC23">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22</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5450845">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3020814.65</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A9AF61B">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22.92</w:t>
            </w:r>
          </w:p>
        </w:tc>
      </w:tr>
      <w:tr w14:paraId="127DE73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4"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81D4696">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草地</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0FA9B6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天然牧草地</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BB5B06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6550575">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1126364.18</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E24A8B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6.35</w:t>
            </w:r>
          </w:p>
        </w:tc>
      </w:tr>
      <w:tr w14:paraId="481781F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4"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5AE452D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B29271F">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其他草地</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3DEA963">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816F6B5">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147949.97</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7FD71DA">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61.46</w:t>
            </w:r>
          </w:p>
        </w:tc>
      </w:tr>
      <w:tr w14:paraId="5D060B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A2DEEEA">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住宅用地</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66D4C4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农村宅基地</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547E25C">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358442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61811.81</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33E8D33">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1.26</w:t>
            </w:r>
          </w:p>
        </w:tc>
      </w:tr>
      <w:tr w14:paraId="72F4E39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8C1B2DC">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工矿仓储用地</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CED20F9">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采矿用地</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073D93A">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EE24F07">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114139.85</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922B0A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2.32</w:t>
            </w:r>
          </w:p>
        </w:tc>
      </w:tr>
      <w:tr w14:paraId="494A7DB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4"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D30546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交通运输用地</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4AC88F6">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铁路用地</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BAD66EF">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1219023">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90449.42</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AA32D2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1.84</w:t>
            </w:r>
          </w:p>
        </w:tc>
      </w:tr>
      <w:tr w14:paraId="38D72F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4"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484C3FDB">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1E60AE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公路用地</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E09EE5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2DFA05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39868.27</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DD6ADB9">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0.81</w:t>
            </w:r>
          </w:p>
        </w:tc>
      </w:tr>
      <w:tr w14:paraId="05AF126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4"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46F3B243">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197683F">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农村道路</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5AB78C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3E87EFD">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49114.38</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65A5356">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r>
      <w:tr w14:paraId="614340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2A9FFD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水利及水利设施用地</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A695DB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内陆滩涂</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7F7BB03">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B1AC365">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193050.21</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B0AB2A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0.58</w:t>
            </w:r>
          </w:p>
        </w:tc>
      </w:tr>
      <w:tr w14:paraId="749CED5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1C8733D">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其他土地</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B25106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设施农用地</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BFFE3A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89D68F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71684.18</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4E43FAC">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1.46</w:t>
            </w:r>
          </w:p>
        </w:tc>
      </w:tr>
      <w:tr w14:paraId="24EBBE2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45FF04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总计</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56E889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490AF56">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61</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50260D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4915246.92</w:t>
            </w:r>
          </w:p>
        </w:tc>
        <w:tc>
          <w:tcPr>
            <w:tcW w:w="113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C6FDD8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100.00</w:t>
            </w:r>
          </w:p>
        </w:tc>
      </w:tr>
    </w:tbl>
    <w:p w14:paraId="1A208B53">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表4.2-1</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eastAsia="zh-CN"/>
        </w:rPr>
        <w:t>区</w:t>
      </w:r>
      <w:r>
        <w:rPr>
          <w:rFonts w:hint="default" w:ascii="Times New Roman" w:hAnsi="Times New Roman" w:eastAsia="宋体" w:cs="Times New Roman"/>
          <w:color w:val="auto"/>
          <w:highlight w:val="none"/>
        </w:rPr>
        <w:t>土地利用类型统计表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55"/>
        <w:gridCol w:w="1655"/>
        <w:gridCol w:w="1655"/>
        <w:gridCol w:w="1656"/>
        <w:gridCol w:w="1656"/>
      </w:tblGrid>
      <w:tr w14:paraId="497F501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1EE1939">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一级类型</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EA4685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二级类型</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F10C13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斑块数（个）</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34A64E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面积（m</w:t>
            </w:r>
            <w:r>
              <w:rPr>
                <w:rFonts w:hint="default" w:ascii="Times New Roman" w:hAnsi="Times New Roman" w:eastAsia="宋体" w:cs="Times New Roman"/>
                <w:color w:val="auto"/>
                <w:sz w:val="21"/>
                <w:szCs w:val="21"/>
                <w:highlight w:val="none"/>
                <w:vertAlign w:val="superscript"/>
                <w:lang w:eastAsia="zh-CN"/>
              </w:rPr>
              <w:t>2</w:t>
            </w:r>
            <w:r>
              <w:rPr>
                <w:rFonts w:hint="default" w:ascii="Times New Roman" w:hAnsi="Times New Roman" w:eastAsia="宋体" w:cs="Times New Roman"/>
                <w:color w:val="auto"/>
                <w:sz w:val="21"/>
                <w:szCs w:val="21"/>
                <w:highlight w:val="none"/>
                <w:lang w:eastAsia="zh-CN"/>
              </w:rPr>
              <w:t>）</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A29C7F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占总面积比例（%）</w:t>
            </w:r>
          </w:p>
        </w:tc>
      </w:tr>
      <w:tr w14:paraId="6CB557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2138D06">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耕地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78A164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水浇地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D192F5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E409DC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115213.90</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69E6299">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71.08</w:t>
            </w:r>
          </w:p>
        </w:tc>
      </w:tr>
      <w:tr w14:paraId="653DA78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9470A1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草地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561253A">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其他草地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7AA2B1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F535A9B">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6187.27</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4B45EF7">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3.82</w:t>
            </w:r>
          </w:p>
        </w:tc>
      </w:tr>
      <w:tr w14:paraId="14774E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3A3265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其他土地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5582F5A">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设施农用地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828E19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93B8C65">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40689.83</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7978FC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25.10</w:t>
            </w:r>
          </w:p>
        </w:tc>
      </w:tr>
      <w:tr w14:paraId="70AF3E0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4CE578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总计</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BEA974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A14FDFC">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119FDEB">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162090.99</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852A4B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100.00</w:t>
            </w:r>
          </w:p>
        </w:tc>
      </w:tr>
    </w:tbl>
    <w:p w14:paraId="193EFC4B">
      <w:pPr>
        <w:pStyle w:val="6"/>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0"/>
        <w:rPr>
          <w:rFonts w:hint="default" w:ascii="Times New Roman" w:hAnsi="Times New Roman" w:eastAsia="宋体" w:cs="Times New Roman"/>
          <w:color w:val="auto"/>
          <w:highlight w:val="none"/>
        </w:rPr>
      </w:pPr>
      <w:bookmarkStart w:id="363" w:name="_Toc26219"/>
      <w:bookmarkStart w:id="364" w:name="_Toc14934"/>
      <w:r>
        <w:rPr>
          <w:rFonts w:hint="default" w:ascii="Times New Roman" w:hAnsi="Times New Roman" w:eastAsia="宋体" w:cs="Times New Roman"/>
          <w:color w:val="auto"/>
          <w:highlight w:val="none"/>
        </w:rPr>
        <w:t>4.2.</w:t>
      </w:r>
      <w:r>
        <w:rPr>
          <w:rStyle w:val="54"/>
          <w:rFonts w:hint="default" w:ascii="Times New Roman" w:hAnsi="Times New Roman" w:eastAsia="宋体" w:cs="Times New Roman"/>
          <w:b/>
          <w:bCs/>
          <w:color w:val="auto"/>
          <w:highlight w:val="none"/>
          <w:lang w:val="en-US" w:eastAsia="zh-CN"/>
        </w:rPr>
        <w:t>5</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2植被类型</w:t>
      </w:r>
      <w:r>
        <w:rPr>
          <w:rFonts w:hint="default" w:ascii="Times New Roman" w:hAnsi="Times New Roman" w:eastAsia="宋体" w:cs="Times New Roman"/>
          <w:color w:val="auto"/>
          <w:highlight w:val="none"/>
        </w:rPr>
        <w:t>现状</w:t>
      </w:r>
      <w:bookmarkEnd w:id="363"/>
      <w:bookmarkEnd w:id="364"/>
    </w:p>
    <w:p w14:paraId="360C7CD6">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项目植被类型现状图如图4.2-</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所示。</w:t>
      </w:r>
    </w:p>
    <w:p w14:paraId="33671FD1">
      <w:pPr>
        <w:pStyle w:val="7"/>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表4.2-1</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lang w:eastAsia="zh-CN"/>
        </w:rPr>
        <w:t>评价区植被类型</w:t>
      </w:r>
      <w:r>
        <w:rPr>
          <w:rFonts w:hint="default" w:ascii="Times New Roman" w:hAnsi="Times New Roman" w:eastAsia="宋体" w:cs="Times New Roman"/>
          <w:color w:val="auto"/>
          <w:highlight w:val="none"/>
        </w:rPr>
        <w:t>统计表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55"/>
        <w:gridCol w:w="1655"/>
        <w:gridCol w:w="1655"/>
        <w:gridCol w:w="1656"/>
        <w:gridCol w:w="1656"/>
      </w:tblGrid>
      <w:tr w14:paraId="0B6818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F56D25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一级类型</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4C791B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二级类型</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3F1927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斑块数（个）</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3D5AF7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面积（m</w:t>
            </w:r>
            <w:r>
              <w:rPr>
                <w:rFonts w:hint="default" w:ascii="Times New Roman" w:hAnsi="Times New Roman" w:eastAsia="宋体" w:cs="Times New Roman"/>
                <w:color w:val="auto"/>
                <w:sz w:val="21"/>
                <w:szCs w:val="21"/>
                <w:highlight w:val="none"/>
                <w:vertAlign w:val="superscript"/>
                <w:lang w:eastAsia="zh-CN"/>
              </w:rPr>
              <w:t>2</w:t>
            </w:r>
            <w:r>
              <w:rPr>
                <w:rFonts w:hint="default" w:ascii="Times New Roman" w:hAnsi="Times New Roman" w:eastAsia="宋体" w:cs="Times New Roman"/>
                <w:color w:val="auto"/>
                <w:sz w:val="21"/>
                <w:szCs w:val="21"/>
                <w:highlight w:val="none"/>
                <w:lang w:eastAsia="zh-CN"/>
              </w:rPr>
              <w:t>）</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662E82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占总面积比例（%）</w:t>
            </w:r>
          </w:p>
        </w:tc>
      </w:tr>
      <w:tr w14:paraId="3316610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02C42EBF">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温带荒漠草原植被</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8B4F485">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克氏针茅、沙蒿及粗隐子草等</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E3E248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C0C5B7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1126364.18</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301F2A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22.92</w:t>
            </w:r>
          </w:p>
        </w:tc>
      </w:tr>
      <w:tr w14:paraId="6C8053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0785E779">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6CD319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百里香、猪毛菜、蒲公英等田间杂草</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1E56F63">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0E88C65">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312423.18</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3B86037">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6.35</w:t>
            </w:r>
          </w:p>
        </w:tc>
      </w:tr>
      <w:tr w14:paraId="7B0FBD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11E1B4F0">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人工植被</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366D226">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水浇地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D81D937">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050004D">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3020814.65</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36973EC">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61.46</w:t>
            </w:r>
          </w:p>
        </w:tc>
      </w:tr>
      <w:tr w14:paraId="31461F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031D168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B97B32A">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农村宅基地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77C414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D9A757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61811.81</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58A1DA3">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1.26</w:t>
            </w:r>
          </w:p>
        </w:tc>
      </w:tr>
      <w:tr w14:paraId="31D6D9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4EBA16A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83CEB3F">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采矿用地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5B7B2F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90CB674">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114139.85</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5CB0F93">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2.32</w:t>
            </w:r>
          </w:p>
        </w:tc>
      </w:tr>
      <w:tr w14:paraId="0EB6230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107487C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8865BDF">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铁路用地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E455386">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B8CA5CC">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90449.42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A5671AB">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1.84</w:t>
            </w:r>
          </w:p>
        </w:tc>
      </w:tr>
      <w:tr w14:paraId="4566DEF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047AF47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45AA60D">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公路用地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6D6180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E68474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39868.27</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72F1C3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0.81</w:t>
            </w:r>
          </w:p>
        </w:tc>
      </w:tr>
      <w:tr w14:paraId="5751A03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326842A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6004EE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农村道路</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EAE46C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D3CF9C3">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49114.38</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FC8420B">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r>
      <w:tr w14:paraId="611A12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17051F6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68CD8A6">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内陆滩涂</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7A4A5D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56F4923">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28577.00</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5EF0627">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0.58</w:t>
            </w:r>
          </w:p>
        </w:tc>
      </w:tr>
      <w:tr w14:paraId="28096F1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33C3662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ED970D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设施农用地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DEF9CF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518A05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71684.18</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9E8843D">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1.46</w:t>
            </w:r>
          </w:p>
        </w:tc>
      </w:tr>
      <w:tr w14:paraId="4710CF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EEBF9F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总计</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62985E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1D7B60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61</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B51A5AD">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4915246.92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8BB49D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100.00</w:t>
            </w:r>
          </w:p>
        </w:tc>
      </w:tr>
    </w:tbl>
    <w:p w14:paraId="2E7CA5A5">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表4.2-1</w:t>
      </w:r>
      <w:r>
        <w:rPr>
          <w:rFonts w:hint="default"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eastAsia="zh-CN"/>
        </w:rPr>
        <w:t>区植被类型</w:t>
      </w:r>
      <w:r>
        <w:rPr>
          <w:rFonts w:hint="default" w:ascii="Times New Roman" w:hAnsi="Times New Roman" w:eastAsia="宋体" w:cs="Times New Roman"/>
          <w:color w:val="auto"/>
          <w:highlight w:val="none"/>
        </w:rPr>
        <w:t>统计表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55"/>
        <w:gridCol w:w="1655"/>
        <w:gridCol w:w="1655"/>
        <w:gridCol w:w="1656"/>
        <w:gridCol w:w="1656"/>
      </w:tblGrid>
      <w:tr w14:paraId="504EA2C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938855D">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一级类型</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8F41ECF">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二级类型</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92A8E5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斑块数（个）</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83F251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面积（m</w:t>
            </w:r>
            <w:r>
              <w:rPr>
                <w:rFonts w:hint="default" w:ascii="Times New Roman" w:hAnsi="Times New Roman" w:eastAsia="宋体" w:cs="Times New Roman"/>
                <w:color w:val="auto"/>
                <w:sz w:val="21"/>
                <w:szCs w:val="21"/>
                <w:highlight w:val="none"/>
                <w:vertAlign w:val="superscript"/>
                <w:lang w:eastAsia="zh-CN"/>
              </w:rPr>
              <w:t>2</w:t>
            </w:r>
            <w:r>
              <w:rPr>
                <w:rFonts w:hint="default" w:ascii="Times New Roman" w:hAnsi="Times New Roman" w:eastAsia="宋体" w:cs="Times New Roman"/>
                <w:color w:val="auto"/>
                <w:sz w:val="21"/>
                <w:szCs w:val="21"/>
                <w:highlight w:val="none"/>
                <w:lang w:eastAsia="zh-CN"/>
              </w:rPr>
              <w:t>）</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1D5AF2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占总面积比例（%）</w:t>
            </w:r>
          </w:p>
        </w:tc>
      </w:tr>
      <w:tr w14:paraId="3835BFB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C1CD665">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温带荒漠草原植被</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2AC211F">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百里香、猪毛菜、蒲公英等田间杂草</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61C412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64FD843">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6187.27</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C6A804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3.82</w:t>
            </w:r>
          </w:p>
        </w:tc>
      </w:tr>
      <w:tr w14:paraId="73B85D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B1F83E8">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人工植被</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1C0322E">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水浇地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DEF6AA2">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344E30F">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115213.90</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6F59F53">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71.08</w:t>
            </w:r>
          </w:p>
        </w:tc>
      </w:tr>
      <w:tr w14:paraId="65C8D28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vMerge w:val="continue"/>
            <w:tcBorders>
              <w:top w:val="single" w:color="auto" w:sz="4" w:space="0"/>
              <w:left w:val="single" w:color="auto" w:sz="4" w:space="0"/>
              <w:bottom w:val="single" w:color="auto" w:sz="4" w:space="0"/>
              <w:right w:val="single" w:color="auto" w:sz="4" w:space="0"/>
            </w:tcBorders>
            <w:shd w:val="clear" w:color="auto" w:fill="auto"/>
            <w:noWrap/>
            <w:vAlign w:val="bottom"/>
          </w:tcPr>
          <w:p w14:paraId="2F13E3A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24F2D61">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设施农用地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8B3B6E5">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017A5E6">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40689.83</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2FE0A5A">
            <w:pPr>
              <w:keepNext w:val="0"/>
              <w:keepLines w:val="0"/>
              <w:pageBreakBefore w:val="0"/>
              <w:widowControl/>
              <w:suppressLineNumbers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25.10</w:t>
            </w:r>
          </w:p>
        </w:tc>
      </w:tr>
      <w:tr w14:paraId="3F5B2CE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5E8092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总计</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32CDBF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FD2CDD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6A1BC8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162090.99</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75AA87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100.00</w:t>
            </w:r>
          </w:p>
        </w:tc>
      </w:tr>
    </w:tbl>
    <w:p w14:paraId="3287A2DE">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4.2.5</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生态系统功能区划</w:t>
      </w:r>
    </w:p>
    <w:p w14:paraId="2F7C645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经过现场踏勘，评价范围内无国家级和地方重点保护野生动植物集中分布区或栖息地、国家级和自治区级自然保护区、生态功能保护区</w:t>
      </w:r>
      <w:r>
        <w:rPr>
          <w:rFonts w:hint="default" w:ascii="Times New Roman" w:hAnsi="Times New Roman" w:eastAsia="宋体" w:cs="Times New Roman"/>
          <w:color w:val="auto"/>
          <w:highlight w:val="none"/>
          <w:lang w:eastAsia="zh-CN"/>
        </w:rPr>
        <w:t>以及其他</w:t>
      </w:r>
      <w:r>
        <w:rPr>
          <w:rFonts w:hint="default" w:ascii="Times New Roman" w:hAnsi="Times New Roman" w:eastAsia="宋体" w:cs="Times New Roman"/>
          <w:color w:val="auto"/>
          <w:highlight w:val="none"/>
        </w:rPr>
        <w:t>类型的保护区域。</w:t>
      </w:r>
    </w:p>
    <w:p w14:paraId="4BBB5D4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项目在巴彦淖尔市的生态功能区划位置如图4.2-</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所示。</w:t>
      </w:r>
    </w:p>
    <w:p w14:paraId="7B1FDAC6">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4.2.5.</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植被类型</w:t>
      </w:r>
    </w:p>
    <w:p w14:paraId="0B6FCBF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植被类型以沙生、旱生、盐生类灌木和小灌木为主。林地植被以松树为主。乔木物种单一，分布范围较为集中，多为落叶乔木种类，种类少。草本层种类少，受当地气候的影响，草本植物更趋旱生和中旱生。草种主要有蒿类、禾草杂类、隐子草等。</w:t>
      </w:r>
    </w:p>
    <w:p w14:paraId="21251466">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4.2.5.</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水土流失及土壤侵蚀现状</w:t>
      </w:r>
    </w:p>
    <w:p w14:paraId="22BE773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通过收集项目区所在遥感资料，评价区在地质构造上是一个断陷盆地，为细沙及乌兰布和沙漠</w:t>
      </w:r>
      <w:r>
        <w:rPr>
          <w:rFonts w:hint="default" w:ascii="Times New Roman" w:hAnsi="Times New Roman" w:eastAsia="宋体" w:cs="Times New Roman"/>
          <w:color w:val="auto"/>
          <w:highlight w:val="none"/>
          <w:lang w:eastAsia="zh-CN"/>
        </w:rPr>
        <w:t>黏土</w:t>
      </w:r>
      <w:r>
        <w:rPr>
          <w:rFonts w:hint="default" w:ascii="Times New Roman" w:hAnsi="Times New Roman" w:eastAsia="宋体" w:cs="Times New Roman"/>
          <w:color w:val="auto"/>
          <w:highlight w:val="none"/>
        </w:rPr>
        <w:t>状第四之冲积</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湖积物所覆盖，其上为冲积、淤积和风积物，多为高低不等3</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10m的流动、半固定、固定沙丘、平缓沙地及丘</w:t>
      </w:r>
      <w:r>
        <w:rPr>
          <w:rFonts w:hint="default" w:ascii="Times New Roman" w:hAnsi="Times New Roman" w:eastAsia="宋体" w:cs="Times New Roman"/>
          <w:color w:val="auto"/>
          <w:highlight w:val="none"/>
          <w:lang w:eastAsia="zh-CN"/>
        </w:rPr>
        <w:t>间低的相互</w:t>
      </w:r>
      <w:r>
        <w:rPr>
          <w:rFonts w:hint="default" w:ascii="Times New Roman" w:hAnsi="Times New Roman" w:eastAsia="宋体" w:cs="Times New Roman"/>
          <w:color w:val="auto"/>
          <w:highlight w:val="none"/>
        </w:rPr>
        <w:t>交错呈复区分布的地貌类型。土壤类型主要有灰漠土和风沙土2个土类。项目区水土流失类型为风水复合侵蚀。土壤侵蚀既有风蚀又有水蚀，风蚀为主，水蚀为辅。侵蚀形式以面蚀为主，土壤流失容许值为5000t/</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km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•a</w:t>
      </w:r>
      <w:r>
        <w:rPr>
          <w:rFonts w:hint="default" w:ascii="Times New Roman" w:hAnsi="Times New Roman" w:eastAsia="宋体" w:cs="Times New Roman"/>
          <w:color w:val="auto"/>
          <w:highlight w:val="none"/>
          <w:lang w:eastAsia="zh-CN"/>
        </w:rPr>
        <w:t>）。</w:t>
      </w:r>
    </w:p>
    <w:p w14:paraId="0753405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p>
    <w:p w14:paraId="6967645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p>
    <w:p w14:paraId="5384C91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sectPr>
          <w:pgSz w:w="11906" w:h="16838"/>
          <w:pgMar w:top="1440" w:right="1800" w:bottom="1440" w:left="1800" w:header="737" w:footer="1134" w:gutter="0"/>
          <w:pgBorders>
            <w:top w:val="none" w:sz="0" w:space="0"/>
            <w:left w:val="none" w:sz="0" w:space="0"/>
            <w:bottom w:val="none" w:sz="0" w:space="0"/>
            <w:right w:val="none" w:sz="0" w:space="0"/>
          </w:pgBorders>
          <w:pgNumType w:fmt="decimal"/>
          <w:cols w:space="425" w:num="1"/>
          <w:docGrid w:linePitch="326" w:charSpace="0"/>
        </w:sectPr>
      </w:pPr>
    </w:p>
    <w:p w14:paraId="08614877">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6974205" cy="4932045"/>
            <wp:effectExtent l="0" t="0" r="17145" b="1905"/>
            <wp:docPr id="59" name="图片 59" descr="20221202 乌拉特海禾养殖场-土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20221202 乌拉特海禾养殖场-土地"/>
                    <pic:cNvPicPr>
                      <a:picLocks noChangeAspect="1"/>
                    </pic:cNvPicPr>
                  </pic:nvPicPr>
                  <pic:blipFill>
                    <a:blip r:embed="rId35"/>
                    <a:stretch>
                      <a:fillRect/>
                    </a:stretch>
                  </pic:blipFill>
                  <pic:spPr>
                    <a:xfrm>
                      <a:off x="0" y="0"/>
                      <a:ext cx="6974205" cy="4932045"/>
                    </a:xfrm>
                    <a:prstGeom prst="rect">
                      <a:avLst/>
                    </a:prstGeom>
                  </pic:spPr>
                </pic:pic>
              </a:graphicData>
            </a:graphic>
          </wp:inline>
        </w:drawing>
      </w:r>
    </w:p>
    <w:p w14:paraId="3F868F76">
      <w:pPr>
        <w:pageBreakBefore w:val="0"/>
        <w:numPr>
          <w:ilvl w:val="0"/>
          <w:numId w:val="0"/>
        </w:numPr>
        <w:tabs>
          <w:tab w:val="left" w:pos="0"/>
        </w:tabs>
        <w:kinsoku/>
        <w:wordWrap/>
        <w:bidi w:val="0"/>
        <w:snapToGrid w:val="0"/>
        <w:spacing w:line="360" w:lineRule="auto"/>
        <w:ind w:left="0" w:leftChars="0" w:right="0" w:right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b/>
          <w:bCs/>
          <w:color w:val="auto"/>
          <w:highlight w:val="none"/>
        </w:rPr>
        <w:t>图4.2-</w:t>
      </w:r>
      <w:r>
        <w:rPr>
          <w:rFonts w:hint="default" w:ascii="Times New Roman" w:hAnsi="Times New Roman" w:eastAsia="宋体" w:cs="Times New Roman"/>
          <w:b/>
          <w:bCs/>
          <w:color w:val="auto"/>
          <w:highlight w:val="none"/>
          <w:lang w:val="en-US" w:eastAsia="zh-CN"/>
        </w:rPr>
        <w:t>3</w:t>
      </w:r>
      <w:r>
        <w:rPr>
          <w:rFonts w:hint="default" w:ascii="Times New Roman" w:hAnsi="Times New Roman" w:eastAsia="宋体" w:cs="Times New Roman"/>
          <w:b/>
          <w:bCs/>
          <w:color w:val="auto"/>
          <w:highlight w:val="none"/>
        </w:rPr>
        <w:t>项目土地利用现状图</w:t>
      </w:r>
    </w:p>
    <w:p w14:paraId="62B9BDE5">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6974205" cy="4932045"/>
            <wp:effectExtent l="0" t="0" r="17145" b="1905"/>
            <wp:docPr id="60" name="图片 60" descr="20221202 乌拉特海禾养殖场-植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20221202 乌拉特海禾养殖场-植被"/>
                    <pic:cNvPicPr>
                      <a:picLocks noChangeAspect="1"/>
                    </pic:cNvPicPr>
                  </pic:nvPicPr>
                  <pic:blipFill>
                    <a:blip r:embed="rId36"/>
                    <a:stretch>
                      <a:fillRect/>
                    </a:stretch>
                  </pic:blipFill>
                  <pic:spPr>
                    <a:xfrm>
                      <a:off x="0" y="0"/>
                      <a:ext cx="6974205" cy="4932045"/>
                    </a:xfrm>
                    <a:prstGeom prst="rect">
                      <a:avLst/>
                    </a:prstGeom>
                  </pic:spPr>
                </pic:pic>
              </a:graphicData>
            </a:graphic>
          </wp:inline>
        </w:drawing>
      </w:r>
    </w:p>
    <w:p w14:paraId="5D0EA8D5">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b/>
          <w:bCs/>
          <w:color w:val="auto"/>
          <w:highlight w:val="none"/>
        </w:rPr>
        <w:sectPr>
          <w:pgSz w:w="16838" w:h="11906" w:orient="landscape"/>
          <w:pgMar w:top="1440" w:right="1800" w:bottom="1440" w:left="1800" w:header="737" w:footer="1134" w:gutter="0"/>
          <w:pgBorders>
            <w:top w:val="none" w:sz="0" w:space="0"/>
            <w:left w:val="none" w:sz="0" w:space="0"/>
            <w:bottom w:val="none" w:sz="0" w:space="0"/>
            <w:right w:val="none" w:sz="0" w:space="0"/>
          </w:pgBorders>
          <w:pgNumType w:fmt="decimal"/>
          <w:cols w:space="425" w:num="1"/>
          <w:docGrid w:linePitch="326" w:charSpace="0"/>
        </w:sectPr>
      </w:pPr>
      <w:r>
        <w:rPr>
          <w:rFonts w:hint="default" w:ascii="Times New Roman" w:hAnsi="Times New Roman" w:eastAsia="宋体" w:cs="Times New Roman"/>
          <w:b/>
          <w:bCs/>
          <w:color w:val="auto"/>
          <w:highlight w:val="none"/>
        </w:rPr>
        <w:t>图4.2-</w:t>
      </w:r>
      <w:r>
        <w:rPr>
          <w:rFonts w:hint="default" w:ascii="Times New Roman" w:hAnsi="Times New Roman" w:eastAsia="宋体" w:cs="Times New Roman"/>
          <w:b/>
          <w:bCs/>
          <w:color w:val="auto"/>
          <w:highlight w:val="none"/>
          <w:lang w:val="en-US" w:eastAsia="zh-CN"/>
        </w:rPr>
        <w:t>4</w:t>
      </w:r>
      <w:r>
        <w:rPr>
          <w:rFonts w:hint="default" w:ascii="Times New Roman" w:hAnsi="Times New Roman" w:eastAsia="宋体" w:cs="Times New Roman"/>
          <w:b/>
          <w:bCs/>
          <w:color w:val="auto"/>
          <w:highlight w:val="none"/>
        </w:rPr>
        <w:t>项目土地利用现状图</w:t>
      </w:r>
    </w:p>
    <w:p w14:paraId="03A15D6E">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sectPr>
          <w:pgSz w:w="16838" w:h="11906" w:orient="landscape"/>
          <w:pgMar w:top="1440" w:right="1800" w:bottom="1440" w:left="1800" w:header="737" w:footer="1134" w:gutter="0"/>
          <w:pgBorders>
            <w:top w:val="none" w:sz="0" w:space="0"/>
            <w:left w:val="none" w:sz="0" w:space="0"/>
            <w:bottom w:val="none" w:sz="0" w:space="0"/>
            <w:right w:val="none" w:sz="0" w:space="0"/>
          </w:pgBorders>
          <w:pgNumType w:fmt="decimal"/>
          <w:cols w:space="425" w:num="1"/>
          <w:docGrid w:linePitch="326" w:charSpace="0"/>
        </w:sectPr>
      </w:pPr>
      <w:r>
        <w:rPr>
          <w:rFonts w:hint="default" w:ascii="Times New Roman" w:hAnsi="Times New Roman" w:eastAsia="宋体" w:cs="Times New Roman"/>
          <w:color w:val="auto"/>
          <w:highlight w:val="none"/>
        </w:rPr>
        <mc:AlternateContent>
          <mc:Choice Requires="wps">
            <w:drawing>
              <wp:anchor distT="0" distB="0" distL="114300" distR="114300" simplePos="0" relativeHeight="251663360" behindDoc="0" locked="0" layoutInCell="1" allowOverlap="1">
                <wp:simplePos x="0" y="0"/>
                <wp:positionH relativeFrom="column">
                  <wp:posOffset>5446395</wp:posOffset>
                </wp:positionH>
                <wp:positionV relativeFrom="paragraph">
                  <wp:posOffset>3595370</wp:posOffset>
                </wp:positionV>
                <wp:extent cx="1176020" cy="436880"/>
                <wp:effectExtent l="4445" t="1051560" r="248285" b="16510"/>
                <wp:wrapNone/>
                <wp:docPr id="62" name="自选图形 335"/>
                <wp:cNvGraphicFramePr/>
                <a:graphic xmlns:a="http://schemas.openxmlformats.org/drawingml/2006/main">
                  <a:graphicData uri="http://schemas.microsoft.com/office/word/2010/wordprocessingShape">
                    <wps:wsp>
                      <wps:cNvSpPr/>
                      <wps:spPr>
                        <a:xfrm>
                          <a:off x="0" y="0"/>
                          <a:ext cx="1176020" cy="436880"/>
                        </a:xfrm>
                        <a:prstGeom prst="wedgeRectCallout">
                          <a:avLst>
                            <a:gd name="adj1" fmla="val 68790"/>
                            <a:gd name="adj2" fmla="val -282994"/>
                          </a:avLst>
                        </a:prstGeom>
                        <a:solidFill>
                          <a:srgbClr val="FFFFFF"/>
                        </a:solidFill>
                        <a:ln w="9525" cap="flat" cmpd="sng">
                          <a:solidFill>
                            <a:srgbClr val="000000"/>
                          </a:solidFill>
                          <a:prstDash val="solid"/>
                          <a:miter/>
                          <a:headEnd type="none" w="med" len="med"/>
                          <a:tailEnd type="none" w="med" len="med"/>
                        </a:ln>
                      </wps:spPr>
                      <wps:txbx>
                        <w:txbxContent>
                          <w:p w14:paraId="3F9E4871">
                            <w:pPr>
                              <w:ind w:firstLine="0" w:firstLineChars="0"/>
                              <w:jc w:val="center"/>
                              <w:rPr>
                                <w:b/>
                                <w:bCs/>
                                <w:sz w:val="28"/>
                                <w:szCs w:val="24"/>
                              </w:rPr>
                            </w:pPr>
                            <w:r>
                              <w:rPr>
                                <w:rFonts w:hint="eastAsia"/>
                                <w:b/>
                                <w:bCs/>
                                <w:sz w:val="28"/>
                                <w:szCs w:val="24"/>
                              </w:rPr>
                              <w:t>项目所在地</w:t>
                            </w:r>
                          </w:p>
                        </w:txbxContent>
                      </wps:txbx>
                      <wps:bodyPr upright="1"/>
                    </wps:wsp>
                  </a:graphicData>
                </a:graphic>
              </wp:anchor>
            </w:drawing>
          </mc:Choice>
          <mc:Fallback>
            <w:pict>
              <v:shape id="自选图形 335" o:spid="_x0000_s1026" o:spt="61" type="#_x0000_t61" style="position:absolute;left:0pt;margin-left:428.85pt;margin-top:283.1pt;height:34.4pt;width:92.6pt;z-index:251663360;mso-width-relative:page;mso-height-relative:page;" fillcolor="#FFFFFF" filled="t" stroked="t" coordsize="21600,21600" o:gfxdata="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cgJJG2QAAAAwBAAAPAAAAAAAAAAEAIAAAACIA&#10;AABkcnMvZG93bnJldi54bWxQSwECFAAUAAAACACHTuJAhm51vEECAACRBAAADgAAAAAAAAABACAA&#10;AAAoAQAAZHJzL2Uyb0RvYy54bWxQSwUGAAAAAAYABgBZAQAA2wUAAAAA&#10;" adj="25659,-50327">
                <v:fill on="t" focussize="0,0"/>
                <v:stroke color="#000000" joinstyle="miter"/>
                <v:imagedata o:title=""/>
                <o:lock v:ext="edit" aspectratio="f"/>
                <v:textbox>
                  <w:txbxContent>
                    <w:p w14:paraId="3F9E4871">
                      <w:pPr>
                        <w:ind w:firstLine="0" w:firstLineChars="0"/>
                        <w:jc w:val="center"/>
                        <w:rPr>
                          <w:b/>
                          <w:bCs/>
                          <w:sz w:val="28"/>
                          <w:szCs w:val="24"/>
                        </w:rPr>
                      </w:pPr>
                      <w:r>
                        <w:rPr>
                          <w:rFonts w:hint="eastAsia"/>
                          <w:b/>
                          <w:bCs/>
                          <w:sz w:val="28"/>
                          <w:szCs w:val="24"/>
                        </w:rPr>
                        <w:t>项目所在地</w:t>
                      </w:r>
                    </w:p>
                  </w:txbxContent>
                </v:textbox>
              </v:shape>
            </w:pict>
          </mc:Fallback>
        </mc:AlternateContent>
      </w:r>
      <w:r>
        <w:rPr>
          <w:rFonts w:hint="default" w:ascii="Times New Roman" w:hAnsi="Times New Roman" w:eastAsia="宋体" w:cs="Times New Roman"/>
          <w:color w:val="auto"/>
          <w:highlight w:val="none"/>
        </w:rPr>
        <w:drawing>
          <wp:anchor distT="0" distB="0" distL="114300" distR="114300" simplePos="0" relativeHeight="251661312" behindDoc="0" locked="0" layoutInCell="1" allowOverlap="1">
            <wp:simplePos x="0" y="0"/>
            <wp:positionH relativeFrom="margin">
              <wp:posOffset>0</wp:posOffset>
            </wp:positionH>
            <wp:positionV relativeFrom="paragraph">
              <wp:posOffset>-635</wp:posOffset>
            </wp:positionV>
            <wp:extent cx="8279765" cy="4983480"/>
            <wp:effectExtent l="0" t="0" r="6985" b="7620"/>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8279765" cy="4983480"/>
                    </a:xfrm>
                    <a:prstGeom prst="rect">
                      <a:avLst/>
                    </a:prstGeom>
                    <a:noFill/>
                    <a:ln>
                      <a:noFill/>
                    </a:ln>
                  </pic:spPr>
                </pic:pic>
              </a:graphicData>
            </a:graphic>
          </wp:anchor>
        </w:drawing>
      </w:r>
      <w:r>
        <w:rPr>
          <w:rFonts w:hint="default" w:ascii="Times New Roman" w:hAnsi="Times New Roman" w:eastAsia="宋体" w:cs="Times New Roman"/>
          <w:color w:val="auto"/>
          <w:highlight w:val="none"/>
        </w:rPr>
        <w:t>图4.2-</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巴彦淖尔生态功能图</w:t>
      </w:r>
    </w:p>
    <w:p w14:paraId="2E551A17">
      <w:pPr>
        <w:pStyle w:val="2"/>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bookmarkStart w:id="365" w:name="_Toc31901"/>
      <w:r>
        <w:rPr>
          <w:rFonts w:hint="default" w:ascii="Times New Roman" w:hAnsi="Times New Roman" w:eastAsia="宋体" w:cs="Times New Roman"/>
          <w:color w:val="auto"/>
          <w:highlight w:val="none"/>
        </w:rPr>
        <w:t>5环境影响预测与评价</w:t>
      </w:r>
      <w:bookmarkEnd w:id="365"/>
    </w:p>
    <w:p w14:paraId="76E92A1A">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366" w:name="_Toc11767"/>
      <w:r>
        <w:rPr>
          <w:rFonts w:hint="default" w:ascii="Times New Roman" w:hAnsi="Times New Roman" w:eastAsia="宋体" w:cs="Times New Roman"/>
          <w:color w:val="auto"/>
          <w:highlight w:val="none"/>
        </w:rPr>
        <w:t>5.1施工期环境影响分析</w:t>
      </w:r>
      <w:bookmarkEnd w:id="366"/>
    </w:p>
    <w:p w14:paraId="2E715D3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于建筑施工的每个施工阶段所进行的项目内容和采用的机械设备不同，对周围环境要素在不同程度上将产生一定影响。建筑施工对周围环境的影响主要表现在生态破坏、水土流失、扬尘、噪声、固体废物及废水等方面，其中以扬尘</w:t>
      </w:r>
      <w:r>
        <w:rPr>
          <w:rFonts w:hint="default" w:ascii="Times New Roman" w:hAnsi="Times New Roman" w:eastAsia="宋体" w:cs="Times New Roman"/>
          <w:color w:val="auto"/>
          <w:highlight w:val="none"/>
          <w:lang w:eastAsia="zh-CN"/>
        </w:rPr>
        <w:t>和生态破坏</w:t>
      </w:r>
      <w:r>
        <w:rPr>
          <w:rFonts w:hint="default" w:ascii="Times New Roman" w:hAnsi="Times New Roman" w:eastAsia="宋体" w:cs="Times New Roman"/>
          <w:color w:val="auto"/>
          <w:highlight w:val="none"/>
        </w:rPr>
        <w:t>对环境的影响较为显著。施工期的环境影响属短期的、可恢复和局部的。</w:t>
      </w:r>
    </w:p>
    <w:p w14:paraId="50DE764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本项目施工期共</w:t>
      </w:r>
      <w:r>
        <w:rPr>
          <w:rFonts w:hint="default" w:ascii="Times New Roman" w:hAnsi="Times New Roman" w:eastAsia="宋体" w:cs="Times New Roman"/>
          <w:color w:val="auto"/>
          <w:highlight w:val="none"/>
          <w:lang w:val="en-US" w:eastAsia="zh-CN"/>
        </w:rPr>
        <w:t>8个月，</w:t>
      </w:r>
      <w:r>
        <w:rPr>
          <w:rFonts w:hint="default" w:ascii="Times New Roman" w:hAnsi="Times New Roman" w:eastAsia="宋体" w:cs="Times New Roman"/>
          <w:color w:val="auto"/>
          <w:highlight w:val="none"/>
        </w:rPr>
        <w:t>施工期间应加强管理，严格执行国家的有关规定，减少对周围环境的影响。下面将结合本工程的特征和当地的环境状况，就项目施工过程中对环境的影响进行分析，并在此基础上提出减少影响的措施和建议。</w:t>
      </w:r>
    </w:p>
    <w:p w14:paraId="50F1A65E">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367" w:name="_Toc22221"/>
      <w:r>
        <w:rPr>
          <w:rFonts w:hint="default" w:ascii="Times New Roman" w:hAnsi="Times New Roman" w:eastAsia="宋体" w:cs="Times New Roman"/>
          <w:color w:val="auto"/>
          <w:highlight w:val="none"/>
        </w:rPr>
        <w:t>5.1.1大气环境影响分析</w:t>
      </w:r>
      <w:bookmarkEnd w:id="367"/>
    </w:p>
    <w:p w14:paraId="7AEC7222">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5.1.1.1施工扬尘的影响</w:t>
      </w:r>
    </w:p>
    <w:p w14:paraId="5AB2D8F9">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施工场区</w:t>
      </w:r>
      <w:r>
        <w:rPr>
          <w:rFonts w:hint="default" w:ascii="Times New Roman" w:hAnsi="Times New Roman" w:eastAsia="宋体" w:cs="Times New Roman"/>
          <w:color w:val="auto"/>
          <w:highlight w:val="none"/>
          <w:lang w:eastAsia="zh-CN"/>
        </w:rPr>
        <w:t>和管道铺设产生的</w:t>
      </w:r>
      <w:r>
        <w:rPr>
          <w:rFonts w:hint="default" w:ascii="Times New Roman" w:hAnsi="Times New Roman" w:eastAsia="宋体" w:cs="Times New Roman"/>
          <w:color w:val="auto"/>
          <w:highlight w:val="none"/>
        </w:rPr>
        <w:t>扬尘的主要来源是施工场地清理及平整、施工建筑材料（石灰、砂石料）</w:t>
      </w:r>
      <w:r>
        <w:rPr>
          <w:rFonts w:hint="default" w:ascii="Times New Roman" w:hAnsi="Times New Roman" w:eastAsia="宋体" w:cs="Times New Roman"/>
          <w:color w:val="auto"/>
          <w:highlight w:val="none"/>
          <w:lang w:eastAsia="zh-CN"/>
        </w:rPr>
        <w:t>和</w:t>
      </w:r>
      <w:r>
        <w:rPr>
          <w:rFonts w:hint="default" w:ascii="Times New Roman" w:hAnsi="Times New Roman" w:eastAsia="宋体" w:cs="Times New Roman"/>
          <w:color w:val="auto"/>
          <w:highlight w:val="none"/>
        </w:rPr>
        <w:t>开挖</w:t>
      </w:r>
      <w:r>
        <w:rPr>
          <w:rFonts w:hint="default" w:ascii="Times New Roman" w:hAnsi="Times New Roman" w:eastAsia="宋体" w:cs="Times New Roman"/>
          <w:color w:val="auto"/>
          <w:highlight w:val="none"/>
          <w:lang w:eastAsia="zh-CN"/>
        </w:rPr>
        <w:t>土方在</w:t>
      </w:r>
      <w:r>
        <w:rPr>
          <w:rFonts w:hint="default" w:ascii="Times New Roman" w:hAnsi="Times New Roman" w:eastAsia="宋体" w:cs="Times New Roman"/>
          <w:color w:val="auto"/>
          <w:highlight w:val="none"/>
        </w:rPr>
        <w:t>装卸</w:t>
      </w:r>
      <w:r>
        <w:rPr>
          <w:rFonts w:hint="default" w:ascii="Times New Roman" w:hAnsi="Times New Roman" w:eastAsia="宋体" w:cs="Times New Roman"/>
          <w:color w:val="auto"/>
          <w:highlight w:val="none"/>
          <w:lang w:eastAsia="zh-CN"/>
        </w:rPr>
        <w:t>、堆存</w:t>
      </w:r>
      <w:r>
        <w:rPr>
          <w:rFonts w:hint="default" w:ascii="Times New Roman" w:hAnsi="Times New Roman" w:eastAsia="宋体" w:cs="Times New Roman"/>
          <w:color w:val="auto"/>
          <w:highlight w:val="none"/>
        </w:rPr>
        <w:t>、运输过程中造成的扬尘，</w:t>
      </w:r>
      <w:r>
        <w:rPr>
          <w:rFonts w:hint="default" w:ascii="Times New Roman" w:hAnsi="Times New Roman" w:eastAsia="宋体" w:cs="Times New Roman"/>
          <w:color w:val="auto"/>
          <w:highlight w:val="none"/>
          <w:lang w:eastAsia="zh-CN"/>
        </w:rPr>
        <w:t>以及</w:t>
      </w:r>
      <w:r>
        <w:rPr>
          <w:rFonts w:hint="default" w:ascii="Times New Roman" w:hAnsi="Times New Roman" w:eastAsia="宋体" w:cs="Times New Roman"/>
          <w:color w:val="auto"/>
          <w:highlight w:val="none"/>
        </w:rPr>
        <w:t>道路扬尘</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另外运输汽车、施工机械等燃油会排放少量尾气，对空气环境也有一定的影响。</w:t>
      </w:r>
    </w:p>
    <w:p w14:paraId="0626E337">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（1）施工场区扬尘</w:t>
      </w:r>
    </w:p>
    <w:p w14:paraId="3FC25FA6">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场区扬尘的主要来源是工程建设产生的扬尘，主要集中在土建施工阶段，土地平整、表土剥离、开挖、回填、建材运输、露天堆放、装卸和搅拌等过程。扬尘的排放与施工场地的面积和施工活动频率成比例，还与风速与粒径和含水率有关，因此</w:t>
      </w:r>
      <w:r>
        <w:rPr>
          <w:rFonts w:hint="default" w:ascii="Times New Roman" w:hAnsi="Times New Roman" w:eastAsia="宋体" w:cs="Times New Roman"/>
          <w:color w:val="auto"/>
          <w:highlight w:val="none"/>
          <w:lang w:eastAsia="zh-CN"/>
        </w:rPr>
        <w:t>减少</w:t>
      </w:r>
      <w:r>
        <w:rPr>
          <w:rFonts w:hint="default" w:ascii="Times New Roman" w:hAnsi="Times New Roman" w:eastAsia="宋体" w:cs="Times New Roman"/>
          <w:color w:val="auto"/>
          <w:highlight w:val="none"/>
        </w:rPr>
        <w:t>露天堆场和保证一定的含水率及减少裸露地面是减少风力起尘的有效手段。粉尘在空气中的扩散稀散与风速等气象条件有关，也与粉尘的沉降速度有关。不同粒径的沉降速度见下表。</w:t>
      </w:r>
    </w:p>
    <w:p w14:paraId="1826A830">
      <w:pPr>
        <w:pStyle w:val="7"/>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表5.1-1不同粒径尘粒的沉降速度一览表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28" w:type="dxa"/>
          <w:left w:w="0" w:type="dxa"/>
          <w:bottom w:w="28" w:type="dxa"/>
          <w:right w:w="0" w:type="dxa"/>
        </w:tblCellMar>
      </w:tblPr>
      <w:tblGrid>
        <w:gridCol w:w="2609"/>
        <w:gridCol w:w="811"/>
        <w:gridCol w:w="811"/>
        <w:gridCol w:w="811"/>
        <w:gridCol w:w="811"/>
        <w:gridCol w:w="811"/>
        <w:gridCol w:w="811"/>
        <w:gridCol w:w="802"/>
      </w:tblGrid>
      <w:tr w14:paraId="7C75209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0" w:type="dxa"/>
            <w:bottom w:w="28" w:type="dxa"/>
            <w:right w:w="0" w:type="dxa"/>
          </w:tblCellMar>
        </w:tblPrEx>
        <w:trPr>
          <w:cantSplit/>
          <w:trHeight w:val="340" w:hRule="atLeast"/>
          <w:jc w:val="center"/>
        </w:trPr>
        <w:tc>
          <w:tcPr>
            <w:tcW w:w="2840"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32BE026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粉尘粒径（μm）</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1B0CAFA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10</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17A20DD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20</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029CB9F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30</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68ABADC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40</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0EF0BDB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50</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79C5B80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60</w:t>
            </w:r>
          </w:p>
        </w:tc>
        <w:tc>
          <w:tcPr>
            <w:tcW w:w="871"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162719F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70</w:t>
            </w:r>
          </w:p>
        </w:tc>
      </w:tr>
      <w:tr w14:paraId="73667F7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0" w:type="dxa"/>
            <w:bottom w:w="28" w:type="dxa"/>
            <w:right w:w="0" w:type="dxa"/>
          </w:tblCellMar>
        </w:tblPrEx>
        <w:trPr>
          <w:cantSplit/>
          <w:trHeight w:val="340" w:hRule="atLeast"/>
          <w:jc w:val="center"/>
        </w:trPr>
        <w:tc>
          <w:tcPr>
            <w:tcW w:w="2840"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734D277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沉降速度（m/s）</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0FCCDC4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0.003</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5BA3C98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0.012</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4271AFC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0.027</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1F57C88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0.048</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0694CF4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0.075</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13CA3D8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0108</w:t>
            </w:r>
          </w:p>
        </w:tc>
        <w:tc>
          <w:tcPr>
            <w:tcW w:w="871"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4182F52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0.147</w:t>
            </w:r>
          </w:p>
        </w:tc>
      </w:tr>
      <w:tr w14:paraId="69966F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0" w:type="dxa"/>
            <w:bottom w:w="28" w:type="dxa"/>
            <w:right w:w="0" w:type="dxa"/>
          </w:tblCellMar>
        </w:tblPrEx>
        <w:trPr>
          <w:cantSplit/>
          <w:trHeight w:val="340" w:hRule="atLeast"/>
          <w:jc w:val="center"/>
        </w:trPr>
        <w:tc>
          <w:tcPr>
            <w:tcW w:w="2840"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141E8E3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粉尘粒径（μm）</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16142A3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80</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5A0664F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90</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4EFDF6D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100</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1B15483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150</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4CC38FA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200</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783FEBD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250</w:t>
            </w:r>
          </w:p>
        </w:tc>
        <w:tc>
          <w:tcPr>
            <w:tcW w:w="871"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74480BF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350</w:t>
            </w:r>
          </w:p>
        </w:tc>
      </w:tr>
      <w:tr w14:paraId="263D429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0" w:type="dxa"/>
            <w:bottom w:w="28" w:type="dxa"/>
            <w:right w:w="0" w:type="dxa"/>
          </w:tblCellMar>
        </w:tblPrEx>
        <w:trPr>
          <w:cantSplit/>
          <w:trHeight w:val="340" w:hRule="atLeast"/>
          <w:jc w:val="center"/>
        </w:trPr>
        <w:tc>
          <w:tcPr>
            <w:tcW w:w="2840"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3CCB9B5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沉降速度（m/s）</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7A38AA3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0.158</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20E59B0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0.170</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64F29A9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0.182</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1E95918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0.239</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5B0AE42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0.804</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5FB7BFA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1.005</w:t>
            </w:r>
          </w:p>
        </w:tc>
        <w:tc>
          <w:tcPr>
            <w:tcW w:w="871"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79231FE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1.829</w:t>
            </w:r>
          </w:p>
        </w:tc>
      </w:tr>
      <w:tr w14:paraId="3B4FDBC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0" w:type="dxa"/>
            <w:bottom w:w="28" w:type="dxa"/>
            <w:right w:w="0" w:type="dxa"/>
          </w:tblCellMar>
        </w:tblPrEx>
        <w:trPr>
          <w:cantSplit/>
          <w:trHeight w:val="340" w:hRule="atLeast"/>
          <w:jc w:val="center"/>
        </w:trPr>
        <w:tc>
          <w:tcPr>
            <w:tcW w:w="2840"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31E61B7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粉尘粒径（μm）</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41C0F96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450</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3DDE6CC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550</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70FF572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650</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0B66AE9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750</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72C9E7C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850</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5C305B4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950</w:t>
            </w:r>
          </w:p>
        </w:tc>
        <w:tc>
          <w:tcPr>
            <w:tcW w:w="871"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2C6367A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1050</w:t>
            </w:r>
          </w:p>
        </w:tc>
      </w:tr>
      <w:tr w14:paraId="30ED29B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0" w:type="dxa"/>
            <w:bottom w:w="28" w:type="dxa"/>
            <w:right w:w="0" w:type="dxa"/>
          </w:tblCellMar>
        </w:tblPrEx>
        <w:trPr>
          <w:cantSplit/>
          <w:trHeight w:val="340" w:hRule="atLeast"/>
          <w:jc w:val="center"/>
        </w:trPr>
        <w:tc>
          <w:tcPr>
            <w:tcW w:w="2840"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2EE8CA0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沉降速度（m/s）</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192C4FA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2.211</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75A192F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2.614</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50CBBA2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3.016</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65FAED6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3.418</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2AD08D3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3.820</w:t>
            </w:r>
          </w:p>
        </w:tc>
        <w:tc>
          <w:tcPr>
            <w:tcW w:w="88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3197E96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4.222</w:t>
            </w:r>
          </w:p>
        </w:tc>
        <w:tc>
          <w:tcPr>
            <w:tcW w:w="871"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3B1DF94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4.624</w:t>
            </w:r>
          </w:p>
        </w:tc>
      </w:tr>
    </w:tbl>
    <w:p w14:paraId="3BF960CE">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从上表中可知，粉尘的沉降速度随着粒径的增大而迅速增大，当粒径大于250μm时，主要影响范围在扬尘产生点下风向近距离范围内，而对外环境影响较大的是一些粒径微小的粉尘。</w:t>
      </w:r>
    </w:p>
    <w:p w14:paraId="7B9EB155">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根据有关资料，施工扬尘的影响范围一般在下风向50m范围内为重污染带、50m～100m为中污染带、100m～150m为轻污染带、150m以外基本不受影响。施工扬尘对周边人群聚集点的影响很小。</w:t>
      </w:r>
    </w:p>
    <w:p w14:paraId="73890E86">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通常施工扬尘中粒径大于10μm的颗粒物（降尘）会降落在植物叶片上，使植物叶片表面积尘成层而抑制植物的光合作用、呼吸作用和蒸腾作用，不利于植物的生长。根据类比，施工扬尘对周围植物的影响范围为扬尘点下风向100m范围内，但在施工场地采取勤洒水等防尘抑尘措施后，施工扬尘对周围植物的影响范围可以被控制在20～50m范围内，且施工对植物造成的这种影响是局部和暂时的，施工结束，这些影响也随即消失。</w:t>
      </w:r>
    </w:p>
    <w:p w14:paraId="1359208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如果施工阶段对汽车行驶路面勤洒水（4～5次/天），可以使空气中扬尘产生量减少70%左右，收到很好的降尘效果，施工扬尘造成的TSP污染距离可缩小到20</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50m范围内。施工阶段洒水的试验资料见下表。</w:t>
      </w:r>
    </w:p>
    <w:p w14:paraId="274FEBA6">
      <w:pPr>
        <w:pStyle w:val="7"/>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表5.1-2施工阶段使用洒水降尘试验结果一览表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28" w:type="dxa"/>
          <w:left w:w="0" w:type="dxa"/>
          <w:bottom w:w="28" w:type="dxa"/>
          <w:right w:w="0" w:type="dxa"/>
        </w:tblCellMar>
      </w:tblPr>
      <w:tblGrid>
        <w:gridCol w:w="2165"/>
        <w:gridCol w:w="1602"/>
        <w:gridCol w:w="1078"/>
        <w:gridCol w:w="858"/>
        <w:gridCol w:w="858"/>
        <w:gridCol w:w="858"/>
        <w:gridCol w:w="858"/>
      </w:tblGrid>
      <w:tr w14:paraId="078F875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0" w:type="dxa"/>
            <w:bottom w:w="28" w:type="dxa"/>
            <w:right w:w="0" w:type="dxa"/>
          </w:tblCellMar>
        </w:tblPrEx>
        <w:trPr>
          <w:trHeight w:val="340" w:hRule="exact"/>
          <w:jc w:val="center"/>
        </w:trPr>
        <w:tc>
          <w:tcPr>
            <w:tcW w:w="4099" w:type="dxa"/>
            <w:gridSpan w:val="2"/>
            <w:tcBorders>
              <w:top w:val="single" w:color="auto" w:sz="4" w:space="0"/>
              <w:left w:val="single" w:color="auto" w:sz="4" w:space="0"/>
              <w:bottom w:val="single" w:color="auto" w:sz="4" w:space="0"/>
              <w:right w:val="single" w:color="auto" w:sz="4" w:space="0"/>
            </w:tcBorders>
            <w:tcMar>
              <w:top w:w="0" w:type="dxa"/>
              <w:bottom w:w="0" w:type="dxa"/>
            </w:tcMar>
            <w:vAlign w:val="center"/>
          </w:tcPr>
          <w:p w14:paraId="5314638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距路边距离（m）</w:t>
            </w:r>
          </w:p>
        </w:tc>
        <w:tc>
          <w:tcPr>
            <w:tcW w:w="117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63FCEB4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w:t>
            </w:r>
          </w:p>
        </w:tc>
        <w:tc>
          <w:tcPr>
            <w:tcW w:w="933"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294925C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w:t>
            </w:r>
          </w:p>
        </w:tc>
        <w:tc>
          <w:tcPr>
            <w:tcW w:w="933"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585FC4B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w:t>
            </w:r>
          </w:p>
        </w:tc>
        <w:tc>
          <w:tcPr>
            <w:tcW w:w="933"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1BBACB4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w:t>
            </w:r>
          </w:p>
        </w:tc>
        <w:tc>
          <w:tcPr>
            <w:tcW w:w="933"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0CDCE7D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200</w:t>
            </w:r>
          </w:p>
        </w:tc>
      </w:tr>
      <w:tr w14:paraId="008BB4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0" w:type="dxa"/>
            <w:bottom w:w="28" w:type="dxa"/>
            <w:right w:w="0" w:type="dxa"/>
          </w:tblCellMar>
        </w:tblPrEx>
        <w:trPr>
          <w:trHeight w:val="340" w:hRule="exact"/>
          <w:jc w:val="center"/>
        </w:trPr>
        <w:tc>
          <w:tcPr>
            <w:tcW w:w="2356" w:type="dxa"/>
            <w:vMerge w:val="restart"/>
            <w:tcBorders>
              <w:top w:val="single" w:color="auto" w:sz="4" w:space="0"/>
              <w:left w:val="single" w:color="auto" w:sz="4" w:space="0"/>
              <w:bottom w:val="single" w:color="auto" w:sz="4" w:space="0"/>
              <w:right w:val="single" w:color="auto" w:sz="4" w:space="0"/>
            </w:tcBorders>
            <w:tcMar>
              <w:top w:w="0" w:type="dxa"/>
              <w:bottom w:w="0" w:type="dxa"/>
            </w:tcMar>
            <w:vAlign w:val="center"/>
          </w:tcPr>
          <w:p w14:paraId="5A2E864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TSP浓度</w:t>
            </w:r>
          </w:p>
        </w:tc>
        <w:tc>
          <w:tcPr>
            <w:tcW w:w="1743"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11234E1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不洒水</w:t>
            </w:r>
          </w:p>
        </w:tc>
        <w:tc>
          <w:tcPr>
            <w:tcW w:w="117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42D23AC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11.03</w:t>
            </w:r>
          </w:p>
        </w:tc>
        <w:tc>
          <w:tcPr>
            <w:tcW w:w="933"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6B534C3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2.89</w:t>
            </w:r>
          </w:p>
        </w:tc>
        <w:tc>
          <w:tcPr>
            <w:tcW w:w="933"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79C6E36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1.15</w:t>
            </w:r>
          </w:p>
        </w:tc>
        <w:tc>
          <w:tcPr>
            <w:tcW w:w="933"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0883C33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0.86</w:t>
            </w:r>
          </w:p>
        </w:tc>
        <w:tc>
          <w:tcPr>
            <w:tcW w:w="933"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0D92FA8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0.56</w:t>
            </w:r>
          </w:p>
        </w:tc>
      </w:tr>
      <w:tr w14:paraId="2BB8A75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0" w:type="dxa"/>
            <w:bottom w:w="28" w:type="dxa"/>
            <w:right w:w="0" w:type="dxa"/>
          </w:tblCellMar>
        </w:tblPrEx>
        <w:trPr>
          <w:trHeight w:val="340" w:hRule="exact"/>
          <w:jc w:val="center"/>
        </w:trPr>
        <w:tc>
          <w:tcPr>
            <w:tcW w:w="2356" w:type="dxa"/>
            <w:vMerge w:val="continue"/>
            <w:tcBorders>
              <w:top w:val="single" w:color="auto" w:sz="4" w:space="0"/>
              <w:left w:val="single" w:color="auto" w:sz="4" w:space="0"/>
              <w:bottom w:val="single" w:color="auto" w:sz="4" w:space="0"/>
              <w:right w:val="single" w:color="auto" w:sz="4" w:space="0"/>
            </w:tcBorders>
            <w:tcMar>
              <w:top w:w="0" w:type="dxa"/>
              <w:bottom w:w="0" w:type="dxa"/>
            </w:tcMar>
            <w:vAlign w:val="center"/>
          </w:tcPr>
          <w:p w14:paraId="6D332C3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p>
        </w:tc>
        <w:tc>
          <w:tcPr>
            <w:tcW w:w="1743"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220872A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洒水</w:t>
            </w:r>
          </w:p>
        </w:tc>
        <w:tc>
          <w:tcPr>
            <w:tcW w:w="117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223FF3A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2.11</w:t>
            </w:r>
          </w:p>
        </w:tc>
        <w:tc>
          <w:tcPr>
            <w:tcW w:w="933"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1530419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1.40</w:t>
            </w:r>
          </w:p>
        </w:tc>
        <w:tc>
          <w:tcPr>
            <w:tcW w:w="933"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13CC341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0.68</w:t>
            </w:r>
          </w:p>
        </w:tc>
        <w:tc>
          <w:tcPr>
            <w:tcW w:w="933"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3FB99EB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0.60</w:t>
            </w:r>
          </w:p>
        </w:tc>
        <w:tc>
          <w:tcPr>
            <w:tcW w:w="933"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1FA354D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0.29</w:t>
            </w:r>
          </w:p>
        </w:tc>
      </w:tr>
      <w:tr w14:paraId="78FCFF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0" w:type="dxa"/>
            <w:bottom w:w="28" w:type="dxa"/>
            <w:right w:w="0" w:type="dxa"/>
          </w:tblCellMar>
        </w:tblPrEx>
        <w:trPr>
          <w:trHeight w:val="340" w:hRule="exact"/>
          <w:jc w:val="center"/>
        </w:trPr>
        <w:tc>
          <w:tcPr>
            <w:tcW w:w="4099" w:type="dxa"/>
            <w:gridSpan w:val="2"/>
            <w:tcBorders>
              <w:top w:val="single" w:color="auto" w:sz="4" w:space="0"/>
              <w:left w:val="single" w:color="auto" w:sz="4" w:space="0"/>
              <w:bottom w:val="single" w:color="auto" w:sz="4" w:space="0"/>
              <w:right w:val="single" w:color="auto" w:sz="4" w:space="0"/>
            </w:tcBorders>
            <w:tcMar>
              <w:top w:w="0" w:type="dxa"/>
              <w:bottom w:w="0" w:type="dxa"/>
            </w:tcMar>
            <w:vAlign w:val="center"/>
          </w:tcPr>
          <w:p w14:paraId="6EFCC80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降尘效果（%）</w:t>
            </w:r>
          </w:p>
        </w:tc>
        <w:tc>
          <w:tcPr>
            <w:tcW w:w="1172"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42A9174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80.2</w:t>
            </w:r>
          </w:p>
        </w:tc>
        <w:tc>
          <w:tcPr>
            <w:tcW w:w="933"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3CC80A6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51.6</w:t>
            </w:r>
          </w:p>
        </w:tc>
        <w:tc>
          <w:tcPr>
            <w:tcW w:w="933"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158CFD1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41.7</w:t>
            </w:r>
          </w:p>
        </w:tc>
        <w:tc>
          <w:tcPr>
            <w:tcW w:w="933"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1A8C755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30.2</w:t>
            </w:r>
          </w:p>
        </w:tc>
        <w:tc>
          <w:tcPr>
            <w:tcW w:w="933" w:type="dxa"/>
            <w:tcBorders>
              <w:top w:val="single" w:color="auto" w:sz="4" w:space="0"/>
              <w:left w:val="single" w:color="auto" w:sz="4" w:space="0"/>
              <w:bottom w:val="single" w:color="auto" w:sz="4" w:space="0"/>
              <w:right w:val="single" w:color="auto" w:sz="4" w:space="0"/>
            </w:tcBorders>
            <w:tcMar>
              <w:top w:w="0" w:type="dxa"/>
              <w:bottom w:w="0" w:type="dxa"/>
            </w:tcMar>
            <w:vAlign w:val="center"/>
          </w:tcPr>
          <w:p w14:paraId="2F76822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48.2</w:t>
            </w:r>
          </w:p>
        </w:tc>
      </w:tr>
    </w:tbl>
    <w:p w14:paraId="17B55110">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从上表可知，洒水抑尘可以使扬尘在20</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50m的距离内达到《大气污染物综合排放标准》（GB16297-1996）表2新污染源大气污染物排放限值</w:t>
      </w:r>
      <w:r>
        <w:rPr>
          <w:rFonts w:hint="default" w:ascii="Times New Roman" w:hAnsi="Times New Roman" w:eastAsia="宋体" w:cs="Times New Roman"/>
          <w:color w:val="auto"/>
          <w:highlight w:val="none"/>
          <w:lang w:eastAsia="zh-CN"/>
        </w:rPr>
        <w:t>中无组织排放监控浓度限值</w:t>
      </w:r>
      <w:r>
        <w:rPr>
          <w:rFonts w:hint="default" w:ascii="Times New Roman" w:hAnsi="Times New Roman" w:eastAsia="宋体" w:cs="Times New Roman"/>
          <w:color w:val="auto"/>
          <w:highlight w:val="none"/>
        </w:rPr>
        <w:t>1.0mg/m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（周界外浓度最高点）</w:t>
      </w:r>
      <w:r>
        <w:rPr>
          <w:rFonts w:hint="default" w:ascii="Times New Roman" w:hAnsi="Times New Roman" w:eastAsia="宋体" w:cs="Times New Roman"/>
          <w:color w:val="auto"/>
          <w:highlight w:val="none"/>
          <w:lang w:eastAsia="zh-CN"/>
        </w:rPr>
        <w:t>的</w:t>
      </w:r>
      <w:r>
        <w:rPr>
          <w:rFonts w:hint="default" w:ascii="Times New Roman" w:hAnsi="Times New Roman" w:eastAsia="宋体" w:cs="Times New Roman"/>
          <w:color w:val="auto"/>
          <w:highlight w:val="none"/>
        </w:rPr>
        <w:t>限值要求。</w:t>
      </w:r>
    </w:p>
    <w:p w14:paraId="56A9093E">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（2）车辆行驶扬尘</w:t>
      </w:r>
    </w:p>
    <w:p w14:paraId="3C31B7A5">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根据有关文献资料介绍，施工过程中，车辆行驶产生的扬尘占总扬尘的60%以上。</w:t>
      </w:r>
    </w:p>
    <w:p w14:paraId="5025D043">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车辆行驶产生的扬尘，在完全干燥的情况下，可按以下经验公式计算：</w:t>
      </w:r>
    </w:p>
    <w:p w14:paraId="3BEBA945">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position w:val="-28"/>
          <w:highlight w:val="none"/>
        </w:rPr>
        <w:object>
          <v:shape id="_x0000_i1032" o:spt="75" type="#_x0000_t75" style="height:35.3pt;width:153.5pt;" o:ole="t" filled="f" o:preferrelative="t" stroked="f" coordsize="21600,21600">
            <v:path/>
            <v:fill on="f" focussize="0,0"/>
            <v:stroke on="f" joinstyle="miter"/>
            <v:imagedata r:id="rId39" o:title=""/>
            <o:lock v:ext="edit" aspectratio="t"/>
            <w10:wrap type="none"/>
            <w10:anchorlock/>
          </v:shape>
          <o:OLEObject Type="Embed" ProgID="Equation.3" ShapeID="_x0000_i1032" DrawAspect="Content" ObjectID="_1468075732" r:id="rId38">
            <o:LockedField>false</o:LockedField>
          </o:OLEObject>
        </w:object>
      </w:r>
    </w:p>
    <w:p w14:paraId="408E4EC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p>
    <w:p w14:paraId="554D875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Q—汽车行驶的扬尘量，kg/km·辆；</w:t>
      </w:r>
    </w:p>
    <w:p w14:paraId="5B8A771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V—汽车速度，km/h；</w:t>
      </w:r>
    </w:p>
    <w:p w14:paraId="518B35F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W—汽车载重量，T；</w:t>
      </w:r>
    </w:p>
    <w:p w14:paraId="6D1C09D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P—道路表面粉尘量，kg/m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w:t>
      </w:r>
    </w:p>
    <w:p w14:paraId="178677E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下表为一辆10t卡车，通过一段长为1km的路面时，不同路面清洁程度，不同行驶速度情况下的扬尘量。</w:t>
      </w:r>
    </w:p>
    <w:p w14:paraId="530A4D26">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表5.1-3在不同车速和地面清洁程度的汽车扬尘量单位：kg/km·辆</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28" w:type="dxa"/>
          <w:left w:w="0" w:type="dxa"/>
          <w:bottom w:w="28" w:type="dxa"/>
          <w:right w:w="0" w:type="dxa"/>
        </w:tblCellMar>
      </w:tblPr>
      <w:tblGrid>
        <w:gridCol w:w="2002"/>
        <w:gridCol w:w="1046"/>
        <w:gridCol w:w="1046"/>
        <w:gridCol w:w="1046"/>
        <w:gridCol w:w="1046"/>
        <w:gridCol w:w="1047"/>
        <w:gridCol w:w="1044"/>
      </w:tblGrid>
      <w:tr w14:paraId="2760CEE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0" w:type="dxa"/>
            <w:bottom w:w="28" w:type="dxa"/>
            <w:right w:w="0" w:type="dxa"/>
          </w:tblCellMar>
        </w:tblPrEx>
        <w:trPr>
          <w:trHeight w:val="340" w:hRule="atLeast"/>
          <w:jc w:val="center"/>
        </w:trPr>
        <w:tc>
          <w:tcPr>
            <w:tcW w:w="2179" w:type="dxa"/>
            <w:tcBorders>
              <w:top w:val="single" w:color="auto" w:sz="4" w:space="0"/>
              <w:left w:val="single" w:color="auto" w:sz="4" w:space="0"/>
              <w:bottom w:val="single" w:color="auto" w:sz="4" w:space="0"/>
              <w:right w:val="single" w:color="auto" w:sz="4" w:space="0"/>
              <w:tl2br w:val="single" w:color="auto" w:sz="4" w:space="0"/>
            </w:tcBorders>
            <w:tcMar>
              <w:top w:w="0" w:type="dxa"/>
              <w:left w:w="0" w:type="dxa"/>
              <w:bottom w:w="0" w:type="dxa"/>
              <w:right w:w="0" w:type="dxa"/>
            </w:tcMar>
            <w:vAlign w:val="center"/>
          </w:tcPr>
          <w:p w14:paraId="76DA2AB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val="en-GB"/>
              </w:rPr>
            </w:pPr>
            <w:r>
              <w:rPr>
                <w:rFonts w:hint="default" w:ascii="Times New Roman" w:hAnsi="Times New Roman" w:eastAsia="宋体" w:cs="Times New Roman"/>
                <w:color w:val="auto"/>
                <w:sz w:val="21"/>
                <w:szCs w:val="20"/>
                <w:highlight w:val="none"/>
                <w:lang w:val="en-GB"/>
              </w:rPr>
              <w:t>P（</w:t>
            </w:r>
            <w:r>
              <w:rPr>
                <w:rFonts w:hint="default" w:ascii="Times New Roman" w:hAnsi="Times New Roman" w:eastAsia="宋体" w:cs="Times New Roman"/>
                <w:color w:val="auto"/>
                <w:sz w:val="21"/>
                <w:szCs w:val="20"/>
                <w:highlight w:val="none"/>
              </w:rPr>
              <w:t>kg/m</w:t>
            </w:r>
            <w:r>
              <w:rPr>
                <w:rFonts w:hint="default" w:ascii="Times New Roman" w:hAnsi="Times New Roman" w:eastAsia="宋体" w:cs="Times New Roman"/>
                <w:color w:val="auto"/>
                <w:sz w:val="21"/>
                <w:szCs w:val="20"/>
                <w:highlight w:val="none"/>
                <w:vertAlign w:val="superscript"/>
              </w:rPr>
              <w:t>2</w:t>
            </w:r>
            <w:r>
              <w:rPr>
                <w:rFonts w:hint="default" w:ascii="Times New Roman" w:hAnsi="Times New Roman" w:eastAsia="宋体" w:cs="Times New Roman"/>
                <w:color w:val="auto"/>
                <w:sz w:val="21"/>
                <w:szCs w:val="20"/>
                <w:highlight w:val="none"/>
                <w:lang w:val="en-GB"/>
              </w:rPr>
              <w:t>）</w:t>
            </w:r>
          </w:p>
          <w:p w14:paraId="0CA2BCF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val="en-GB"/>
              </w:rPr>
            </w:pPr>
            <w:r>
              <w:rPr>
                <w:rFonts w:hint="default" w:ascii="Times New Roman" w:hAnsi="Times New Roman" w:eastAsia="宋体" w:cs="Times New Roman"/>
                <w:color w:val="auto"/>
                <w:sz w:val="21"/>
                <w:szCs w:val="20"/>
                <w:highlight w:val="none"/>
                <w:lang w:val="en-GB"/>
              </w:rPr>
              <w:t>车速（km/h）</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16DC15F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val="en-GB"/>
              </w:rPr>
            </w:pPr>
            <w:r>
              <w:rPr>
                <w:rFonts w:hint="default" w:ascii="Times New Roman" w:hAnsi="Times New Roman" w:eastAsia="宋体" w:cs="Times New Roman"/>
                <w:color w:val="auto"/>
                <w:sz w:val="21"/>
                <w:szCs w:val="20"/>
                <w:highlight w:val="none"/>
                <w:lang w:val="en-GB"/>
              </w:rPr>
              <w:t>0.1</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638B84D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val="en-GB"/>
              </w:rPr>
            </w:pPr>
            <w:r>
              <w:rPr>
                <w:rFonts w:hint="default" w:ascii="Times New Roman" w:hAnsi="Times New Roman" w:eastAsia="宋体" w:cs="Times New Roman"/>
                <w:color w:val="auto"/>
                <w:sz w:val="21"/>
                <w:szCs w:val="20"/>
                <w:highlight w:val="none"/>
                <w:lang w:val="en-GB"/>
              </w:rPr>
              <w:t>0.2</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5AC287B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val="en-GB"/>
              </w:rPr>
            </w:pPr>
            <w:r>
              <w:rPr>
                <w:rFonts w:hint="default" w:ascii="Times New Roman" w:hAnsi="Times New Roman" w:eastAsia="宋体" w:cs="Times New Roman"/>
                <w:color w:val="auto"/>
                <w:sz w:val="21"/>
                <w:szCs w:val="20"/>
                <w:highlight w:val="none"/>
                <w:lang w:val="en-GB"/>
              </w:rPr>
              <w:t>0.3</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7A109E6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val="en-GB"/>
              </w:rPr>
            </w:pPr>
            <w:r>
              <w:rPr>
                <w:rFonts w:hint="default" w:ascii="Times New Roman" w:hAnsi="Times New Roman" w:eastAsia="宋体" w:cs="Times New Roman"/>
                <w:color w:val="auto"/>
                <w:sz w:val="21"/>
                <w:szCs w:val="20"/>
                <w:highlight w:val="none"/>
                <w:lang w:val="en-GB"/>
              </w:rPr>
              <w:t>0.4</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6E8A38E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val="en-GB"/>
              </w:rPr>
            </w:pPr>
            <w:r>
              <w:rPr>
                <w:rFonts w:hint="default" w:ascii="Times New Roman" w:hAnsi="Times New Roman" w:eastAsia="宋体" w:cs="Times New Roman"/>
                <w:color w:val="auto"/>
                <w:sz w:val="21"/>
                <w:szCs w:val="20"/>
                <w:highlight w:val="none"/>
                <w:lang w:val="en-GB"/>
              </w:rPr>
              <w:t>0.5</w:t>
            </w:r>
          </w:p>
        </w:tc>
        <w:tc>
          <w:tcPr>
            <w:tcW w:w="1134"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5F7F6D7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val="en-GB"/>
              </w:rPr>
            </w:pPr>
            <w:r>
              <w:rPr>
                <w:rFonts w:hint="default" w:ascii="Times New Roman" w:hAnsi="Times New Roman" w:eastAsia="宋体" w:cs="Times New Roman"/>
                <w:color w:val="auto"/>
                <w:sz w:val="21"/>
                <w:szCs w:val="20"/>
                <w:highlight w:val="none"/>
                <w:lang w:val="en-GB"/>
              </w:rPr>
              <w:t>1.0</w:t>
            </w:r>
          </w:p>
        </w:tc>
      </w:tr>
      <w:tr w14:paraId="42B637A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0" w:type="dxa"/>
            <w:bottom w:w="28" w:type="dxa"/>
            <w:right w:w="0" w:type="dxa"/>
          </w:tblCellMar>
        </w:tblPrEx>
        <w:trPr>
          <w:trHeight w:val="340" w:hRule="atLeast"/>
          <w:jc w:val="center"/>
        </w:trPr>
        <w:tc>
          <w:tcPr>
            <w:tcW w:w="217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228D37D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5</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65F6C24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val="en-GB" w:eastAsia="zh-CN"/>
              </w:rPr>
            </w:pPr>
            <w:r>
              <w:rPr>
                <w:rFonts w:hint="default" w:ascii="Times New Roman" w:hAnsi="Times New Roman" w:eastAsia="宋体" w:cs="Times New Roman"/>
                <w:color w:val="auto"/>
                <w:sz w:val="21"/>
                <w:szCs w:val="20"/>
                <w:highlight w:val="none"/>
                <w:lang w:val="en-GB" w:eastAsia="zh-CN"/>
              </w:rPr>
              <w:t>0.224</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7445E15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val="en-GB"/>
              </w:rPr>
            </w:pPr>
            <w:r>
              <w:rPr>
                <w:rFonts w:hint="default" w:ascii="Times New Roman" w:hAnsi="Times New Roman" w:eastAsia="宋体" w:cs="Times New Roman"/>
                <w:color w:val="auto"/>
                <w:sz w:val="21"/>
                <w:szCs w:val="20"/>
                <w:highlight w:val="none"/>
                <w:lang w:val="en-GB"/>
              </w:rPr>
              <w:t>0.086</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7330B0E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val="en-GB"/>
              </w:rPr>
            </w:pPr>
            <w:r>
              <w:rPr>
                <w:rFonts w:hint="default" w:ascii="Times New Roman" w:hAnsi="Times New Roman" w:eastAsia="宋体" w:cs="Times New Roman"/>
                <w:color w:val="auto"/>
                <w:sz w:val="21"/>
                <w:szCs w:val="20"/>
                <w:highlight w:val="none"/>
                <w:lang w:val="en-GB"/>
              </w:rPr>
              <w:t>0.116</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2C6376A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0.144</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041A83D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0.171</w:t>
            </w:r>
          </w:p>
        </w:tc>
        <w:tc>
          <w:tcPr>
            <w:tcW w:w="1134"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678C679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0.287</w:t>
            </w:r>
          </w:p>
        </w:tc>
      </w:tr>
      <w:tr w14:paraId="039BD1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0" w:type="dxa"/>
            <w:bottom w:w="28" w:type="dxa"/>
            <w:right w:w="0" w:type="dxa"/>
          </w:tblCellMar>
        </w:tblPrEx>
        <w:trPr>
          <w:trHeight w:val="340" w:hRule="atLeast"/>
          <w:jc w:val="center"/>
        </w:trPr>
        <w:tc>
          <w:tcPr>
            <w:tcW w:w="217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134316D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10</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148A115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0.102</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3916CB1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0.171</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5BB7232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0.232</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6AA0A82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0.289</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196413A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0.341</w:t>
            </w:r>
          </w:p>
        </w:tc>
        <w:tc>
          <w:tcPr>
            <w:tcW w:w="1134"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4A9B862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0.574</w:t>
            </w:r>
          </w:p>
        </w:tc>
      </w:tr>
      <w:tr w14:paraId="720B3E7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0" w:type="dxa"/>
            <w:bottom w:w="28" w:type="dxa"/>
            <w:right w:w="0" w:type="dxa"/>
          </w:tblCellMar>
        </w:tblPrEx>
        <w:trPr>
          <w:trHeight w:val="340" w:hRule="atLeast"/>
          <w:jc w:val="center"/>
        </w:trPr>
        <w:tc>
          <w:tcPr>
            <w:tcW w:w="217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0484E53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15</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4611301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0.153</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04C673F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0.257</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0011EE0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0.349</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53FA3D3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0.433</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5920758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0.512</w:t>
            </w:r>
          </w:p>
        </w:tc>
        <w:tc>
          <w:tcPr>
            <w:tcW w:w="1134"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304B3B8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0.861</w:t>
            </w:r>
          </w:p>
        </w:tc>
      </w:tr>
      <w:tr w14:paraId="23CC047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0" w:type="dxa"/>
            <w:bottom w:w="28" w:type="dxa"/>
            <w:right w:w="0" w:type="dxa"/>
          </w:tblCellMar>
        </w:tblPrEx>
        <w:trPr>
          <w:trHeight w:val="340" w:hRule="atLeast"/>
          <w:jc w:val="center"/>
        </w:trPr>
        <w:tc>
          <w:tcPr>
            <w:tcW w:w="217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6481B65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20</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327436F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0.255</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3B8C30A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0.429</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7C857C6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0.582</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269AE12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0.722</w:t>
            </w:r>
          </w:p>
        </w:tc>
        <w:tc>
          <w:tcPr>
            <w:tcW w:w="1138"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4AF479A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0.853</w:t>
            </w:r>
          </w:p>
        </w:tc>
        <w:tc>
          <w:tcPr>
            <w:tcW w:w="1134"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14:paraId="33329BD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1.435</w:t>
            </w:r>
          </w:p>
        </w:tc>
      </w:tr>
    </w:tbl>
    <w:p w14:paraId="422B39D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从上表可见，在同样的路面条件下，车速越快，扬尘量越大，在同样的车速情况下，路面粉尘越大，扬尘量越大。因此，限制施工车辆速度和保持路面清洁是</w:t>
      </w:r>
      <w:r>
        <w:rPr>
          <w:rFonts w:hint="default" w:ascii="Times New Roman" w:hAnsi="Times New Roman" w:eastAsia="宋体" w:cs="Times New Roman"/>
          <w:color w:val="auto"/>
          <w:highlight w:val="none"/>
          <w:lang w:eastAsia="zh-CN"/>
        </w:rPr>
        <w:t>减少</w:t>
      </w:r>
      <w:r>
        <w:rPr>
          <w:rFonts w:hint="default" w:ascii="Times New Roman" w:hAnsi="Times New Roman" w:eastAsia="宋体" w:cs="Times New Roman"/>
          <w:color w:val="auto"/>
          <w:highlight w:val="none"/>
        </w:rPr>
        <w:t>扬尘的有效手段。</w:t>
      </w:r>
    </w:p>
    <w:p w14:paraId="454C6932">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项目在施工过程中对车辆加盖苫布及减速慢行之后，对运输道路两侧环境空气影响较小。</w:t>
      </w:r>
    </w:p>
    <w:p w14:paraId="72A05FF0">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5.1.1.2施工期焊接烟尘的影响</w:t>
      </w:r>
    </w:p>
    <w:p w14:paraId="5A09F09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施工在进行设备固定、辅助设施建设过程会采取焊接工艺，焊接过程中会有少量焊接烟尘和烟气产生。焊接烟尘是由金属及非金属物质在过热条件下产生的蒸气经氧化和冷凝而形成的，其成分主要取决于焊接材料（焊丝、焊条、焊剂）成分及其</w:t>
      </w:r>
      <w:r>
        <w:rPr>
          <w:rFonts w:hint="default" w:ascii="Times New Roman" w:hAnsi="Times New Roman" w:eastAsia="宋体" w:cs="Times New Roman"/>
          <w:color w:val="auto"/>
          <w:highlight w:val="none"/>
          <w:lang w:eastAsia="zh-CN"/>
        </w:rPr>
        <w:t>蒸发</w:t>
      </w:r>
      <w:r>
        <w:rPr>
          <w:rFonts w:hint="default" w:ascii="Times New Roman" w:hAnsi="Times New Roman" w:eastAsia="宋体" w:cs="Times New Roman"/>
          <w:color w:val="auto"/>
          <w:highlight w:val="none"/>
          <w:lang w:eastAsia="zh-CN"/>
        </w:rPr>
        <w:t>的</w:t>
      </w:r>
      <w:r>
        <w:rPr>
          <w:rFonts w:hint="default" w:ascii="Times New Roman" w:hAnsi="Times New Roman" w:eastAsia="宋体" w:cs="Times New Roman"/>
          <w:color w:val="auto"/>
          <w:highlight w:val="none"/>
          <w:lang w:eastAsia="zh-CN"/>
        </w:rPr>
        <w:t>难易</w:t>
      </w:r>
      <w:r>
        <w:rPr>
          <w:rFonts w:hint="default" w:ascii="Times New Roman" w:hAnsi="Times New Roman" w:eastAsia="宋体" w:cs="Times New Roman"/>
          <w:color w:val="auto"/>
          <w:highlight w:val="none"/>
        </w:rPr>
        <w:t>，焊接烟尘的产生量主要取决于焊料的材质和焊接方式。项目焊接工艺主要为二氧化碳焊，对焊接场所加强通风，产生的焊接烟尘对大气环境影响较小。</w:t>
      </w:r>
    </w:p>
    <w:p w14:paraId="0CD6F2B3">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5.1.1.3施工机械废气</w:t>
      </w:r>
    </w:p>
    <w:p w14:paraId="7A91FD5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机械设备（如柴油机等）和运输及施工车辆的尾气排放属无组织排放，污染物排放量的大小与交通量成比例，与车辆的类型以及运行的工况有关。项目在建设过程中，随着各类机动车辆和施工机械进入施工地区，必然造成车辆尾气排放量的相应增加，释放出一定量的NO</w:t>
      </w:r>
      <w:r>
        <w:rPr>
          <w:rFonts w:hint="default" w:ascii="Times New Roman" w:hAnsi="Times New Roman" w:eastAsia="宋体" w:cs="Times New Roman"/>
          <w:color w:val="auto"/>
          <w:highlight w:val="none"/>
          <w:vertAlign w:val="subscript"/>
        </w:rPr>
        <w:t>x</w:t>
      </w:r>
      <w:r>
        <w:rPr>
          <w:rFonts w:hint="default" w:ascii="Times New Roman" w:hAnsi="Times New Roman" w:eastAsia="宋体" w:cs="Times New Roman"/>
          <w:color w:val="auto"/>
          <w:highlight w:val="none"/>
        </w:rPr>
        <w:t>、CO、C</w:t>
      </w:r>
      <w:r>
        <w:rPr>
          <w:rFonts w:hint="default" w:ascii="Times New Roman" w:hAnsi="Times New Roman" w:eastAsia="宋体" w:cs="Times New Roman"/>
          <w:color w:val="auto"/>
          <w:highlight w:val="none"/>
          <w:vertAlign w:val="subscript"/>
        </w:rPr>
        <w:t>m</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n</w:t>
      </w:r>
      <w:r>
        <w:rPr>
          <w:rFonts w:hint="default" w:ascii="Times New Roman" w:hAnsi="Times New Roman" w:eastAsia="宋体" w:cs="Times New Roman"/>
          <w:color w:val="auto"/>
          <w:highlight w:val="none"/>
        </w:rPr>
        <w:t>等大气污染物，且随着车辆行驶形成流动污染源，对区域环境空气造成污染。施工过程中应加强施工机械和车辆的维护保养，由于施工机械和运输车辆等排放的废气产生量较小，项目拟建地较开阔，空气流动性好，废气扩散快，对当地的空气环境影响较小。</w:t>
      </w:r>
    </w:p>
    <w:p w14:paraId="4ECAA91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机械尾气防治措施：</w:t>
      </w:r>
    </w:p>
    <w:p w14:paraId="7568779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）加强机动车的检测与维修，使在用车经常保持在良好的状态，以减少尾气污染物的排放</w:t>
      </w:r>
      <w:r>
        <w:rPr>
          <w:rFonts w:hint="default" w:ascii="Times New Roman" w:hAnsi="Times New Roman" w:eastAsia="宋体" w:cs="Times New Roman"/>
          <w:color w:val="auto"/>
          <w:highlight w:val="none"/>
          <w:lang w:eastAsia="zh-CN"/>
        </w:rPr>
        <w:t>。</w:t>
      </w:r>
    </w:p>
    <w:p w14:paraId="1942037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根据同类工程的施工资料，燃油废气对大气影响很小，施工对环境空气质量的影响是临时的，只限于施工期内，施工结束后，影响随之消失</w:t>
      </w:r>
      <w:r>
        <w:rPr>
          <w:rFonts w:hint="default" w:ascii="Times New Roman" w:hAnsi="Times New Roman" w:eastAsia="宋体" w:cs="Times New Roman"/>
          <w:color w:val="auto"/>
          <w:highlight w:val="none"/>
          <w:lang w:eastAsia="zh-CN"/>
        </w:rPr>
        <w:t>。</w:t>
      </w:r>
    </w:p>
    <w:p w14:paraId="2ADF375F">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368" w:name="_Toc7052"/>
      <w:r>
        <w:rPr>
          <w:rFonts w:hint="default" w:ascii="Times New Roman" w:hAnsi="Times New Roman" w:eastAsia="宋体" w:cs="Times New Roman"/>
          <w:color w:val="auto"/>
          <w:highlight w:val="none"/>
        </w:rPr>
        <w:t>5.1.2水环境影响分析</w:t>
      </w:r>
      <w:bookmarkEnd w:id="368"/>
    </w:p>
    <w:p w14:paraId="7733ADC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项目施工期</w:t>
      </w:r>
      <w:r>
        <w:rPr>
          <w:rFonts w:hint="default" w:ascii="Times New Roman" w:hAnsi="Times New Roman" w:eastAsia="宋体" w:cs="Times New Roman"/>
          <w:color w:val="auto"/>
          <w:highlight w:val="none"/>
          <w:lang w:eastAsia="zh-CN"/>
        </w:rPr>
        <w:t>废</w:t>
      </w:r>
      <w:r>
        <w:rPr>
          <w:rFonts w:hint="default" w:ascii="Times New Roman" w:hAnsi="Times New Roman" w:eastAsia="宋体" w:cs="Times New Roman"/>
          <w:color w:val="auto"/>
          <w:highlight w:val="none"/>
        </w:rPr>
        <w:t>水主要为生活污水和</w:t>
      </w:r>
      <w:r>
        <w:rPr>
          <w:rFonts w:hint="default" w:ascii="Times New Roman" w:hAnsi="Times New Roman" w:eastAsia="宋体" w:cs="Times New Roman"/>
          <w:color w:val="auto"/>
          <w:highlight w:val="none"/>
          <w:lang w:eastAsia="zh-CN"/>
        </w:rPr>
        <w:t>施工</w:t>
      </w:r>
      <w:r>
        <w:rPr>
          <w:rFonts w:hint="default" w:ascii="Times New Roman" w:hAnsi="Times New Roman" w:eastAsia="宋体" w:cs="Times New Roman"/>
          <w:color w:val="auto"/>
          <w:highlight w:val="none"/>
        </w:rPr>
        <w:t>废水。</w:t>
      </w:r>
    </w:p>
    <w:p w14:paraId="5527DE81">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5.1.2.1生活污水</w:t>
      </w:r>
    </w:p>
    <w:p w14:paraId="670EC8C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经估算施工期施工人员最多可达30人。职工生活用水按</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0L/人·d计，施工期按</w:t>
      </w:r>
      <w:r>
        <w:rPr>
          <w:rFonts w:hint="default" w:ascii="Times New Roman" w:hAnsi="Times New Roman" w:eastAsia="宋体" w:cs="Times New Roman"/>
          <w:color w:val="auto"/>
          <w:highlight w:val="none"/>
          <w:lang w:val="en-US" w:eastAsia="zh-CN"/>
        </w:rPr>
        <w:t>24</w:t>
      </w:r>
      <w:r>
        <w:rPr>
          <w:rFonts w:hint="default" w:ascii="Times New Roman" w:hAnsi="Times New Roman" w:eastAsia="宋体" w:cs="Times New Roman"/>
          <w:color w:val="auto"/>
          <w:highlight w:val="none"/>
        </w:rPr>
        <w:t>0天计</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生活用水</w:t>
      </w:r>
      <w:r>
        <w:rPr>
          <w:rFonts w:hint="default" w:ascii="Times New Roman" w:hAnsi="Times New Roman" w:eastAsia="宋体" w:cs="Times New Roman"/>
          <w:color w:val="auto"/>
          <w:highlight w:val="none"/>
          <w:lang w:val="en-US" w:eastAsia="zh-CN"/>
        </w:rPr>
        <w:t>1.8</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highlight w:val="none"/>
          <w:lang w:val="en-US" w:eastAsia="zh-CN"/>
        </w:rPr>
        <w:t>432</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/a）</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生活污水排放按用水量的80%计，排水量</w:t>
      </w:r>
      <w:r>
        <w:rPr>
          <w:rFonts w:hint="default" w:ascii="Times New Roman" w:hAnsi="Times New Roman" w:eastAsia="宋体" w:cs="Times New Roman"/>
          <w:color w:val="auto"/>
          <w:highlight w:val="none"/>
          <w:lang w:val="en-US" w:eastAsia="zh-CN"/>
        </w:rPr>
        <w:t>1.44</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345.6</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/a</w:t>
      </w:r>
      <w:r>
        <w:rPr>
          <w:rFonts w:hint="default" w:ascii="Times New Roman" w:hAnsi="Times New Roman" w:eastAsia="宋体" w:cs="Times New Roman"/>
          <w:color w:val="auto"/>
          <w:highlight w:val="none"/>
          <w:lang w:eastAsia="zh-CN"/>
        </w:rPr>
        <w:t>）。</w:t>
      </w:r>
    </w:p>
    <w:p w14:paraId="4B92590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类比同类型生活污水排放浓度，生活污水中污染物浓度为：COD350mg/L，BOD</w:t>
      </w:r>
      <w:r>
        <w:rPr>
          <w:rFonts w:hint="default" w:ascii="Times New Roman" w:hAnsi="Times New Roman" w:eastAsia="宋体" w:cs="Times New Roman"/>
          <w:color w:val="auto"/>
          <w:highlight w:val="none"/>
          <w:vertAlign w:val="subscript"/>
        </w:rPr>
        <w:t>5</w:t>
      </w:r>
      <w:r>
        <w:rPr>
          <w:rFonts w:hint="default" w:ascii="Times New Roman" w:hAnsi="Times New Roman" w:eastAsia="宋体" w:cs="Times New Roman"/>
          <w:color w:val="auto"/>
          <w:highlight w:val="none"/>
        </w:rPr>
        <w:t>250mg/L，SS300mg/L，NH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-N30mg/L。本项目施工期排放生活污水中主要污染物的排放量见表5.1-4。</w:t>
      </w:r>
    </w:p>
    <w:p w14:paraId="045F5E89">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表5.1-4施工期生活污水排放的污染物高峰负荷</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79"/>
        <w:gridCol w:w="1379"/>
        <w:gridCol w:w="1379"/>
        <w:gridCol w:w="1380"/>
        <w:gridCol w:w="1380"/>
        <w:gridCol w:w="1380"/>
      </w:tblGrid>
      <w:tr w14:paraId="019CBD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vMerge w:val="restart"/>
            <w:tcBorders>
              <w:top w:val="single" w:color="auto" w:sz="4" w:space="0"/>
              <w:left w:val="single" w:color="auto" w:sz="4" w:space="0"/>
              <w:bottom w:val="single" w:color="auto" w:sz="4" w:space="0"/>
              <w:right w:val="single" w:color="auto" w:sz="4" w:space="0"/>
            </w:tcBorders>
            <w:vAlign w:val="center"/>
          </w:tcPr>
          <w:p w14:paraId="1F6C2BB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w:t>
            </w:r>
          </w:p>
        </w:tc>
        <w:tc>
          <w:tcPr>
            <w:tcW w:w="567" w:type="dxa"/>
            <w:vMerge w:val="restart"/>
            <w:tcBorders>
              <w:top w:val="single" w:color="auto" w:sz="4" w:space="0"/>
              <w:left w:val="single" w:color="auto" w:sz="4" w:space="0"/>
              <w:bottom w:val="single" w:color="auto" w:sz="4" w:space="0"/>
              <w:right w:val="single" w:color="auto" w:sz="4" w:space="0"/>
            </w:tcBorders>
            <w:vAlign w:val="center"/>
          </w:tcPr>
          <w:p w14:paraId="14C72B2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污水量（m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/d）</w:t>
            </w:r>
          </w:p>
        </w:tc>
        <w:tc>
          <w:tcPr>
            <w:tcW w:w="567" w:type="dxa"/>
            <w:gridSpan w:val="4"/>
            <w:tcBorders>
              <w:top w:val="single" w:color="auto" w:sz="4" w:space="0"/>
              <w:left w:val="single" w:color="auto" w:sz="4" w:space="0"/>
              <w:bottom w:val="single" w:color="auto" w:sz="4" w:space="0"/>
              <w:right w:val="single" w:color="auto" w:sz="4" w:space="0"/>
            </w:tcBorders>
            <w:vAlign w:val="center"/>
          </w:tcPr>
          <w:p w14:paraId="51FEC29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污染物污染负荷（kg/d）</w:t>
            </w:r>
          </w:p>
        </w:tc>
      </w:tr>
      <w:tr w14:paraId="510F895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vMerge w:val="continue"/>
            <w:tcBorders>
              <w:top w:val="single" w:color="auto" w:sz="4" w:space="0"/>
              <w:left w:val="single" w:color="auto" w:sz="4" w:space="0"/>
              <w:bottom w:val="single" w:color="auto" w:sz="4" w:space="0"/>
              <w:right w:val="single" w:color="auto" w:sz="4" w:space="0"/>
            </w:tcBorders>
            <w:vAlign w:val="center"/>
          </w:tcPr>
          <w:p w14:paraId="58B9578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567" w:type="dxa"/>
            <w:vMerge w:val="continue"/>
            <w:tcBorders>
              <w:top w:val="single" w:color="auto" w:sz="4" w:space="0"/>
              <w:left w:val="single" w:color="auto" w:sz="4" w:space="0"/>
              <w:bottom w:val="single" w:color="auto" w:sz="4" w:space="0"/>
              <w:right w:val="single" w:color="auto" w:sz="4" w:space="0"/>
            </w:tcBorders>
            <w:vAlign w:val="center"/>
          </w:tcPr>
          <w:p w14:paraId="312EBF7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567" w:type="dxa"/>
            <w:tcBorders>
              <w:top w:val="single" w:color="auto" w:sz="4" w:space="0"/>
              <w:left w:val="single" w:color="auto" w:sz="4" w:space="0"/>
              <w:bottom w:val="single" w:color="auto" w:sz="4" w:space="0"/>
              <w:right w:val="single" w:color="auto" w:sz="4" w:space="0"/>
            </w:tcBorders>
            <w:vAlign w:val="center"/>
          </w:tcPr>
          <w:p w14:paraId="0A158C0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p>
        </w:tc>
        <w:tc>
          <w:tcPr>
            <w:tcW w:w="567" w:type="dxa"/>
            <w:tcBorders>
              <w:top w:val="single" w:color="auto" w:sz="4" w:space="0"/>
              <w:left w:val="single" w:color="auto" w:sz="4" w:space="0"/>
              <w:bottom w:val="single" w:color="auto" w:sz="4" w:space="0"/>
              <w:right w:val="single" w:color="auto" w:sz="4" w:space="0"/>
            </w:tcBorders>
            <w:vAlign w:val="center"/>
          </w:tcPr>
          <w:p w14:paraId="13C3418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567" w:type="dxa"/>
            <w:tcBorders>
              <w:top w:val="single" w:color="auto" w:sz="4" w:space="0"/>
              <w:left w:val="single" w:color="auto" w:sz="4" w:space="0"/>
              <w:bottom w:val="single" w:color="auto" w:sz="4" w:space="0"/>
              <w:right w:val="single" w:color="auto" w:sz="4" w:space="0"/>
            </w:tcBorders>
            <w:vAlign w:val="center"/>
          </w:tcPr>
          <w:p w14:paraId="222B2AA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SS</w:t>
            </w:r>
          </w:p>
        </w:tc>
        <w:tc>
          <w:tcPr>
            <w:tcW w:w="567" w:type="dxa"/>
            <w:tcBorders>
              <w:top w:val="single" w:color="auto" w:sz="4" w:space="0"/>
              <w:left w:val="single" w:color="auto" w:sz="4" w:space="0"/>
              <w:bottom w:val="single" w:color="auto" w:sz="4" w:space="0"/>
              <w:right w:val="single" w:color="auto" w:sz="4" w:space="0"/>
            </w:tcBorders>
            <w:vAlign w:val="center"/>
          </w:tcPr>
          <w:p w14:paraId="6D0A2EE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-N</w:t>
            </w:r>
          </w:p>
        </w:tc>
      </w:tr>
      <w:tr w14:paraId="75A6069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vAlign w:val="center"/>
          </w:tcPr>
          <w:p w14:paraId="0B97BF4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场区</w:t>
            </w:r>
          </w:p>
        </w:tc>
        <w:tc>
          <w:tcPr>
            <w:tcW w:w="567" w:type="dxa"/>
            <w:tcBorders>
              <w:top w:val="single" w:color="auto" w:sz="4" w:space="0"/>
              <w:left w:val="single" w:color="auto" w:sz="4" w:space="0"/>
              <w:bottom w:val="single" w:color="auto" w:sz="4" w:space="0"/>
              <w:right w:val="single" w:color="auto" w:sz="4" w:space="0"/>
            </w:tcBorders>
            <w:vAlign w:val="center"/>
          </w:tcPr>
          <w:p w14:paraId="33D7A13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1.44</w:t>
            </w:r>
          </w:p>
        </w:tc>
        <w:tc>
          <w:tcPr>
            <w:tcW w:w="567" w:type="dxa"/>
            <w:tcBorders>
              <w:top w:val="single" w:color="auto" w:sz="4" w:space="0"/>
              <w:left w:val="single" w:color="auto" w:sz="4" w:space="0"/>
              <w:bottom w:val="single" w:color="auto" w:sz="4" w:space="0"/>
              <w:right w:val="single" w:color="auto" w:sz="4" w:space="0"/>
            </w:tcBorders>
            <w:vAlign w:val="center"/>
          </w:tcPr>
          <w:p w14:paraId="0882C54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504</w:t>
            </w:r>
          </w:p>
        </w:tc>
        <w:tc>
          <w:tcPr>
            <w:tcW w:w="567" w:type="dxa"/>
            <w:tcBorders>
              <w:top w:val="single" w:color="auto" w:sz="4" w:space="0"/>
              <w:left w:val="single" w:color="auto" w:sz="4" w:space="0"/>
              <w:bottom w:val="single" w:color="auto" w:sz="4" w:space="0"/>
              <w:right w:val="single" w:color="auto" w:sz="4" w:space="0"/>
            </w:tcBorders>
            <w:vAlign w:val="center"/>
          </w:tcPr>
          <w:p w14:paraId="2EB6B2B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360</w:t>
            </w:r>
          </w:p>
        </w:tc>
        <w:tc>
          <w:tcPr>
            <w:tcW w:w="567" w:type="dxa"/>
            <w:tcBorders>
              <w:top w:val="single" w:color="auto" w:sz="4" w:space="0"/>
              <w:left w:val="single" w:color="auto" w:sz="4" w:space="0"/>
              <w:bottom w:val="single" w:color="auto" w:sz="4" w:space="0"/>
              <w:right w:val="single" w:color="auto" w:sz="4" w:space="0"/>
            </w:tcBorders>
            <w:vAlign w:val="center"/>
          </w:tcPr>
          <w:p w14:paraId="6F30F43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432</w:t>
            </w:r>
          </w:p>
        </w:tc>
        <w:tc>
          <w:tcPr>
            <w:tcW w:w="567" w:type="dxa"/>
            <w:tcBorders>
              <w:top w:val="single" w:color="auto" w:sz="4" w:space="0"/>
              <w:left w:val="single" w:color="auto" w:sz="4" w:space="0"/>
              <w:bottom w:val="single" w:color="auto" w:sz="4" w:space="0"/>
              <w:right w:val="single" w:color="auto" w:sz="4" w:space="0"/>
            </w:tcBorders>
            <w:vAlign w:val="center"/>
          </w:tcPr>
          <w:p w14:paraId="50DAC01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043</w:t>
            </w:r>
          </w:p>
        </w:tc>
      </w:tr>
    </w:tbl>
    <w:p w14:paraId="2BF69F3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kern w:val="0"/>
          <w:szCs w:val="24"/>
          <w:highlight w:val="none"/>
        </w:rPr>
      </w:pPr>
      <w:r>
        <w:rPr>
          <w:rFonts w:hint="default" w:ascii="Times New Roman" w:hAnsi="Times New Roman" w:eastAsia="宋体" w:cs="Times New Roman"/>
          <w:color w:val="auto"/>
          <w:highlight w:val="none"/>
        </w:rPr>
        <w:t>施工人员的生活污水中各污染物负荷量较小，</w:t>
      </w:r>
      <w:r>
        <w:rPr>
          <w:rFonts w:hint="default" w:ascii="Times New Roman" w:hAnsi="Times New Roman" w:eastAsia="宋体" w:cs="Times New Roman"/>
          <w:color w:val="auto"/>
          <w:highlight w:val="none"/>
          <w:lang w:val="en-US" w:eastAsia="zh-CN"/>
        </w:rPr>
        <w:t>排入移动厕所，定期由当地环卫部门清运处置，</w:t>
      </w:r>
      <w:r>
        <w:rPr>
          <w:rFonts w:hint="default" w:ascii="Times New Roman" w:hAnsi="Times New Roman" w:eastAsia="宋体" w:cs="Times New Roman"/>
          <w:color w:val="auto"/>
          <w:highlight w:val="none"/>
        </w:rPr>
        <w:t>施工</w:t>
      </w:r>
      <w:r>
        <w:rPr>
          <w:rFonts w:hint="default" w:ascii="Times New Roman" w:hAnsi="Times New Roman" w:eastAsia="宋体" w:cs="Times New Roman"/>
          <w:color w:val="auto"/>
          <w:kern w:val="0"/>
          <w:szCs w:val="24"/>
          <w:highlight w:val="none"/>
        </w:rPr>
        <w:t>结束后其影响也就随之消除，对水环境影响很小。</w:t>
      </w:r>
    </w:p>
    <w:p w14:paraId="318DA776">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5.1.2.2施工废水</w:t>
      </w:r>
    </w:p>
    <w:p w14:paraId="0F1A1CC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施工废水包括砂石料加工</w:t>
      </w:r>
      <w:r>
        <w:rPr>
          <w:rFonts w:hint="default" w:ascii="Times New Roman" w:hAnsi="Times New Roman" w:eastAsia="宋体" w:cs="Times New Roman"/>
          <w:color w:val="auto"/>
          <w:highlight w:val="none"/>
          <w:lang w:eastAsia="zh-CN"/>
        </w:rPr>
        <w:t>冲洗用水</w:t>
      </w:r>
      <w:r>
        <w:rPr>
          <w:rFonts w:hint="default" w:ascii="Times New Roman" w:hAnsi="Times New Roman" w:eastAsia="宋体" w:cs="Times New Roman"/>
          <w:color w:val="auto"/>
          <w:highlight w:val="none"/>
        </w:rPr>
        <w:t>、机械维修养护废水。</w:t>
      </w:r>
    </w:p>
    <w:p w14:paraId="2C2E77D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砂石料加工废水污染物以SS为主，浓度预计约10000mg/L，经集中收集并沉淀处理后可重新回用作为砂石料加工</w:t>
      </w:r>
      <w:r>
        <w:rPr>
          <w:rFonts w:hint="default" w:ascii="Times New Roman" w:hAnsi="Times New Roman" w:eastAsia="宋体" w:cs="Times New Roman"/>
          <w:color w:val="auto"/>
          <w:highlight w:val="none"/>
          <w:lang w:eastAsia="zh-CN"/>
        </w:rPr>
        <w:t>冲洗用水</w:t>
      </w:r>
      <w:r>
        <w:rPr>
          <w:rFonts w:hint="default" w:ascii="Times New Roman" w:hAnsi="Times New Roman" w:eastAsia="宋体" w:cs="Times New Roman"/>
          <w:color w:val="auto"/>
          <w:highlight w:val="none"/>
        </w:rPr>
        <w:t>。车辆和设备冲洗废水，经隔油、沉淀处理后回用。</w:t>
      </w:r>
    </w:p>
    <w:p w14:paraId="17FDB572">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因此，施工废水均在施工场地循环利用，不外排，对水环境影响较小。</w:t>
      </w:r>
    </w:p>
    <w:p w14:paraId="0DEB2E4B">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369" w:name="_Toc93408001"/>
      <w:bookmarkStart w:id="370" w:name="_Toc184999116"/>
      <w:bookmarkStart w:id="371" w:name="_Toc494206324"/>
      <w:bookmarkStart w:id="372" w:name="_Toc93407874"/>
      <w:bookmarkStart w:id="373" w:name="_Toc295196608"/>
      <w:bookmarkStart w:id="374" w:name="_Toc184993738"/>
      <w:bookmarkStart w:id="375" w:name="_Toc93410272"/>
      <w:bookmarkStart w:id="376" w:name="_Toc93407651"/>
      <w:bookmarkStart w:id="377" w:name="_Toc28091"/>
      <w:bookmarkStart w:id="378" w:name="_Toc185001177"/>
      <w:bookmarkStart w:id="379" w:name="_Toc93407419"/>
      <w:bookmarkStart w:id="380" w:name="_Toc512871591"/>
      <w:bookmarkStart w:id="381" w:name="_Toc282346951"/>
      <w:bookmarkStart w:id="382" w:name="_Toc93407291"/>
      <w:bookmarkStart w:id="383" w:name="_Toc184993590"/>
      <w:bookmarkStart w:id="384" w:name="_Toc90083402"/>
      <w:bookmarkStart w:id="385" w:name="_Toc185683624"/>
      <w:bookmarkStart w:id="386" w:name="_Toc260834729"/>
      <w:r>
        <w:rPr>
          <w:rFonts w:hint="default" w:ascii="Times New Roman" w:hAnsi="Times New Roman" w:eastAsia="宋体" w:cs="Times New Roman"/>
          <w:color w:val="auto"/>
          <w:highlight w:val="none"/>
        </w:rPr>
        <w:t>5.1.3施工期声环境影响分析</w:t>
      </w:r>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p>
    <w:p w14:paraId="29C5177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施工期噪声主要指建筑施工噪声和交通运输噪声两类。</w:t>
      </w:r>
    </w:p>
    <w:p w14:paraId="5BF9A1E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施工过程中，各种施工机械设备的运转以及各类车辆的运行将不可避免地产生噪声污染，各种施工机械、运输车辆等均属噪声源。常使用的施工机械有挖掘机、装载机、混凝土搅拌机、振捣棒、吊车、电锯、运输车辆等设备，在正常情况下这些设备产生的声压级在80～95dB</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A</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之间</w:t>
      </w:r>
      <w:r>
        <w:rPr>
          <w:rFonts w:hint="default" w:ascii="Times New Roman" w:hAnsi="Times New Roman" w:eastAsia="宋体" w:cs="Times New Roman"/>
          <w:color w:val="auto"/>
          <w:highlight w:val="none"/>
        </w:rPr>
        <w:t>，且施工期间噪声源都处于露天状态，按声源距离衰减公式计算，以不利状态95dB</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A</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施工噪声计算，施工期间噪声影响范围见表5.1-5。</w:t>
      </w:r>
    </w:p>
    <w:p w14:paraId="31EC5057">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表5.1-5施工噪声影响范围单位：dB</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A</w:t>
      </w:r>
      <w:r>
        <w:rPr>
          <w:rFonts w:hint="default" w:ascii="Times New Roman" w:hAnsi="Times New Roman" w:eastAsia="宋体" w:cs="Times New Roman"/>
          <w:color w:val="auto"/>
          <w:highlight w:val="none"/>
          <w:lang w:eastAsia="zh-CN"/>
        </w:rPr>
        <w:t>）</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59"/>
        <w:gridCol w:w="745"/>
        <w:gridCol w:w="745"/>
        <w:gridCol w:w="745"/>
        <w:gridCol w:w="745"/>
        <w:gridCol w:w="745"/>
        <w:gridCol w:w="873"/>
        <w:gridCol w:w="873"/>
        <w:gridCol w:w="873"/>
        <w:gridCol w:w="874"/>
      </w:tblGrid>
      <w:tr w14:paraId="20308F2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59" w:type="dxa"/>
            <w:tcBorders>
              <w:top w:val="single" w:color="auto" w:sz="4" w:space="0"/>
              <w:left w:val="single" w:color="auto" w:sz="4" w:space="0"/>
              <w:bottom w:val="single" w:color="auto" w:sz="4" w:space="0"/>
              <w:right w:val="single" w:color="auto" w:sz="4" w:space="0"/>
            </w:tcBorders>
            <w:vAlign w:val="center"/>
          </w:tcPr>
          <w:p w14:paraId="1A3F2A4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预测点</w:t>
            </w:r>
          </w:p>
        </w:tc>
        <w:tc>
          <w:tcPr>
            <w:tcW w:w="808" w:type="dxa"/>
            <w:tcBorders>
              <w:top w:val="single" w:color="auto" w:sz="4" w:space="0"/>
              <w:left w:val="single" w:color="auto" w:sz="4" w:space="0"/>
              <w:bottom w:val="single" w:color="auto" w:sz="4" w:space="0"/>
              <w:right w:val="single" w:color="auto" w:sz="4" w:space="0"/>
            </w:tcBorders>
            <w:vAlign w:val="center"/>
          </w:tcPr>
          <w:p w14:paraId="798943D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30m</w:t>
            </w:r>
          </w:p>
        </w:tc>
        <w:tc>
          <w:tcPr>
            <w:tcW w:w="808" w:type="dxa"/>
            <w:tcBorders>
              <w:top w:val="single" w:color="auto" w:sz="4" w:space="0"/>
              <w:left w:val="single" w:color="auto" w:sz="4" w:space="0"/>
              <w:bottom w:val="single" w:color="auto" w:sz="4" w:space="0"/>
              <w:right w:val="single" w:color="auto" w:sz="4" w:space="0"/>
            </w:tcBorders>
            <w:vAlign w:val="center"/>
          </w:tcPr>
          <w:p w14:paraId="7A1411F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50m</w:t>
            </w:r>
          </w:p>
        </w:tc>
        <w:tc>
          <w:tcPr>
            <w:tcW w:w="808" w:type="dxa"/>
            <w:tcBorders>
              <w:top w:val="single" w:color="auto" w:sz="4" w:space="0"/>
              <w:left w:val="single" w:color="auto" w:sz="4" w:space="0"/>
              <w:bottom w:val="single" w:color="auto" w:sz="4" w:space="0"/>
              <w:right w:val="single" w:color="auto" w:sz="4" w:space="0"/>
            </w:tcBorders>
            <w:vAlign w:val="center"/>
          </w:tcPr>
          <w:p w14:paraId="1240B16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60m</w:t>
            </w:r>
          </w:p>
        </w:tc>
        <w:tc>
          <w:tcPr>
            <w:tcW w:w="808" w:type="dxa"/>
            <w:tcBorders>
              <w:top w:val="single" w:color="auto" w:sz="4" w:space="0"/>
              <w:left w:val="single" w:color="auto" w:sz="4" w:space="0"/>
              <w:bottom w:val="single" w:color="auto" w:sz="4" w:space="0"/>
              <w:right w:val="single" w:color="auto" w:sz="4" w:space="0"/>
            </w:tcBorders>
            <w:vAlign w:val="center"/>
          </w:tcPr>
          <w:p w14:paraId="354CCB9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70m</w:t>
            </w:r>
          </w:p>
        </w:tc>
        <w:tc>
          <w:tcPr>
            <w:tcW w:w="808" w:type="dxa"/>
            <w:tcBorders>
              <w:top w:val="single" w:color="auto" w:sz="4" w:space="0"/>
              <w:left w:val="single" w:color="auto" w:sz="4" w:space="0"/>
              <w:bottom w:val="single" w:color="auto" w:sz="4" w:space="0"/>
              <w:right w:val="single" w:color="auto" w:sz="4" w:space="0"/>
            </w:tcBorders>
            <w:vAlign w:val="center"/>
          </w:tcPr>
          <w:p w14:paraId="00C5B6C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80m</w:t>
            </w:r>
          </w:p>
        </w:tc>
        <w:tc>
          <w:tcPr>
            <w:tcW w:w="951" w:type="dxa"/>
            <w:tcBorders>
              <w:top w:val="single" w:color="auto" w:sz="4" w:space="0"/>
              <w:left w:val="single" w:color="auto" w:sz="4" w:space="0"/>
              <w:bottom w:val="single" w:color="auto" w:sz="4" w:space="0"/>
              <w:right w:val="single" w:color="auto" w:sz="4" w:space="0"/>
            </w:tcBorders>
            <w:vAlign w:val="center"/>
          </w:tcPr>
          <w:p w14:paraId="2D20CD4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100m</w:t>
            </w:r>
          </w:p>
        </w:tc>
        <w:tc>
          <w:tcPr>
            <w:tcW w:w="951" w:type="dxa"/>
            <w:tcBorders>
              <w:top w:val="single" w:color="auto" w:sz="4" w:space="0"/>
              <w:left w:val="single" w:color="auto" w:sz="4" w:space="0"/>
              <w:bottom w:val="single" w:color="auto" w:sz="4" w:space="0"/>
              <w:right w:val="single" w:color="auto" w:sz="4" w:space="0"/>
            </w:tcBorders>
            <w:vAlign w:val="center"/>
          </w:tcPr>
          <w:p w14:paraId="2D88A5A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120m</w:t>
            </w:r>
          </w:p>
        </w:tc>
        <w:tc>
          <w:tcPr>
            <w:tcW w:w="951" w:type="dxa"/>
            <w:tcBorders>
              <w:top w:val="single" w:color="auto" w:sz="4" w:space="0"/>
              <w:left w:val="single" w:color="auto" w:sz="4" w:space="0"/>
              <w:bottom w:val="single" w:color="auto" w:sz="4" w:space="0"/>
              <w:right w:val="single" w:color="auto" w:sz="4" w:space="0"/>
            </w:tcBorders>
            <w:vAlign w:val="center"/>
          </w:tcPr>
          <w:p w14:paraId="2C40B7D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140m</w:t>
            </w:r>
          </w:p>
        </w:tc>
        <w:tc>
          <w:tcPr>
            <w:tcW w:w="951" w:type="dxa"/>
            <w:tcBorders>
              <w:top w:val="single" w:color="auto" w:sz="4" w:space="0"/>
              <w:left w:val="single" w:color="auto" w:sz="4" w:space="0"/>
              <w:bottom w:val="single" w:color="auto" w:sz="4" w:space="0"/>
              <w:right w:val="single" w:color="auto" w:sz="4" w:space="0"/>
            </w:tcBorders>
            <w:vAlign w:val="center"/>
          </w:tcPr>
          <w:p w14:paraId="15C1473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180m</w:t>
            </w:r>
          </w:p>
        </w:tc>
      </w:tr>
      <w:tr w14:paraId="725053D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59" w:type="dxa"/>
            <w:tcBorders>
              <w:top w:val="single" w:color="auto" w:sz="4" w:space="0"/>
              <w:left w:val="single" w:color="auto" w:sz="4" w:space="0"/>
              <w:bottom w:val="single" w:color="auto" w:sz="4" w:space="0"/>
              <w:right w:val="single" w:color="auto" w:sz="4" w:space="0"/>
            </w:tcBorders>
            <w:vAlign w:val="center"/>
          </w:tcPr>
          <w:p w14:paraId="219FD25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预测值</w:t>
            </w:r>
          </w:p>
        </w:tc>
        <w:tc>
          <w:tcPr>
            <w:tcW w:w="808" w:type="dxa"/>
            <w:tcBorders>
              <w:top w:val="single" w:color="auto" w:sz="4" w:space="0"/>
              <w:left w:val="single" w:color="auto" w:sz="4" w:space="0"/>
              <w:bottom w:val="single" w:color="auto" w:sz="4" w:space="0"/>
              <w:right w:val="single" w:color="auto" w:sz="4" w:space="0"/>
            </w:tcBorders>
            <w:vAlign w:val="center"/>
          </w:tcPr>
          <w:p w14:paraId="4940A2E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65.5</w:t>
            </w:r>
          </w:p>
        </w:tc>
        <w:tc>
          <w:tcPr>
            <w:tcW w:w="808" w:type="dxa"/>
            <w:tcBorders>
              <w:top w:val="single" w:color="auto" w:sz="4" w:space="0"/>
              <w:left w:val="single" w:color="auto" w:sz="4" w:space="0"/>
              <w:bottom w:val="single" w:color="auto" w:sz="4" w:space="0"/>
              <w:right w:val="single" w:color="auto" w:sz="4" w:space="0"/>
            </w:tcBorders>
            <w:vAlign w:val="center"/>
          </w:tcPr>
          <w:p w14:paraId="78DBBDE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61.0</w:t>
            </w:r>
          </w:p>
        </w:tc>
        <w:tc>
          <w:tcPr>
            <w:tcW w:w="808" w:type="dxa"/>
            <w:tcBorders>
              <w:top w:val="single" w:color="auto" w:sz="4" w:space="0"/>
              <w:left w:val="single" w:color="auto" w:sz="4" w:space="0"/>
              <w:bottom w:val="single" w:color="auto" w:sz="4" w:space="0"/>
              <w:right w:val="single" w:color="auto" w:sz="4" w:space="0"/>
            </w:tcBorders>
            <w:vAlign w:val="center"/>
          </w:tcPr>
          <w:p w14:paraId="583A7B2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59.4</w:t>
            </w:r>
          </w:p>
        </w:tc>
        <w:tc>
          <w:tcPr>
            <w:tcW w:w="808" w:type="dxa"/>
            <w:tcBorders>
              <w:top w:val="single" w:color="auto" w:sz="4" w:space="0"/>
              <w:left w:val="single" w:color="auto" w:sz="4" w:space="0"/>
              <w:bottom w:val="single" w:color="auto" w:sz="4" w:space="0"/>
              <w:right w:val="single" w:color="auto" w:sz="4" w:space="0"/>
            </w:tcBorders>
            <w:vAlign w:val="center"/>
          </w:tcPr>
          <w:p w14:paraId="04180CD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58.1</w:t>
            </w:r>
          </w:p>
        </w:tc>
        <w:tc>
          <w:tcPr>
            <w:tcW w:w="808" w:type="dxa"/>
            <w:tcBorders>
              <w:top w:val="single" w:color="auto" w:sz="4" w:space="0"/>
              <w:left w:val="single" w:color="auto" w:sz="4" w:space="0"/>
              <w:bottom w:val="single" w:color="auto" w:sz="4" w:space="0"/>
              <w:right w:val="single" w:color="auto" w:sz="4" w:space="0"/>
            </w:tcBorders>
            <w:vAlign w:val="center"/>
          </w:tcPr>
          <w:p w14:paraId="688A480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56.9</w:t>
            </w:r>
          </w:p>
        </w:tc>
        <w:tc>
          <w:tcPr>
            <w:tcW w:w="951" w:type="dxa"/>
            <w:tcBorders>
              <w:top w:val="single" w:color="auto" w:sz="4" w:space="0"/>
              <w:left w:val="single" w:color="auto" w:sz="4" w:space="0"/>
              <w:bottom w:val="single" w:color="auto" w:sz="4" w:space="0"/>
              <w:right w:val="single" w:color="auto" w:sz="4" w:space="0"/>
            </w:tcBorders>
            <w:vAlign w:val="center"/>
          </w:tcPr>
          <w:p w14:paraId="0D1E887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55</w:t>
            </w:r>
          </w:p>
        </w:tc>
        <w:tc>
          <w:tcPr>
            <w:tcW w:w="951" w:type="dxa"/>
            <w:tcBorders>
              <w:top w:val="single" w:color="auto" w:sz="4" w:space="0"/>
              <w:left w:val="single" w:color="auto" w:sz="4" w:space="0"/>
              <w:bottom w:val="single" w:color="auto" w:sz="4" w:space="0"/>
              <w:right w:val="single" w:color="auto" w:sz="4" w:space="0"/>
            </w:tcBorders>
            <w:vAlign w:val="center"/>
          </w:tcPr>
          <w:p w14:paraId="041BF5D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53.4</w:t>
            </w:r>
          </w:p>
        </w:tc>
        <w:tc>
          <w:tcPr>
            <w:tcW w:w="951" w:type="dxa"/>
            <w:tcBorders>
              <w:top w:val="single" w:color="auto" w:sz="4" w:space="0"/>
              <w:left w:val="single" w:color="auto" w:sz="4" w:space="0"/>
              <w:bottom w:val="single" w:color="auto" w:sz="4" w:space="0"/>
              <w:right w:val="single" w:color="auto" w:sz="4" w:space="0"/>
            </w:tcBorders>
            <w:vAlign w:val="center"/>
          </w:tcPr>
          <w:p w14:paraId="63532BE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52.1</w:t>
            </w:r>
          </w:p>
        </w:tc>
        <w:tc>
          <w:tcPr>
            <w:tcW w:w="951" w:type="dxa"/>
            <w:tcBorders>
              <w:top w:val="single" w:color="auto" w:sz="4" w:space="0"/>
              <w:left w:val="single" w:color="auto" w:sz="4" w:space="0"/>
              <w:bottom w:val="single" w:color="auto" w:sz="4" w:space="0"/>
              <w:right w:val="single" w:color="auto" w:sz="4" w:space="0"/>
            </w:tcBorders>
            <w:vAlign w:val="center"/>
          </w:tcPr>
          <w:p w14:paraId="0F513A0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49.9</w:t>
            </w:r>
          </w:p>
        </w:tc>
      </w:tr>
    </w:tbl>
    <w:p w14:paraId="71CD4F51">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由表可见，在距</w:t>
      </w:r>
      <w:r>
        <w:rPr>
          <w:rFonts w:hint="default" w:ascii="Times New Roman" w:hAnsi="Times New Roman" w:eastAsia="宋体" w:cs="Times New Roman"/>
          <w:color w:val="auto"/>
          <w:highlight w:val="none"/>
          <w:lang w:val="en-US" w:eastAsia="zh-CN"/>
        </w:rPr>
        <w:t>噪声</w:t>
      </w:r>
      <w:r>
        <w:rPr>
          <w:rFonts w:hint="default" w:ascii="Times New Roman" w:hAnsi="Times New Roman" w:eastAsia="宋体" w:cs="Times New Roman"/>
          <w:color w:val="auto"/>
          <w:highlight w:val="none"/>
        </w:rPr>
        <w:t>源</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0m以外即可低于《建筑施工场界环境噪声排放标准》（GB12523-2011）表1建筑施工场界环境噪声排放限值</w:t>
      </w:r>
      <w:r>
        <w:rPr>
          <w:rFonts w:hint="default" w:ascii="Times New Roman" w:hAnsi="Times New Roman" w:eastAsia="宋体" w:cs="Times New Roman"/>
          <w:color w:val="auto"/>
          <w:highlight w:val="none"/>
          <w:lang w:eastAsia="zh-CN"/>
        </w:rPr>
        <w:t>中</w:t>
      </w:r>
      <w:r>
        <w:rPr>
          <w:rFonts w:hint="default" w:ascii="Times New Roman" w:hAnsi="Times New Roman" w:eastAsia="宋体" w:cs="Times New Roman"/>
          <w:color w:val="auto"/>
          <w:highlight w:val="none"/>
        </w:rPr>
        <w:t>昼间</w:t>
      </w:r>
      <w:r>
        <w:rPr>
          <w:rFonts w:hint="default" w:ascii="Times New Roman" w:hAnsi="Times New Roman" w:eastAsia="宋体" w:cs="Times New Roman"/>
          <w:color w:val="auto"/>
          <w:highlight w:val="none"/>
          <w:lang w:val="en-US" w:eastAsia="zh-CN"/>
        </w:rPr>
        <w:t>70</w:t>
      </w:r>
      <w:r>
        <w:rPr>
          <w:rFonts w:hint="default" w:ascii="Times New Roman" w:hAnsi="Times New Roman" w:eastAsia="宋体" w:cs="Times New Roman"/>
          <w:color w:val="auto"/>
          <w:highlight w:val="none"/>
        </w:rPr>
        <w:t>dB</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A</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的标准限值，距</w:t>
      </w:r>
      <w:r>
        <w:rPr>
          <w:rFonts w:hint="default" w:ascii="Times New Roman" w:hAnsi="Times New Roman" w:eastAsia="宋体" w:cs="Times New Roman"/>
          <w:color w:val="auto"/>
          <w:highlight w:val="none"/>
          <w:lang w:val="en-US" w:eastAsia="zh-CN"/>
        </w:rPr>
        <w:t>噪声</w:t>
      </w:r>
      <w:r>
        <w:rPr>
          <w:rFonts w:hint="default" w:ascii="Times New Roman" w:hAnsi="Times New Roman" w:eastAsia="宋体" w:cs="Times New Roman"/>
          <w:color w:val="auto"/>
          <w:highlight w:val="none"/>
        </w:rPr>
        <w:t>源120m以外即可低于《建筑施工场界环境噪声排放标准》（GB12523-2011）表1建筑施工场界环境噪声排放限值</w:t>
      </w:r>
      <w:r>
        <w:rPr>
          <w:rFonts w:hint="default" w:ascii="Times New Roman" w:hAnsi="Times New Roman" w:eastAsia="宋体" w:cs="Times New Roman"/>
          <w:color w:val="auto"/>
          <w:highlight w:val="none"/>
          <w:lang w:eastAsia="zh-CN"/>
        </w:rPr>
        <w:t>中</w:t>
      </w:r>
      <w:r>
        <w:rPr>
          <w:rFonts w:hint="default" w:ascii="Times New Roman" w:hAnsi="Times New Roman" w:eastAsia="宋体" w:cs="Times New Roman"/>
          <w:color w:val="auto"/>
          <w:highlight w:val="none"/>
        </w:rPr>
        <w:t>夜间55dB</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A</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的标准限值。</w:t>
      </w:r>
    </w:p>
    <w:p w14:paraId="53429409">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本工程建设施工过程中噪声的影响主要在厂界内，对外环境造成影响比较小，属于可以接受水平。</w:t>
      </w:r>
    </w:p>
    <w:p w14:paraId="4CA54A26">
      <w:pPr>
        <w:pStyle w:val="5"/>
        <w:pageBreakBefore w:val="0"/>
        <w:widowControl w:val="0"/>
        <w:kinsoku/>
        <w:wordWrap/>
        <w:overflowPunct/>
        <w:autoSpaceDE w:val="0"/>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387" w:name="_Toc15198"/>
      <w:r>
        <w:rPr>
          <w:rFonts w:hint="default" w:ascii="Times New Roman" w:hAnsi="Times New Roman" w:eastAsia="宋体" w:cs="Times New Roman"/>
          <w:color w:val="auto"/>
          <w:highlight w:val="none"/>
        </w:rPr>
        <w:t>5.1.4固废环境影响分析</w:t>
      </w:r>
      <w:bookmarkEnd w:id="387"/>
    </w:p>
    <w:p w14:paraId="3716286E">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spacing w:val="-2"/>
          <w:highlight w:val="none"/>
        </w:rPr>
      </w:pPr>
      <w:r>
        <w:rPr>
          <w:rFonts w:hint="default" w:ascii="Times New Roman" w:hAnsi="Times New Roman" w:eastAsia="宋体" w:cs="Times New Roman"/>
          <w:color w:val="auto"/>
          <w:highlight w:val="none"/>
        </w:rPr>
        <w:t>施工期的固体废物包括开挖弃土、建筑废料以及施工人员生活垃圾。项目开挖弃土部分用于回填，不产生弃土。建筑弃渣尽量回收利用，不可利用的少量建筑垃圾往政府指定的渣场处理；</w:t>
      </w:r>
      <w:r>
        <w:rPr>
          <w:rFonts w:hint="default" w:ascii="Times New Roman" w:hAnsi="Times New Roman" w:eastAsia="宋体" w:cs="Times New Roman"/>
          <w:color w:val="auto"/>
          <w:spacing w:val="-2"/>
          <w:highlight w:val="none"/>
        </w:rPr>
        <w:t>生活垃圾经垃圾桶收集后定期自行运送至垃圾填埋场填埋处置。</w:t>
      </w:r>
    </w:p>
    <w:p w14:paraId="3159DED7">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针对施工期固废，本次评价要求采取如下污染防治措施：</w:t>
      </w:r>
    </w:p>
    <w:p w14:paraId="50417B53">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①根据施工产生的工程垃圾和渣土的量，分类管理，可利用的渣土尽量在场内周转，就地利用，不可利用的及时清运，以防污染周围水体水质和影响周围环境卫生；</w:t>
      </w:r>
    </w:p>
    <w:p w14:paraId="24BC9598">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②车辆运输散体物料和废物时，必须密闭、包扎、覆盖，不得沿途漏撒；运载土方的车辆必须在规定时间内，按指定路段行驶；</w:t>
      </w:r>
    </w:p>
    <w:p w14:paraId="72AB077D">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③生活垃圾按照30人估算，生活垃圾按每人每天</w:t>
      </w:r>
      <w:r>
        <w:rPr>
          <w:rFonts w:hint="default" w:ascii="Times New Roman" w:hAnsi="Times New Roman" w:eastAsia="宋体" w:cs="Times New Roman"/>
          <w:color w:val="auto"/>
          <w:highlight w:val="none"/>
          <w:lang w:val="en-US" w:eastAsia="zh-CN"/>
        </w:rPr>
        <w:t>0.5</w:t>
      </w:r>
      <w:r>
        <w:rPr>
          <w:rFonts w:hint="default" w:ascii="Times New Roman" w:hAnsi="Times New Roman" w:eastAsia="宋体" w:cs="Times New Roman"/>
          <w:color w:val="auto"/>
          <w:highlight w:val="none"/>
        </w:rPr>
        <w:t>kg计，施工期每天生活垃圾发生量约为</w:t>
      </w:r>
      <w:r>
        <w:rPr>
          <w:rFonts w:hint="default" w:ascii="Times New Roman" w:hAnsi="Times New Roman" w:eastAsia="宋体" w:cs="Times New Roman"/>
          <w:color w:val="auto"/>
          <w:highlight w:val="none"/>
          <w:lang w:val="en-US" w:eastAsia="zh-CN"/>
        </w:rPr>
        <w:t>15kg</w:t>
      </w:r>
      <w:r>
        <w:rPr>
          <w:rFonts w:hint="default" w:ascii="Times New Roman" w:hAnsi="Times New Roman" w:eastAsia="宋体" w:cs="Times New Roman"/>
          <w:color w:val="auto"/>
          <w:highlight w:val="none"/>
        </w:rPr>
        <w:t>，施工期按</w:t>
      </w:r>
      <w:r>
        <w:rPr>
          <w:rFonts w:hint="default" w:ascii="Times New Roman" w:hAnsi="Times New Roman" w:eastAsia="宋体" w:cs="Times New Roman"/>
          <w:color w:val="auto"/>
          <w:highlight w:val="none"/>
          <w:lang w:val="en-US" w:eastAsia="zh-CN"/>
        </w:rPr>
        <w:t>24</w:t>
      </w:r>
      <w:r>
        <w:rPr>
          <w:rFonts w:hint="default" w:ascii="Times New Roman" w:hAnsi="Times New Roman" w:eastAsia="宋体" w:cs="Times New Roman"/>
          <w:color w:val="auto"/>
          <w:highlight w:val="none"/>
        </w:rPr>
        <w:t>0天计，整个施工期生活垃圾发生量约为3.6t。施工现场应设垃圾回收箱，将产生的生活垃圾和施工垃圾分别收集，并委托环卫部门定期清运。</w:t>
      </w:r>
    </w:p>
    <w:p w14:paraId="5C702617">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④在工程竣工以后，施工单位应立即拆除各种临时施工设施，并负责将工地的剩余建筑垃圾、工程渣土处理干净。</w:t>
      </w:r>
    </w:p>
    <w:p w14:paraId="69AE0742">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采取以上措施后，施工期固废均能得到合理处置，对周围环境的影响较小。</w:t>
      </w:r>
    </w:p>
    <w:p w14:paraId="6179BECF">
      <w:pPr>
        <w:pStyle w:val="5"/>
        <w:pageBreakBefore w:val="0"/>
        <w:widowControl w:val="0"/>
        <w:kinsoku/>
        <w:wordWrap/>
        <w:overflowPunct/>
        <w:autoSpaceDE w:val="0"/>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388" w:name="_Toc21908"/>
      <w:r>
        <w:rPr>
          <w:rFonts w:hint="default" w:ascii="Times New Roman" w:hAnsi="Times New Roman" w:eastAsia="宋体" w:cs="Times New Roman"/>
          <w:color w:val="auto"/>
          <w:highlight w:val="none"/>
        </w:rPr>
        <w:t>5.1.5施工期生态影响分析</w:t>
      </w:r>
      <w:bookmarkEnd w:id="388"/>
    </w:p>
    <w:p w14:paraId="3D215232">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施工期生态影响主要是占地影响，植被破坏影响，现场水土流失影响，景观影响。</w:t>
      </w:r>
    </w:p>
    <w:p w14:paraId="5BE4AA8F">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该区域植被稀疏，群落结构简单，生态环境景观以自然生态为主。项目所在</w:t>
      </w:r>
      <w:r>
        <w:rPr>
          <w:rFonts w:hint="default" w:ascii="Times New Roman" w:hAnsi="Times New Roman" w:eastAsia="宋体" w:cs="Times New Roman"/>
          <w:color w:val="auto"/>
          <w:highlight w:val="none"/>
          <w:lang w:eastAsia="zh-CN"/>
        </w:rPr>
        <w:t>区域</w:t>
      </w:r>
      <w:r>
        <w:rPr>
          <w:rFonts w:hint="default" w:ascii="Times New Roman" w:hAnsi="Times New Roman" w:eastAsia="宋体" w:cs="Times New Roman"/>
          <w:color w:val="auto"/>
          <w:highlight w:val="none"/>
        </w:rPr>
        <w:t>植被以</w:t>
      </w:r>
      <w:r>
        <w:rPr>
          <w:rFonts w:hint="default" w:ascii="Times New Roman" w:hAnsi="Times New Roman" w:eastAsia="宋体" w:cs="Times New Roman"/>
          <w:color w:val="auto"/>
          <w:highlight w:val="none"/>
          <w:lang w:eastAsia="zh-CN"/>
        </w:rPr>
        <w:t>其他草地</w:t>
      </w:r>
      <w:r>
        <w:rPr>
          <w:rFonts w:hint="default" w:ascii="Times New Roman" w:hAnsi="Times New Roman" w:eastAsia="宋体" w:cs="Times New Roman"/>
          <w:color w:val="auto"/>
          <w:highlight w:val="none"/>
        </w:rPr>
        <w:t>为主，主要植物有沙蒿、沙柳等，均为乡间土种，无国家保护的珍稀濒危植物，动物有少量哺乳动物主要有黄鼠、野兔等；爬行动物主要为麻蜥、壁虎等；鸟类主要有喜鹊、啄木鸟、麻雀等，还有种类和数量众多的昆虫。</w:t>
      </w:r>
    </w:p>
    <w:p w14:paraId="115D39A8">
      <w:pPr>
        <w:pStyle w:val="6"/>
        <w:pageBreakBefore w:val="0"/>
        <w:widowControl w:val="0"/>
        <w:kinsoku/>
        <w:wordWrap/>
        <w:overflowPunct/>
        <w:autoSpaceDE w:val="0"/>
        <w:bidi w:val="0"/>
        <w:adjustRightInd/>
        <w:snapToGrid w:val="0"/>
        <w:spacing w:before="0" w:after="0" w:line="360" w:lineRule="auto"/>
        <w:ind w:left="0" w:leftChars="0" w:right="0" w:rightChars="0"/>
        <w:textAlignment w:val="auto"/>
        <w:outlineLvl w:val="2"/>
        <w:rPr>
          <w:rFonts w:hint="default" w:ascii="Times New Roman" w:hAnsi="Times New Roman" w:eastAsia="宋体" w:cs="Times New Roman"/>
          <w:color w:val="auto"/>
          <w:highlight w:val="none"/>
        </w:rPr>
      </w:pPr>
      <w:bookmarkStart w:id="389" w:name="_Toc20098"/>
      <w:bookmarkStart w:id="390" w:name="_Toc5074"/>
      <w:r>
        <w:rPr>
          <w:rFonts w:hint="default" w:ascii="Times New Roman" w:hAnsi="Times New Roman" w:eastAsia="宋体" w:cs="Times New Roman"/>
          <w:color w:val="auto"/>
          <w:highlight w:val="none"/>
        </w:rPr>
        <w:t>5.1.5.1占地影响</w:t>
      </w:r>
      <w:bookmarkEnd w:id="389"/>
      <w:bookmarkEnd w:id="390"/>
    </w:p>
    <w:p w14:paraId="48CED62D">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val="en-US" w:eastAsia="zh-CN"/>
        </w:rPr>
        <w:t>占</w:t>
      </w:r>
      <w:r>
        <w:rPr>
          <w:rFonts w:hint="default" w:ascii="Times New Roman" w:hAnsi="Times New Roman" w:eastAsia="宋体" w:cs="Times New Roman"/>
          <w:color w:val="auto"/>
          <w:highlight w:val="none"/>
        </w:rPr>
        <w:t>地面积</w:t>
      </w:r>
      <w:r>
        <w:rPr>
          <w:rFonts w:hint="default" w:ascii="Times New Roman" w:hAnsi="Times New Roman" w:eastAsia="宋体" w:cs="Times New Roman"/>
          <w:color w:val="auto"/>
          <w:highlight w:val="none"/>
          <w:lang w:val="en-US" w:eastAsia="zh-CN"/>
        </w:rPr>
        <w:t>为</w:t>
      </w:r>
      <w:r>
        <w:rPr>
          <w:rFonts w:hint="default" w:ascii="Times New Roman" w:hAnsi="Times New Roman" w:eastAsia="宋体" w:cs="Times New Roman"/>
          <w:color w:val="auto"/>
          <w:highlight w:val="none"/>
        </w:rPr>
        <w:t>16.155536</w:t>
      </w:r>
      <w:r>
        <w:rPr>
          <w:rFonts w:hint="default" w:ascii="Times New Roman" w:hAnsi="Times New Roman" w:eastAsia="宋体" w:cs="Times New Roman"/>
          <w:color w:val="auto"/>
          <w:highlight w:val="none"/>
          <w:lang w:val="en-GB"/>
        </w:rPr>
        <w:t>hm</w:t>
      </w:r>
      <w:r>
        <w:rPr>
          <w:rFonts w:hint="default" w:ascii="Times New Roman" w:hAnsi="Times New Roman" w:eastAsia="宋体" w:cs="Times New Roman"/>
          <w:color w:val="auto"/>
          <w:highlight w:val="none"/>
          <w:vertAlign w:val="superscript"/>
          <w:lang w:val="en-GB"/>
        </w:rPr>
        <w:t>2</w:t>
      </w:r>
      <w:r>
        <w:rPr>
          <w:rFonts w:hint="default" w:ascii="Times New Roman" w:hAnsi="Times New Roman" w:eastAsia="宋体" w:cs="Times New Roman"/>
          <w:color w:val="auto"/>
          <w:highlight w:val="none"/>
        </w:rPr>
        <w:t>，占用土地类型为</w:t>
      </w:r>
      <w:r>
        <w:rPr>
          <w:rFonts w:hint="default" w:ascii="Times New Roman" w:hAnsi="Times New Roman" w:eastAsia="宋体" w:cs="Times New Roman"/>
          <w:color w:val="auto"/>
          <w:highlight w:val="none"/>
          <w:lang w:eastAsia="zh-CN"/>
        </w:rPr>
        <w:t>设施农用地</w:t>
      </w:r>
      <w:r>
        <w:rPr>
          <w:rFonts w:hint="default" w:ascii="Times New Roman" w:hAnsi="Times New Roman" w:eastAsia="宋体" w:cs="Times New Roman"/>
          <w:color w:val="auto"/>
          <w:highlight w:val="none"/>
        </w:rPr>
        <w:t>，项目建设将会改变土地的利用性质。</w:t>
      </w:r>
    </w:p>
    <w:p w14:paraId="739F26EF">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施工过程中各种机具车辆碾压和施工人员的践踏及土石的堆放，也会对该区域植被造成较为严重的破坏和影响。管沟、道路两侧5m范围外由于车辆和人员活动较少，对植被的破坏程度较轻。</w:t>
      </w:r>
    </w:p>
    <w:p w14:paraId="2567E498">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保护生态环境降低项目建设对场地产生干扰影响，本次评价要求建设单位做到如下几点：</w:t>
      </w:r>
    </w:p>
    <w:p w14:paraId="046E7D61">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①避免高填深挖，做到少取土，少弃土，少占地，搞好挖填土方平衡，</w:t>
      </w:r>
      <w:r>
        <w:rPr>
          <w:rFonts w:hint="default" w:ascii="Times New Roman" w:hAnsi="Times New Roman" w:eastAsia="宋体" w:cs="Times New Roman"/>
          <w:color w:val="auto"/>
          <w:highlight w:val="none"/>
          <w:lang w:eastAsia="zh-CN"/>
        </w:rPr>
        <w:t>最大限度地减少</w:t>
      </w:r>
      <w:r>
        <w:rPr>
          <w:rFonts w:hint="default" w:ascii="Times New Roman" w:hAnsi="Times New Roman" w:eastAsia="宋体" w:cs="Times New Roman"/>
          <w:color w:val="auto"/>
          <w:highlight w:val="none"/>
        </w:rPr>
        <w:t>临时用地。</w:t>
      </w:r>
    </w:p>
    <w:p w14:paraId="0450DEFB">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②在项目建</w:t>
      </w:r>
      <w:r>
        <w:rPr>
          <w:rFonts w:hint="default" w:ascii="Times New Roman" w:hAnsi="Times New Roman" w:eastAsia="宋体" w:cs="Times New Roman"/>
          <w:color w:val="auto"/>
          <w:highlight w:val="none"/>
          <w:lang w:eastAsia="zh-CN"/>
        </w:rPr>
        <w:t>设中</w:t>
      </w:r>
      <w:r>
        <w:rPr>
          <w:rFonts w:hint="default" w:ascii="Times New Roman" w:hAnsi="Times New Roman" w:eastAsia="宋体" w:cs="Times New Roman"/>
          <w:color w:val="auto"/>
          <w:highlight w:val="none"/>
        </w:rPr>
        <w:t>充分利用地块内原有的地形地貌，依山就势进行规划设计，在尽量少破坏原有生态的基础上营造优美的园区环境。</w:t>
      </w:r>
    </w:p>
    <w:p w14:paraId="2F9A906E">
      <w:pPr>
        <w:pStyle w:val="6"/>
        <w:pageBreakBefore w:val="0"/>
        <w:widowControl w:val="0"/>
        <w:kinsoku/>
        <w:wordWrap/>
        <w:overflowPunct/>
        <w:autoSpaceDE w:val="0"/>
        <w:bidi w:val="0"/>
        <w:adjustRightInd/>
        <w:snapToGrid w:val="0"/>
        <w:spacing w:before="0" w:after="0" w:line="360" w:lineRule="auto"/>
        <w:ind w:left="0" w:leftChars="0" w:right="0" w:rightChars="0"/>
        <w:textAlignment w:val="auto"/>
        <w:outlineLvl w:val="2"/>
        <w:rPr>
          <w:rFonts w:hint="default" w:ascii="Times New Roman" w:hAnsi="Times New Roman" w:eastAsia="宋体" w:cs="Times New Roman"/>
          <w:color w:val="auto"/>
          <w:highlight w:val="none"/>
        </w:rPr>
      </w:pPr>
      <w:bookmarkStart w:id="391" w:name="_Toc23093"/>
      <w:bookmarkStart w:id="392" w:name="_Toc12634"/>
      <w:r>
        <w:rPr>
          <w:rFonts w:hint="default" w:ascii="Times New Roman" w:hAnsi="Times New Roman" w:eastAsia="宋体" w:cs="Times New Roman"/>
          <w:color w:val="auto"/>
          <w:highlight w:val="none"/>
        </w:rPr>
        <w:t>5.1.5.2植被破坏影响</w:t>
      </w:r>
      <w:bookmarkEnd w:id="391"/>
      <w:bookmarkEnd w:id="392"/>
    </w:p>
    <w:p w14:paraId="224DF16D">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工程所在地的植被结构以野生草丛为主，无国家重点保护的野生植物物种及古树名木；施工期对植被的影响主要有占地范围内原有植物的剥离、清理及占压。在施工过程中，土壤开挖区范围内植物的地上部分与根系均被清除，道路施工带两侧的植被由于挖掘土石的堆放、人员的践踏、施工车辆和机具的碾压而受到不同程度的破坏，会造成地上部分破坏甚至死亡。</w:t>
      </w:r>
    </w:p>
    <w:p w14:paraId="0546F87C">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工程填挖方均占压和清除一定数量的地表植物，使填挖区被生土覆盖或出露生土，植物恢复</w:t>
      </w:r>
      <w:r>
        <w:rPr>
          <w:rFonts w:hint="default" w:ascii="Times New Roman" w:hAnsi="Times New Roman" w:eastAsia="宋体" w:cs="Times New Roman"/>
          <w:color w:val="auto"/>
          <w:highlight w:val="none"/>
          <w:lang w:eastAsia="zh-CN"/>
        </w:rPr>
        <w:t>需</w:t>
      </w:r>
      <w:r>
        <w:rPr>
          <w:rFonts w:hint="default" w:ascii="Times New Roman" w:hAnsi="Times New Roman" w:eastAsia="宋体" w:cs="Times New Roman"/>
          <w:color w:val="auto"/>
          <w:highlight w:val="none"/>
        </w:rPr>
        <w:t>经过较长时间。此外，石灰、砂石料的堆放也需占压一定的植物，尤其是</w:t>
      </w:r>
      <w:r>
        <w:rPr>
          <w:rFonts w:hint="default" w:ascii="Times New Roman" w:hAnsi="Times New Roman" w:eastAsia="宋体" w:cs="Times New Roman"/>
          <w:color w:val="auto"/>
          <w:highlight w:val="none"/>
          <w:lang w:eastAsia="zh-CN"/>
        </w:rPr>
        <w:t>混凝</w:t>
      </w:r>
      <w:r>
        <w:rPr>
          <w:rFonts w:hint="default" w:ascii="Times New Roman" w:hAnsi="Times New Roman" w:eastAsia="宋体" w:cs="Times New Roman"/>
          <w:color w:val="auto"/>
          <w:highlight w:val="none"/>
        </w:rPr>
        <w:t>土的抛撒，可造成附近土壤板结，影响植物生长。</w:t>
      </w:r>
    </w:p>
    <w:p w14:paraId="057655B6">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由于项目区沿线群落植物种类均为区域常见和广布种，因此工程施工对沿线生物多样性的影响相对较小。</w:t>
      </w:r>
    </w:p>
    <w:p w14:paraId="55329D57">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所在地无自然保护区、风景名胜区等。项目在此建设，会使场地植被覆盖率降低，动物栖息地受到破坏，在被占土地上生长的陆生生物也将受到不可逆影响。由于该区域内受影响的植被中无珍稀濒危种类，受影响的植被为评价区域内常见的植被，因此，本项目工程占地对植被的影响较小。</w:t>
      </w:r>
    </w:p>
    <w:p w14:paraId="7FA1D594">
      <w:pPr>
        <w:pStyle w:val="6"/>
        <w:pageBreakBefore w:val="0"/>
        <w:widowControl w:val="0"/>
        <w:kinsoku/>
        <w:wordWrap/>
        <w:overflowPunct/>
        <w:autoSpaceDE w:val="0"/>
        <w:bidi w:val="0"/>
        <w:adjustRightInd/>
        <w:snapToGrid w:val="0"/>
        <w:spacing w:before="0" w:after="0" w:line="360" w:lineRule="auto"/>
        <w:ind w:left="0" w:leftChars="0" w:right="0" w:rightChars="0"/>
        <w:textAlignment w:val="auto"/>
        <w:outlineLvl w:val="2"/>
        <w:rPr>
          <w:rFonts w:hint="default" w:ascii="Times New Roman" w:hAnsi="Times New Roman" w:eastAsia="宋体" w:cs="Times New Roman"/>
          <w:color w:val="auto"/>
          <w:highlight w:val="none"/>
        </w:rPr>
      </w:pPr>
      <w:bookmarkStart w:id="393" w:name="_Toc11289"/>
      <w:bookmarkStart w:id="394" w:name="_Toc29817"/>
      <w:r>
        <w:rPr>
          <w:rFonts w:hint="default" w:ascii="Times New Roman" w:hAnsi="Times New Roman" w:eastAsia="宋体" w:cs="Times New Roman"/>
          <w:color w:val="auto"/>
          <w:highlight w:val="none"/>
        </w:rPr>
        <w:t>5.1.5.3水土流失影响分析</w:t>
      </w:r>
      <w:bookmarkEnd w:id="393"/>
      <w:bookmarkEnd w:id="394"/>
    </w:p>
    <w:p w14:paraId="76338DB9">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本项目施工期土方包括</w:t>
      </w:r>
      <w:r>
        <w:rPr>
          <w:rFonts w:hint="default" w:ascii="Times New Roman" w:hAnsi="Times New Roman" w:eastAsia="宋体" w:cs="Times New Roman"/>
          <w:color w:val="auto"/>
          <w:highlight w:val="none"/>
          <w:lang w:eastAsia="zh-CN"/>
        </w:rPr>
        <w:t>主体工程</w:t>
      </w:r>
      <w:r>
        <w:rPr>
          <w:rFonts w:hint="default" w:ascii="Times New Roman" w:hAnsi="Times New Roman" w:eastAsia="宋体" w:cs="Times New Roman"/>
          <w:color w:val="auto"/>
          <w:highlight w:val="none"/>
        </w:rPr>
        <w:t>表土</w:t>
      </w:r>
      <w:r>
        <w:rPr>
          <w:rFonts w:hint="default" w:ascii="Times New Roman" w:hAnsi="Times New Roman" w:eastAsia="宋体" w:cs="Times New Roman"/>
          <w:color w:val="auto"/>
          <w:highlight w:val="none"/>
          <w:lang w:eastAsia="zh-CN"/>
        </w:rPr>
        <w:t>剥离</w:t>
      </w:r>
      <w:r>
        <w:rPr>
          <w:rFonts w:hint="default" w:ascii="Times New Roman" w:hAnsi="Times New Roman" w:eastAsia="宋体" w:cs="Times New Roman"/>
          <w:color w:val="auto"/>
          <w:highlight w:val="none"/>
        </w:rPr>
        <w:t>及基础开挖等产生的土方，以及表土剥离时产生的土方，本项目施工期无弃土，不设置弃土场。</w:t>
      </w:r>
    </w:p>
    <w:p w14:paraId="1E570475">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项目建设土石方工程量较小，施工过程中通过设临时排洪沟等必要的防护措施，可以有效减少水土流失量，并且随着施工后期各类建筑物的竣工，地面硬化，植被的恢复，各类建筑物的竣工，裸露地面将大大减少，水土流失量较建设前将大为减轻。因此，只要在施工过程中切实落实绿化等环保措施，该项目水土流失的影响很轻</w:t>
      </w:r>
      <w:r>
        <w:rPr>
          <w:rFonts w:hint="default" w:ascii="Times New Roman" w:hAnsi="Times New Roman" w:eastAsia="宋体" w:cs="Times New Roman"/>
          <w:color w:val="auto"/>
          <w:highlight w:val="none"/>
          <w:lang w:eastAsia="zh-CN"/>
        </w:rPr>
        <w:t>。</w:t>
      </w:r>
    </w:p>
    <w:p w14:paraId="78A69339">
      <w:pPr>
        <w:spacing w:line="360" w:lineRule="auto"/>
        <w:ind w:firstLine="480" w:firstLineChars="200"/>
        <w:rPr>
          <w:rFonts w:hint="default" w:ascii="Times New Roman" w:hAnsi="Times New Roman" w:eastAsia="宋体" w:cs="Times New Roman"/>
          <w:color w:val="0000FF"/>
          <w:sz w:val="24"/>
          <w:szCs w:val="24"/>
          <w:highlight w:val="none"/>
        </w:rPr>
      </w:pPr>
      <w:r>
        <w:rPr>
          <w:rFonts w:hint="default" w:ascii="Times New Roman" w:hAnsi="Times New Roman" w:eastAsia="宋体" w:cs="Times New Roman"/>
          <w:color w:val="0000FF"/>
          <w:sz w:val="24"/>
          <w:szCs w:val="24"/>
          <w:highlight w:val="none"/>
        </w:rPr>
        <w:t>本项目土石方平衡见表</w:t>
      </w:r>
      <w:r>
        <w:rPr>
          <w:rFonts w:hint="default" w:ascii="Times New Roman" w:hAnsi="Times New Roman" w:eastAsia="宋体" w:cs="Times New Roman"/>
          <w:color w:val="0000FF"/>
          <w:sz w:val="24"/>
          <w:szCs w:val="24"/>
          <w:highlight w:val="none"/>
          <w:lang w:val="en-US" w:eastAsia="zh-CN"/>
        </w:rPr>
        <w:t>5.1</w:t>
      </w:r>
      <w:r>
        <w:rPr>
          <w:rFonts w:hint="default" w:ascii="Times New Roman" w:hAnsi="Times New Roman" w:eastAsia="宋体" w:cs="Times New Roman"/>
          <w:color w:val="0000FF"/>
          <w:sz w:val="24"/>
          <w:szCs w:val="24"/>
          <w:highlight w:val="none"/>
        </w:rPr>
        <w:t>-</w:t>
      </w:r>
      <w:r>
        <w:rPr>
          <w:rFonts w:hint="default" w:ascii="Times New Roman" w:hAnsi="Times New Roman" w:eastAsia="宋体" w:cs="Times New Roman"/>
          <w:color w:val="0000FF"/>
          <w:sz w:val="24"/>
          <w:szCs w:val="24"/>
          <w:highlight w:val="none"/>
          <w:lang w:val="en-US" w:eastAsia="zh-CN"/>
        </w:rPr>
        <w:t>6</w:t>
      </w:r>
      <w:r>
        <w:rPr>
          <w:rFonts w:hint="default" w:ascii="Times New Roman" w:hAnsi="Times New Roman" w:eastAsia="宋体" w:cs="Times New Roman"/>
          <w:color w:val="0000FF"/>
          <w:sz w:val="24"/>
          <w:szCs w:val="24"/>
          <w:highlight w:val="none"/>
        </w:rPr>
        <w:t>。</w:t>
      </w:r>
    </w:p>
    <w:p w14:paraId="5F4A7BA4">
      <w:pPr>
        <w:spacing w:line="360" w:lineRule="auto"/>
        <w:ind w:firstLine="482" w:firstLineChars="200"/>
        <w:jc w:val="center"/>
        <w:rPr>
          <w:rFonts w:hint="default" w:ascii="Times New Roman" w:hAnsi="Times New Roman" w:eastAsia="宋体" w:cs="Times New Roman"/>
          <w:b/>
          <w:bCs/>
          <w:color w:val="0000FF"/>
          <w:sz w:val="24"/>
          <w:szCs w:val="24"/>
          <w:highlight w:val="none"/>
        </w:rPr>
      </w:pPr>
      <w:r>
        <w:rPr>
          <w:rFonts w:hint="default" w:ascii="Times New Roman" w:hAnsi="Times New Roman" w:eastAsia="宋体" w:cs="Times New Roman"/>
          <w:b/>
          <w:bCs/>
          <w:color w:val="0000FF"/>
          <w:sz w:val="24"/>
          <w:szCs w:val="24"/>
          <w:highlight w:val="none"/>
        </w:rPr>
        <w:t>表</w:t>
      </w:r>
      <w:r>
        <w:rPr>
          <w:rFonts w:hint="default" w:ascii="Times New Roman" w:hAnsi="Times New Roman" w:eastAsia="宋体" w:cs="Times New Roman"/>
          <w:b/>
          <w:bCs/>
          <w:color w:val="0000FF"/>
          <w:sz w:val="24"/>
          <w:szCs w:val="24"/>
          <w:highlight w:val="none"/>
          <w:lang w:val="en-US" w:eastAsia="zh-CN"/>
        </w:rPr>
        <w:t>5.1-6</w:t>
      </w:r>
      <w:r>
        <w:rPr>
          <w:rFonts w:hint="default" w:ascii="Times New Roman" w:hAnsi="Times New Roman" w:eastAsia="宋体" w:cs="Times New Roman"/>
          <w:b/>
          <w:bCs/>
          <w:color w:val="0000FF"/>
          <w:sz w:val="24"/>
          <w:szCs w:val="24"/>
          <w:highlight w:val="none"/>
        </w:rPr>
        <w:t>项目土石方平衡表单位：m</w:t>
      </w:r>
      <w:r>
        <w:rPr>
          <w:rFonts w:hint="default" w:ascii="Times New Roman" w:hAnsi="Times New Roman" w:eastAsia="宋体" w:cs="Times New Roman"/>
          <w:b/>
          <w:bCs/>
          <w:color w:val="0000FF"/>
          <w:sz w:val="24"/>
          <w:szCs w:val="24"/>
          <w:highlight w:val="none"/>
          <w:vertAlign w:val="superscript"/>
        </w:rPr>
        <w:t>3</w:t>
      </w:r>
    </w:p>
    <w:tbl>
      <w:tblPr>
        <w:tblStyle w:val="40"/>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9"/>
        <w:gridCol w:w="1379"/>
        <w:gridCol w:w="1379"/>
        <w:gridCol w:w="1380"/>
        <w:gridCol w:w="1380"/>
        <w:gridCol w:w="1380"/>
      </w:tblGrid>
      <w:tr w14:paraId="655C0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noWrap w:val="0"/>
            <w:vAlign w:val="center"/>
          </w:tcPr>
          <w:p w14:paraId="0CB3E689">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序号</w:t>
            </w:r>
          </w:p>
        </w:tc>
        <w:tc>
          <w:tcPr>
            <w:tcW w:w="1134" w:type="dxa"/>
            <w:noWrap w:val="0"/>
            <w:vAlign w:val="center"/>
          </w:tcPr>
          <w:p w14:paraId="0F85E6C6">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占地项目</w:t>
            </w:r>
          </w:p>
        </w:tc>
        <w:tc>
          <w:tcPr>
            <w:tcW w:w="1134" w:type="dxa"/>
            <w:noWrap w:val="0"/>
            <w:vAlign w:val="center"/>
          </w:tcPr>
          <w:p w14:paraId="04FD8193">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总开挖量</w:t>
            </w:r>
          </w:p>
        </w:tc>
        <w:tc>
          <w:tcPr>
            <w:tcW w:w="1134" w:type="dxa"/>
            <w:noWrap w:val="0"/>
            <w:vAlign w:val="center"/>
          </w:tcPr>
          <w:p w14:paraId="4AD984DD">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总回填量</w:t>
            </w:r>
          </w:p>
        </w:tc>
        <w:tc>
          <w:tcPr>
            <w:tcW w:w="1134" w:type="dxa"/>
            <w:noWrap w:val="0"/>
            <w:vAlign w:val="center"/>
          </w:tcPr>
          <w:p w14:paraId="0C41A528">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调入来源</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数量</w:t>
            </w:r>
            <w:r>
              <w:rPr>
                <w:rFonts w:hint="default" w:ascii="Times New Roman" w:hAnsi="Times New Roman" w:eastAsia="宋体" w:cs="Times New Roman"/>
                <w:color w:val="0000FF"/>
                <w:sz w:val="21"/>
                <w:szCs w:val="21"/>
                <w:highlight w:val="none"/>
                <w:lang w:eastAsia="zh-CN"/>
              </w:rPr>
              <w:t>）</w:t>
            </w:r>
          </w:p>
        </w:tc>
        <w:tc>
          <w:tcPr>
            <w:tcW w:w="1134" w:type="dxa"/>
            <w:noWrap w:val="0"/>
            <w:vAlign w:val="center"/>
          </w:tcPr>
          <w:p w14:paraId="62A02934">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调出去向</w:t>
            </w:r>
            <w:r>
              <w:rPr>
                <w:rFonts w:hint="default" w:ascii="Times New Roman" w:hAnsi="Times New Roman" w:eastAsia="宋体" w:cs="Times New Roman"/>
                <w:color w:val="0000FF"/>
                <w:sz w:val="21"/>
                <w:szCs w:val="21"/>
                <w:highlight w:val="none"/>
                <w:lang w:eastAsia="zh-CN"/>
              </w:rPr>
              <w:t>（</w:t>
            </w:r>
            <w:r>
              <w:rPr>
                <w:rFonts w:hint="default" w:ascii="Times New Roman" w:hAnsi="Times New Roman" w:eastAsia="宋体" w:cs="Times New Roman"/>
                <w:color w:val="0000FF"/>
                <w:sz w:val="21"/>
                <w:szCs w:val="21"/>
                <w:highlight w:val="none"/>
              </w:rPr>
              <w:t>数量</w:t>
            </w:r>
            <w:r>
              <w:rPr>
                <w:rFonts w:hint="default" w:ascii="Times New Roman" w:hAnsi="Times New Roman" w:eastAsia="宋体" w:cs="Times New Roman"/>
                <w:color w:val="0000FF"/>
                <w:sz w:val="21"/>
                <w:szCs w:val="21"/>
                <w:highlight w:val="none"/>
                <w:lang w:eastAsia="zh-CN"/>
              </w:rPr>
              <w:t>）</w:t>
            </w:r>
          </w:p>
        </w:tc>
      </w:tr>
      <w:tr w14:paraId="6635D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noWrap w:val="0"/>
            <w:vAlign w:val="center"/>
          </w:tcPr>
          <w:p w14:paraId="4BB36A63">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eastAsia="宋体" w:cs="Times New Roman"/>
                <w:color w:val="0000FF"/>
                <w:sz w:val="21"/>
                <w:szCs w:val="21"/>
                <w:highlight w:val="none"/>
              </w:rPr>
              <w:t>1</w:t>
            </w:r>
          </w:p>
        </w:tc>
        <w:tc>
          <w:tcPr>
            <w:tcW w:w="1134" w:type="dxa"/>
            <w:noWrap w:val="0"/>
            <w:vAlign w:val="center"/>
          </w:tcPr>
          <w:p w14:paraId="5021A085">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eastAsia="宋体" w:cs="Times New Roman"/>
                <w:color w:val="0000FF"/>
                <w:kern w:val="2"/>
                <w:sz w:val="21"/>
                <w:szCs w:val="21"/>
                <w:highlight w:val="none"/>
                <w:lang w:val="en-US" w:eastAsia="zh-CN" w:bidi="ar-SA"/>
              </w:rPr>
              <w:t>牛舍</w:t>
            </w:r>
          </w:p>
        </w:tc>
        <w:tc>
          <w:tcPr>
            <w:tcW w:w="1134" w:type="dxa"/>
            <w:noWrap w:val="0"/>
            <w:vAlign w:val="center"/>
          </w:tcPr>
          <w:p w14:paraId="4E8F9047">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highlight w:val="none"/>
                <w:lang w:val="en-US" w:eastAsia="zh-CN" w:bidi="ar-SA"/>
              </w:rPr>
            </w:pPr>
            <w:r>
              <w:rPr>
                <w:rFonts w:hint="default" w:ascii="Times New Roman" w:hAnsi="Times New Roman" w:eastAsia="宋体" w:cs="Times New Roman"/>
                <w:bCs/>
                <w:color w:val="0000FF"/>
                <w:sz w:val="21"/>
                <w:szCs w:val="21"/>
                <w:highlight w:val="none"/>
                <w:lang w:val="en-US" w:eastAsia="zh-CN"/>
              </w:rPr>
              <w:t>35210</w:t>
            </w:r>
          </w:p>
        </w:tc>
        <w:tc>
          <w:tcPr>
            <w:tcW w:w="1134" w:type="dxa"/>
            <w:noWrap w:val="0"/>
            <w:vAlign w:val="center"/>
          </w:tcPr>
          <w:p w14:paraId="07A0BFB4">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highlight w:val="none"/>
                <w:lang w:val="en-US" w:eastAsia="zh-CN" w:bidi="ar-SA"/>
              </w:rPr>
            </w:pPr>
            <w:r>
              <w:rPr>
                <w:rFonts w:hint="default" w:ascii="Times New Roman" w:hAnsi="Times New Roman" w:eastAsia="宋体" w:cs="Times New Roman"/>
                <w:bCs/>
                <w:color w:val="0000FF"/>
                <w:kern w:val="2"/>
                <w:sz w:val="21"/>
                <w:szCs w:val="21"/>
                <w:highlight w:val="none"/>
                <w:lang w:val="en-US" w:eastAsia="zh-CN" w:bidi="ar-SA"/>
              </w:rPr>
              <w:t>28685</w:t>
            </w:r>
          </w:p>
        </w:tc>
        <w:tc>
          <w:tcPr>
            <w:tcW w:w="1134" w:type="dxa"/>
            <w:noWrap w:val="0"/>
            <w:vAlign w:val="center"/>
          </w:tcPr>
          <w:p w14:paraId="125C7F59">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highlight w:val="none"/>
                <w:lang w:val="en-US" w:eastAsia="zh-CN" w:bidi="ar-SA"/>
              </w:rPr>
            </w:pPr>
            <w:r>
              <w:rPr>
                <w:rFonts w:hint="default" w:ascii="Times New Roman" w:hAnsi="Times New Roman" w:eastAsia="宋体" w:cs="Times New Roman"/>
                <w:bCs/>
                <w:color w:val="0000FF"/>
                <w:kern w:val="2"/>
                <w:sz w:val="21"/>
                <w:szCs w:val="21"/>
                <w:highlight w:val="none"/>
                <w:lang w:val="en-US" w:eastAsia="zh-CN" w:bidi="ar-SA"/>
              </w:rPr>
              <w:t>/</w:t>
            </w:r>
          </w:p>
        </w:tc>
        <w:tc>
          <w:tcPr>
            <w:tcW w:w="1134" w:type="dxa"/>
            <w:noWrap w:val="0"/>
            <w:vAlign w:val="center"/>
          </w:tcPr>
          <w:p w14:paraId="72B19BF9">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highlight w:val="none"/>
                <w:lang w:val="en-US" w:eastAsia="zh-CN" w:bidi="ar-SA"/>
              </w:rPr>
            </w:pPr>
            <w:r>
              <w:rPr>
                <w:rFonts w:hint="default" w:ascii="Times New Roman" w:hAnsi="Times New Roman" w:eastAsia="宋体" w:cs="Times New Roman"/>
                <w:bCs/>
                <w:color w:val="0000FF"/>
                <w:kern w:val="2"/>
                <w:sz w:val="21"/>
                <w:szCs w:val="21"/>
                <w:highlight w:val="none"/>
                <w:lang w:val="en-US" w:eastAsia="zh-CN" w:bidi="ar-SA"/>
              </w:rPr>
              <w:t>6525</w:t>
            </w:r>
          </w:p>
        </w:tc>
      </w:tr>
      <w:tr w14:paraId="7CED1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noWrap w:val="0"/>
            <w:vAlign w:val="center"/>
          </w:tcPr>
          <w:p w14:paraId="62084E0A">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eastAsia="宋体" w:cs="Times New Roman"/>
                <w:color w:val="0000FF"/>
                <w:sz w:val="21"/>
                <w:szCs w:val="21"/>
                <w:highlight w:val="none"/>
              </w:rPr>
              <w:t>2</w:t>
            </w:r>
          </w:p>
        </w:tc>
        <w:tc>
          <w:tcPr>
            <w:tcW w:w="1134" w:type="dxa"/>
            <w:noWrap w:val="0"/>
            <w:vAlign w:val="center"/>
          </w:tcPr>
          <w:p w14:paraId="0532D7F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contextualSpacing/>
              <w:jc w:val="center"/>
              <w:rPr>
                <w:rFonts w:hint="default" w:ascii="Times New Roman" w:hAnsi="Times New Roman" w:eastAsia="宋体" w:cs="Times New Roman"/>
                <w:color w:val="0000FF"/>
                <w:kern w:val="0"/>
                <w:sz w:val="21"/>
                <w:szCs w:val="21"/>
                <w:highlight w:val="none"/>
                <w:lang w:val="en-US" w:eastAsia="zh-CN" w:bidi="ar-SA"/>
              </w:rPr>
            </w:pPr>
            <w:r>
              <w:rPr>
                <w:rFonts w:hint="default" w:ascii="Times New Roman" w:hAnsi="Times New Roman" w:eastAsia="宋体" w:cs="Times New Roman"/>
                <w:color w:val="0000FF"/>
                <w:kern w:val="0"/>
                <w:sz w:val="21"/>
                <w:szCs w:val="21"/>
                <w:highlight w:val="none"/>
                <w:lang w:val="en-US" w:eastAsia="zh-CN"/>
              </w:rPr>
              <w:t>青贮平台</w:t>
            </w:r>
          </w:p>
        </w:tc>
        <w:tc>
          <w:tcPr>
            <w:tcW w:w="1134" w:type="dxa"/>
            <w:noWrap w:val="0"/>
            <w:vAlign w:val="center"/>
          </w:tcPr>
          <w:p w14:paraId="5043D83E">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1365</w:t>
            </w:r>
          </w:p>
        </w:tc>
        <w:tc>
          <w:tcPr>
            <w:tcW w:w="1134" w:type="dxa"/>
            <w:noWrap w:val="0"/>
            <w:vAlign w:val="center"/>
          </w:tcPr>
          <w:p w14:paraId="534D6410">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641</w:t>
            </w:r>
          </w:p>
        </w:tc>
        <w:tc>
          <w:tcPr>
            <w:tcW w:w="1134" w:type="dxa"/>
            <w:noWrap w:val="0"/>
            <w:vAlign w:val="center"/>
          </w:tcPr>
          <w:p w14:paraId="24D64122">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highlight w:val="none"/>
                <w:lang w:val="en-US" w:eastAsia="zh-CN" w:bidi="ar-SA"/>
              </w:rPr>
            </w:pPr>
            <w:r>
              <w:rPr>
                <w:rFonts w:hint="default" w:ascii="Times New Roman" w:hAnsi="Times New Roman" w:eastAsia="宋体" w:cs="Times New Roman"/>
                <w:bCs/>
                <w:color w:val="0000FF"/>
                <w:kern w:val="2"/>
                <w:sz w:val="21"/>
                <w:szCs w:val="21"/>
                <w:highlight w:val="none"/>
                <w:lang w:val="en-US" w:eastAsia="zh-CN" w:bidi="ar-SA"/>
              </w:rPr>
              <w:t>/</w:t>
            </w:r>
          </w:p>
        </w:tc>
        <w:tc>
          <w:tcPr>
            <w:tcW w:w="1134" w:type="dxa"/>
            <w:noWrap w:val="0"/>
            <w:vAlign w:val="center"/>
          </w:tcPr>
          <w:p w14:paraId="5129AA24">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highlight w:val="none"/>
                <w:lang w:val="en-US" w:eastAsia="zh-CN" w:bidi="ar-SA"/>
              </w:rPr>
            </w:pPr>
            <w:r>
              <w:rPr>
                <w:rFonts w:hint="default" w:ascii="Times New Roman" w:hAnsi="Times New Roman" w:eastAsia="宋体" w:cs="Times New Roman"/>
                <w:bCs/>
                <w:color w:val="0000FF"/>
                <w:kern w:val="2"/>
                <w:sz w:val="21"/>
                <w:szCs w:val="21"/>
                <w:highlight w:val="none"/>
                <w:lang w:val="en-US" w:eastAsia="zh-CN" w:bidi="ar-SA"/>
              </w:rPr>
              <w:t>724</w:t>
            </w:r>
          </w:p>
        </w:tc>
      </w:tr>
      <w:tr w14:paraId="5A803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noWrap w:val="0"/>
            <w:vAlign w:val="center"/>
          </w:tcPr>
          <w:p w14:paraId="4236449D">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eastAsia="宋体" w:cs="Times New Roman"/>
                <w:color w:val="0000FF"/>
                <w:sz w:val="21"/>
                <w:szCs w:val="21"/>
                <w:highlight w:val="none"/>
              </w:rPr>
              <w:t>3</w:t>
            </w:r>
          </w:p>
        </w:tc>
        <w:tc>
          <w:tcPr>
            <w:tcW w:w="1134" w:type="dxa"/>
            <w:noWrap w:val="0"/>
            <w:vAlign w:val="center"/>
          </w:tcPr>
          <w:p w14:paraId="74ED7B5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contextualSpacing/>
              <w:jc w:val="center"/>
              <w:rPr>
                <w:rFonts w:hint="default" w:ascii="Times New Roman" w:hAnsi="Times New Roman" w:eastAsia="宋体" w:cs="Times New Roman"/>
                <w:color w:val="0000FF"/>
                <w:kern w:val="0"/>
                <w:sz w:val="21"/>
                <w:szCs w:val="21"/>
                <w:highlight w:val="none"/>
                <w:lang w:val="en-US" w:eastAsia="zh-CN" w:bidi="ar-SA"/>
              </w:rPr>
            </w:pPr>
            <w:r>
              <w:rPr>
                <w:rFonts w:hint="default" w:ascii="Times New Roman" w:hAnsi="Times New Roman" w:eastAsia="宋体" w:cs="Times New Roman"/>
                <w:color w:val="0000FF"/>
                <w:kern w:val="0"/>
                <w:sz w:val="21"/>
                <w:szCs w:val="21"/>
                <w:highlight w:val="none"/>
                <w:lang w:val="en-US" w:eastAsia="zh-CN"/>
              </w:rPr>
              <w:t>草棚</w:t>
            </w:r>
          </w:p>
        </w:tc>
        <w:tc>
          <w:tcPr>
            <w:tcW w:w="1134" w:type="dxa"/>
            <w:noWrap w:val="0"/>
            <w:vAlign w:val="center"/>
          </w:tcPr>
          <w:p w14:paraId="11E97DE1">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highlight w:val="none"/>
                <w:lang w:val="en-US" w:eastAsia="zh-CN" w:bidi="ar-SA"/>
              </w:rPr>
            </w:pPr>
            <w:r>
              <w:rPr>
                <w:rFonts w:hint="default" w:ascii="Times New Roman" w:hAnsi="Times New Roman" w:eastAsia="宋体" w:cs="Times New Roman"/>
                <w:bCs/>
                <w:color w:val="0000FF"/>
                <w:sz w:val="21"/>
                <w:szCs w:val="21"/>
                <w:highlight w:val="none"/>
                <w:lang w:val="en-US" w:eastAsia="zh-CN"/>
              </w:rPr>
              <w:t>385</w:t>
            </w:r>
          </w:p>
        </w:tc>
        <w:tc>
          <w:tcPr>
            <w:tcW w:w="1134" w:type="dxa"/>
            <w:noWrap w:val="0"/>
            <w:vAlign w:val="center"/>
          </w:tcPr>
          <w:p w14:paraId="61B5DDF2">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highlight w:val="none"/>
                <w:lang w:val="en-US" w:eastAsia="zh-CN" w:bidi="ar-SA"/>
              </w:rPr>
            </w:pPr>
            <w:r>
              <w:rPr>
                <w:rFonts w:hint="default" w:ascii="Times New Roman" w:hAnsi="Times New Roman" w:eastAsia="宋体" w:cs="Times New Roman"/>
                <w:bCs/>
                <w:color w:val="0000FF"/>
                <w:sz w:val="21"/>
                <w:szCs w:val="21"/>
                <w:highlight w:val="none"/>
                <w:lang w:val="en-US" w:eastAsia="zh-CN"/>
              </w:rPr>
              <w:t>300</w:t>
            </w:r>
          </w:p>
        </w:tc>
        <w:tc>
          <w:tcPr>
            <w:tcW w:w="1134" w:type="dxa"/>
            <w:noWrap w:val="0"/>
            <w:vAlign w:val="center"/>
          </w:tcPr>
          <w:p w14:paraId="647437B7">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highlight w:val="none"/>
                <w:lang w:val="en-US" w:eastAsia="zh-CN" w:bidi="ar-SA"/>
              </w:rPr>
            </w:pPr>
            <w:r>
              <w:rPr>
                <w:rFonts w:hint="default" w:ascii="Times New Roman" w:hAnsi="Times New Roman" w:eastAsia="宋体" w:cs="Times New Roman"/>
                <w:bCs/>
                <w:color w:val="0000FF"/>
                <w:kern w:val="2"/>
                <w:sz w:val="21"/>
                <w:szCs w:val="21"/>
                <w:highlight w:val="none"/>
                <w:lang w:val="en-US" w:eastAsia="zh-CN" w:bidi="ar-SA"/>
              </w:rPr>
              <w:t>/</w:t>
            </w:r>
          </w:p>
        </w:tc>
        <w:tc>
          <w:tcPr>
            <w:tcW w:w="1134" w:type="dxa"/>
            <w:noWrap w:val="0"/>
            <w:vAlign w:val="center"/>
          </w:tcPr>
          <w:p w14:paraId="27C0D13E">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highlight w:val="none"/>
                <w:lang w:val="en-US" w:eastAsia="zh-CN" w:bidi="ar-SA"/>
              </w:rPr>
            </w:pPr>
            <w:r>
              <w:rPr>
                <w:rFonts w:hint="default" w:ascii="Times New Roman" w:hAnsi="Times New Roman" w:eastAsia="宋体" w:cs="Times New Roman"/>
                <w:bCs/>
                <w:color w:val="0000FF"/>
                <w:kern w:val="2"/>
                <w:sz w:val="21"/>
                <w:szCs w:val="21"/>
                <w:highlight w:val="none"/>
                <w:lang w:val="en-US" w:eastAsia="zh-CN" w:bidi="ar-SA"/>
              </w:rPr>
              <w:t>85</w:t>
            </w:r>
          </w:p>
        </w:tc>
      </w:tr>
      <w:tr w14:paraId="78B1D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noWrap w:val="0"/>
            <w:vAlign w:val="center"/>
          </w:tcPr>
          <w:p w14:paraId="0CF75C36">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eastAsia="宋体" w:cs="Times New Roman"/>
                <w:color w:val="0000FF"/>
                <w:sz w:val="21"/>
                <w:szCs w:val="21"/>
                <w:highlight w:val="none"/>
              </w:rPr>
              <w:t>4</w:t>
            </w:r>
          </w:p>
        </w:tc>
        <w:tc>
          <w:tcPr>
            <w:tcW w:w="1134" w:type="dxa"/>
            <w:noWrap w:val="0"/>
            <w:vAlign w:val="center"/>
          </w:tcPr>
          <w:p w14:paraId="4C6FAC9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contextualSpacing/>
              <w:jc w:val="center"/>
              <w:rPr>
                <w:rFonts w:hint="default" w:ascii="Times New Roman" w:hAnsi="Times New Roman" w:eastAsia="宋体" w:cs="Times New Roman"/>
                <w:color w:val="0000FF"/>
                <w:kern w:val="0"/>
                <w:sz w:val="21"/>
                <w:szCs w:val="21"/>
                <w:highlight w:val="none"/>
                <w:lang w:val="en-US" w:eastAsia="zh-CN" w:bidi="ar-SA"/>
              </w:rPr>
            </w:pPr>
            <w:r>
              <w:rPr>
                <w:rFonts w:hint="default" w:ascii="Times New Roman" w:hAnsi="Times New Roman" w:eastAsia="宋体" w:cs="Times New Roman"/>
                <w:color w:val="0000FF"/>
                <w:kern w:val="0"/>
                <w:sz w:val="21"/>
                <w:szCs w:val="21"/>
                <w:highlight w:val="none"/>
                <w:lang w:val="en-US" w:eastAsia="zh-CN"/>
              </w:rPr>
              <w:t>TMR车间</w:t>
            </w:r>
          </w:p>
        </w:tc>
        <w:tc>
          <w:tcPr>
            <w:tcW w:w="1134" w:type="dxa"/>
            <w:noWrap w:val="0"/>
            <w:vAlign w:val="center"/>
          </w:tcPr>
          <w:p w14:paraId="5AAAE9BF">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highlight w:val="none"/>
                <w:lang w:val="en-US" w:eastAsia="zh-CN" w:bidi="ar-SA"/>
              </w:rPr>
            </w:pPr>
            <w:r>
              <w:rPr>
                <w:rFonts w:hint="default" w:ascii="Times New Roman" w:hAnsi="Times New Roman" w:eastAsia="宋体" w:cs="Times New Roman"/>
                <w:bCs/>
                <w:color w:val="0000FF"/>
                <w:kern w:val="2"/>
                <w:sz w:val="21"/>
                <w:szCs w:val="21"/>
                <w:highlight w:val="none"/>
                <w:lang w:val="en-US" w:eastAsia="zh-CN" w:bidi="ar-SA"/>
              </w:rPr>
              <w:t>220</w:t>
            </w:r>
          </w:p>
        </w:tc>
        <w:tc>
          <w:tcPr>
            <w:tcW w:w="1134" w:type="dxa"/>
            <w:noWrap w:val="0"/>
            <w:vAlign w:val="center"/>
          </w:tcPr>
          <w:p w14:paraId="514FB316">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highlight w:val="none"/>
                <w:lang w:val="en-US" w:eastAsia="zh-CN" w:bidi="ar-SA"/>
              </w:rPr>
            </w:pPr>
            <w:r>
              <w:rPr>
                <w:rFonts w:hint="default" w:ascii="Times New Roman" w:hAnsi="Times New Roman" w:eastAsia="宋体" w:cs="Times New Roman"/>
                <w:bCs/>
                <w:color w:val="0000FF"/>
                <w:kern w:val="2"/>
                <w:sz w:val="21"/>
                <w:szCs w:val="21"/>
                <w:highlight w:val="none"/>
                <w:lang w:val="en-US" w:eastAsia="zh-CN" w:bidi="ar-SA"/>
              </w:rPr>
              <w:t>160</w:t>
            </w:r>
          </w:p>
        </w:tc>
        <w:tc>
          <w:tcPr>
            <w:tcW w:w="1134" w:type="dxa"/>
            <w:noWrap w:val="0"/>
            <w:vAlign w:val="center"/>
          </w:tcPr>
          <w:p w14:paraId="69B717EE">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highlight w:val="none"/>
                <w:lang w:val="en-US" w:eastAsia="zh-CN" w:bidi="ar-SA"/>
              </w:rPr>
            </w:pPr>
            <w:r>
              <w:rPr>
                <w:rFonts w:hint="default" w:ascii="Times New Roman" w:hAnsi="Times New Roman" w:eastAsia="宋体" w:cs="Times New Roman"/>
                <w:bCs/>
                <w:color w:val="0000FF"/>
                <w:kern w:val="2"/>
                <w:sz w:val="21"/>
                <w:szCs w:val="21"/>
                <w:highlight w:val="none"/>
                <w:lang w:val="en-US" w:eastAsia="zh-CN" w:bidi="ar-SA"/>
              </w:rPr>
              <w:t>/</w:t>
            </w:r>
          </w:p>
        </w:tc>
        <w:tc>
          <w:tcPr>
            <w:tcW w:w="1134" w:type="dxa"/>
            <w:noWrap w:val="0"/>
            <w:vAlign w:val="center"/>
          </w:tcPr>
          <w:p w14:paraId="1D58F7E6">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highlight w:val="none"/>
                <w:lang w:val="en-US" w:eastAsia="zh-CN" w:bidi="ar-SA"/>
              </w:rPr>
            </w:pPr>
            <w:r>
              <w:rPr>
                <w:rFonts w:hint="default" w:ascii="Times New Roman" w:hAnsi="Times New Roman" w:eastAsia="宋体" w:cs="Times New Roman"/>
                <w:bCs/>
                <w:color w:val="0000FF"/>
                <w:kern w:val="2"/>
                <w:sz w:val="21"/>
                <w:szCs w:val="21"/>
                <w:highlight w:val="none"/>
                <w:lang w:val="en-US" w:eastAsia="zh-CN" w:bidi="ar-SA"/>
              </w:rPr>
              <w:t>60</w:t>
            </w:r>
          </w:p>
        </w:tc>
      </w:tr>
      <w:tr w14:paraId="0C9DC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noWrap w:val="0"/>
            <w:vAlign w:val="center"/>
          </w:tcPr>
          <w:p w14:paraId="37A01488">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eastAsia="宋体" w:cs="Times New Roman"/>
                <w:color w:val="0000FF"/>
                <w:kern w:val="2"/>
                <w:sz w:val="21"/>
                <w:szCs w:val="21"/>
                <w:highlight w:val="none"/>
                <w:lang w:val="en-US" w:eastAsia="zh-CN" w:bidi="ar-SA"/>
              </w:rPr>
              <w:t>5</w:t>
            </w:r>
          </w:p>
        </w:tc>
        <w:tc>
          <w:tcPr>
            <w:tcW w:w="1134" w:type="dxa"/>
            <w:noWrap w:val="0"/>
            <w:vAlign w:val="center"/>
          </w:tcPr>
          <w:p w14:paraId="4F9BE0C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contextualSpacing/>
              <w:jc w:val="center"/>
              <w:rPr>
                <w:rFonts w:hint="default" w:ascii="Times New Roman" w:hAnsi="Times New Roman" w:eastAsia="宋体" w:cs="Times New Roman"/>
                <w:color w:val="0000FF"/>
                <w:kern w:val="0"/>
                <w:sz w:val="21"/>
                <w:szCs w:val="21"/>
                <w:highlight w:val="none"/>
                <w:lang w:val="en-US" w:eastAsia="zh-CN" w:bidi="ar-SA"/>
              </w:rPr>
            </w:pPr>
            <w:r>
              <w:rPr>
                <w:rFonts w:hint="default" w:ascii="Times New Roman" w:hAnsi="Times New Roman" w:eastAsia="宋体" w:cs="Times New Roman"/>
                <w:color w:val="0000FF"/>
                <w:kern w:val="0"/>
                <w:sz w:val="21"/>
                <w:szCs w:val="21"/>
                <w:highlight w:val="none"/>
                <w:lang w:val="en-US" w:eastAsia="zh-CN"/>
              </w:rPr>
              <w:t>粪污处理池</w:t>
            </w:r>
          </w:p>
        </w:tc>
        <w:tc>
          <w:tcPr>
            <w:tcW w:w="1134" w:type="dxa"/>
            <w:noWrap w:val="0"/>
            <w:vAlign w:val="center"/>
          </w:tcPr>
          <w:p w14:paraId="49449452">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highlight w:val="none"/>
                <w:lang w:val="en-US" w:eastAsia="zh-CN" w:bidi="ar-SA"/>
              </w:rPr>
            </w:pPr>
            <w:r>
              <w:rPr>
                <w:rFonts w:hint="default" w:ascii="Times New Roman" w:hAnsi="Times New Roman" w:eastAsia="宋体" w:cs="Times New Roman"/>
                <w:bCs/>
                <w:color w:val="0000FF"/>
                <w:kern w:val="2"/>
                <w:sz w:val="21"/>
                <w:szCs w:val="21"/>
                <w:highlight w:val="none"/>
                <w:lang w:val="en-US" w:eastAsia="zh-CN" w:bidi="ar-SA"/>
              </w:rPr>
              <w:t>810</w:t>
            </w:r>
          </w:p>
        </w:tc>
        <w:tc>
          <w:tcPr>
            <w:tcW w:w="1134" w:type="dxa"/>
            <w:noWrap w:val="0"/>
            <w:vAlign w:val="center"/>
          </w:tcPr>
          <w:p w14:paraId="746A65E8">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highlight w:val="none"/>
                <w:lang w:val="en-US" w:eastAsia="zh-CN" w:bidi="ar-SA"/>
              </w:rPr>
            </w:pPr>
            <w:r>
              <w:rPr>
                <w:rFonts w:hint="default" w:ascii="Times New Roman" w:hAnsi="Times New Roman" w:eastAsia="宋体" w:cs="Times New Roman"/>
                <w:bCs/>
                <w:color w:val="0000FF"/>
                <w:kern w:val="2"/>
                <w:sz w:val="21"/>
                <w:szCs w:val="21"/>
                <w:highlight w:val="none"/>
                <w:lang w:val="en-US" w:eastAsia="zh-CN" w:bidi="ar-SA"/>
              </w:rPr>
              <w:t>650</w:t>
            </w:r>
          </w:p>
        </w:tc>
        <w:tc>
          <w:tcPr>
            <w:tcW w:w="1134" w:type="dxa"/>
            <w:noWrap w:val="0"/>
            <w:vAlign w:val="center"/>
          </w:tcPr>
          <w:p w14:paraId="7F3F3096">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highlight w:val="none"/>
                <w:lang w:val="en-US" w:eastAsia="zh-CN" w:bidi="ar-SA"/>
              </w:rPr>
            </w:pPr>
            <w:r>
              <w:rPr>
                <w:rFonts w:hint="default" w:ascii="Times New Roman" w:hAnsi="Times New Roman" w:eastAsia="宋体" w:cs="Times New Roman"/>
                <w:bCs/>
                <w:color w:val="0000FF"/>
                <w:kern w:val="2"/>
                <w:sz w:val="21"/>
                <w:szCs w:val="21"/>
                <w:highlight w:val="none"/>
                <w:lang w:val="en-US" w:eastAsia="zh-CN" w:bidi="ar-SA"/>
              </w:rPr>
              <w:t>/</w:t>
            </w:r>
          </w:p>
        </w:tc>
        <w:tc>
          <w:tcPr>
            <w:tcW w:w="1134" w:type="dxa"/>
            <w:noWrap w:val="0"/>
            <w:vAlign w:val="center"/>
          </w:tcPr>
          <w:p w14:paraId="0BF96DB7">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highlight w:val="none"/>
                <w:lang w:val="en-US" w:eastAsia="zh-CN" w:bidi="ar-SA"/>
              </w:rPr>
            </w:pPr>
            <w:r>
              <w:rPr>
                <w:rFonts w:hint="default" w:ascii="Times New Roman" w:hAnsi="Times New Roman" w:eastAsia="宋体" w:cs="Times New Roman"/>
                <w:bCs/>
                <w:color w:val="0000FF"/>
                <w:kern w:val="2"/>
                <w:sz w:val="21"/>
                <w:szCs w:val="21"/>
                <w:highlight w:val="none"/>
                <w:lang w:val="en-US" w:eastAsia="zh-CN" w:bidi="ar-SA"/>
              </w:rPr>
              <w:t>160</w:t>
            </w:r>
          </w:p>
        </w:tc>
      </w:tr>
      <w:tr w14:paraId="33C3B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noWrap w:val="0"/>
            <w:vAlign w:val="center"/>
          </w:tcPr>
          <w:p w14:paraId="113A91D4">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eastAsia="宋体" w:cs="Times New Roman"/>
                <w:color w:val="0000FF"/>
                <w:sz w:val="21"/>
                <w:szCs w:val="21"/>
                <w:highlight w:val="none"/>
              </w:rPr>
              <w:t>6</w:t>
            </w:r>
          </w:p>
        </w:tc>
        <w:tc>
          <w:tcPr>
            <w:tcW w:w="1134" w:type="dxa"/>
            <w:noWrap w:val="0"/>
            <w:vAlign w:val="center"/>
          </w:tcPr>
          <w:p w14:paraId="3FBBA6AD">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eastAsia="宋体" w:cs="Times New Roman"/>
                <w:color w:val="0000FF"/>
                <w:sz w:val="21"/>
                <w:szCs w:val="21"/>
                <w:highlight w:val="none"/>
                <w:lang w:val="en-US" w:eastAsia="zh-CN"/>
              </w:rPr>
              <w:t>场区</w:t>
            </w:r>
            <w:r>
              <w:rPr>
                <w:rFonts w:hint="default" w:ascii="Times New Roman" w:hAnsi="Times New Roman" w:eastAsia="宋体" w:cs="Times New Roman"/>
                <w:color w:val="0000FF"/>
                <w:sz w:val="21"/>
                <w:szCs w:val="21"/>
                <w:highlight w:val="none"/>
              </w:rPr>
              <w:t>道路</w:t>
            </w:r>
          </w:p>
        </w:tc>
        <w:tc>
          <w:tcPr>
            <w:tcW w:w="1134" w:type="dxa"/>
            <w:noWrap w:val="0"/>
            <w:vAlign w:val="center"/>
          </w:tcPr>
          <w:p w14:paraId="2DC7F5E3">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highlight w:val="none"/>
                <w:lang w:val="en-US" w:eastAsia="zh-CN" w:bidi="ar-SA"/>
              </w:rPr>
            </w:pPr>
            <w:r>
              <w:rPr>
                <w:rFonts w:hint="default" w:ascii="Times New Roman" w:hAnsi="Times New Roman" w:eastAsia="宋体" w:cs="Times New Roman"/>
                <w:bCs/>
                <w:color w:val="0000FF"/>
                <w:kern w:val="2"/>
                <w:sz w:val="21"/>
                <w:szCs w:val="21"/>
                <w:highlight w:val="none"/>
                <w:lang w:val="en-US" w:eastAsia="zh-CN" w:bidi="ar-SA"/>
              </w:rPr>
              <w:t>365</w:t>
            </w:r>
          </w:p>
        </w:tc>
        <w:tc>
          <w:tcPr>
            <w:tcW w:w="1134" w:type="dxa"/>
            <w:noWrap w:val="0"/>
            <w:vAlign w:val="center"/>
          </w:tcPr>
          <w:p w14:paraId="6E2DE95F">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highlight w:val="none"/>
                <w:lang w:val="en-US" w:eastAsia="zh-CN" w:bidi="ar-SA"/>
              </w:rPr>
            </w:pPr>
            <w:r>
              <w:rPr>
                <w:rFonts w:hint="default" w:ascii="Times New Roman" w:hAnsi="Times New Roman" w:eastAsia="宋体" w:cs="Times New Roman"/>
                <w:bCs/>
                <w:color w:val="0000FF"/>
                <w:kern w:val="2"/>
                <w:sz w:val="21"/>
                <w:szCs w:val="21"/>
                <w:highlight w:val="none"/>
                <w:lang w:val="en-US" w:eastAsia="zh-CN" w:bidi="ar-SA"/>
              </w:rPr>
              <w:t>7919</w:t>
            </w:r>
          </w:p>
        </w:tc>
        <w:tc>
          <w:tcPr>
            <w:tcW w:w="1134" w:type="dxa"/>
            <w:noWrap w:val="0"/>
            <w:vAlign w:val="center"/>
          </w:tcPr>
          <w:p w14:paraId="46FAD0A5">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highlight w:val="none"/>
                <w:lang w:val="en-US" w:eastAsia="zh-CN" w:bidi="ar-SA"/>
              </w:rPr>
            </w:pPr>
            <w:r>
              <w:rPr>
                <w:rFonts w:hint="default" w:ascii="Times New Roman" w:hAnsi="Times New Roman" w:eastAsia="宋体" w:cs="Times New Roman"/>
                <w:bCs/>
                <w:color w:val="0000FF"/>
                <w:kern w:val="2"/>
                <w:sz w:val="21"/>
                <w:szCs w:val="21"/>
                <w:highlight w:val="none"/>
                <w:lang w:val="en-US" w:eastAsia="zh-CN" w:bidi="ar-SA"/>
              </w:rPr>
              <w:t>7554</w:t>
            </w:r>
          </w:p>
        </w:tc>
        <w:tc>
          <w:tcPr>
            <w:tcW w:w="1134" w:type="dxa"/>
            <w:noWrap w:val="0"/>
            <w:vAlign w:val="center"/>
          </w:tcPr>
          <w:p w14:paraId="4E4F50AF">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highlight w:val="none"/>
                <w:lang w:val="en-US" w:eastAsia="zh-CN" w:bidi="ar-SA"/>
              </w:rPr>
            </w:pPr>
            <w:r>
              <w:rPr>
                <w:rFonts w:hint="default" w:ascii="Times New Roman" w:hAnsi="Times New Roman" w:eastAsia="宋体" w:cs="Times New Roman"/>
                <w:bCs/>
                <w:color w:val="0000FF"/>
                <w:kern w:val="2"/>
                <w:sz w:val="21"/>
                <w:szCs w:val="21"/>
                <w:highlight w:val="none"/>
                <w:lang w:val="en-US" w:eastAsia="zh-CN" w:bidi="ar-SA"/>
              </w:rPr>
              <w:t>/</w:t>
            </w:r>
          </w:p>
        </w:tc>
      </w:tr>
      <w:tr w14:paraId="331B8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noWrap w:val="0"/>
            <w:vAlign w:val="center"/>
          </w:tcPr>
          <w:p w14:paraId="1A9ECAC0">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p>
        </w:tc>
        <w:tc>
          <w:tcPr>
            <w:tcW w:w="1134" w:type="dxa"/>
            <w:noWrap w:val="0"/>
            <w:vAlign w:val="center"/>
          </w:tcPr>
          <w:p w14:paraId="08A0D4EA">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总计</w:t>
            </w:r>
          </w:p>
        </w:tc>
        <w:tc>
          <w:tcPr>
            <w:tcW w:w="1134" w:type="dxa"/>
            <w:noWrap w:val="0"/>
            <w:vAlign w:val="center"/>
          </w:tcPr>
          <w:p w14:paraId="607F64D2">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sz w:val="21"/>
                <w:szCs w:val="21"/>
                <w:highlight w:val="none"/>
                <w:lang w:val="en-US" w:eastAsia="zh-CN"/>
              </w:rPr>
            </w:pPr>
            <w:r>
              <w:rPr>
                <w:rFonts w:hint="default" w:ascii="Times New Roman" w:hAnsi="Times New Roman" w:eastAsia="宋体" w:cs="Times New Roman"/>
                <w:bCs/>
                <w:color w:val="0000FF"/>
                <w:sz w:val="21"/>
                <w:szCs w:val="21"/>
                <w:highlight w:val="none"/>
                <w:lang w:val="en-US" w:eastAsia="zh-CN"/>
              </w:rPr>
              <w:t>38355</w:t>
            </w:r>
          </w:p>
        </w:tc>
        <w:tc>
          <w:tcPr>
            <w:tcW w:w="1134" w:type="dxa"/>
            <w:noWrap w:val="0"/>
            <w:vAlign w:val="center"/>
          </w:tcPr>
          <w:p w14:paraId="508D742E">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sz w:val="21"/>
                <w:szCs w:val="21"/>
                <w:highlight w:val="none"/>
              </w:rPr>
            </w:pPr>
            <w:r>
              <w:rPr>
                <w:rFonts w:hint="default" w:ascii="Times New Roman" w:hAnsi="Times New Roman" w:eastAsia="宋体" w:cs="Times New Roman"/>
                <w:bCs/>
                <w:color w:val="0000FF"/>
                <w:sz w:val="21"/>
                <w:szCs w:val="21"/>
                <w:highlight w:val="none"/>
                <w:lang w:val="en-US" w:eastAsia="zh-CN"/>
              </w:rPr>
              <w:t>38355</w:t>
            </w:r>
          </w:p>
        </w:tc>
        <w:tc>
          <w:tcPr>
            <w:tcW w:w="1134" w:type="dxa"/>
            <w:noWrap w:val="0"/>
            <w:vAlign w:val="center"/>
          </w:tcPr>
          <w:p w14:paraId="78FCA144">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sz w:val="21"/>
                <w:szCs w:val="21"/>
                <w:highlight w:val="none"/>
                <w:lang w:val="en-US" w:eastAsia="zh-CN"/>
              </w:rPr>
            </w:pPr>
            <w:r>
              <w:rPr>
                <w:rFonts w:hint="default" w:ascii="Times New Roman" w:hAnsi="Times New Roman" w:eastAsia="宋体" w:cs="Times New Roman"/>
                <w:bCs/>
                <w:color w:val="0000FF"/>
                <w:sz w:val="21"/>
                <w:szCs w:val="21"/>
                <w:highlight w:val="none"/>
                <w:lang w:val="en-US" w:eastAsia="zh-CN"/>
              </w:rPr>
              <w:t>/</w:t>
            </w:r>
          </w:p>
        </w:tc>
        <w:tc>
          <w:tcPr>
            <w:tcW w:w="1134" w:type="dxa"/>
            <w:noWrap w:val="0"/>
            <w:vAlign w:val="center"/>
          </w:tcPr>
          <w:p w14:paraId="1CB07EE2">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0000FF"/>
                <w:sz w:val="21"/>
                <w:szCs w:val="21"/>
                <w:highlight w:val="none"/>
                <w:lang w:val="en-US" w:eastAsia="zh-CN"/>
              </w:rPr>
            </w:pPr>
            <w:r>
              <w:rPr>
                <w:rFonts w:hint="default" w:ascii="Times New Roman" w:hAnsi="Times New Roman" w:eastAsia="宋体" w:cs="Times New Roman"/>
                <w:bCs/>
                <w:color w:val="0000FF"/>
                <w:sz w:val="21"/>
                <w:szCs w:val="21"/>
                <w:highlight w:val="none"/>
                <w:lang w:val="en-US" w:eastAsia="zh-CN"/>
              </w:rPr>
              <w:t>/</w:t>
            </w:r>
          </w:p>
        </w:tc>
      </w:tr>
    </w:tbl>
    <w:p w14:paraId="139F4697">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0000FF"/>
          <w:sz w:val="24"/>
          <w:szCs w:val="24"/>
          <w:highlight w:val="none"/>
          <w:lang w:eastAsia="zh-CN"/>
        </w:rPr>
      </w:pPr>
      <w:r>
        <w:rPr>
          <w:rFonts w:hint="default" w:ascii="Times New Roman" w:hAnsi="Times New Roman" w:eastAsia="宋体" w:cs="Times New Roman"/>
          <w:color w:val="0000FF"/>
          <w:sz w:val="24"/>
          <w:szCs w:val="24"/>
          <w:highlight w:val="none"/>
        </w:rPr>
        <w:t>根据表5.1-6得知，本项目施工期</w:t>
      </w:r>
      <w:r>
        <w:rPr>
          <w:rFonts w:hint="default" w:ascii="Times New Roman" w:hAnsi="Times New Roman" w:eastAsia="宋体" w:cs="Times New Roman"/>
          <w:color w:val="0000FF"/>
          <w:sz w:val="24"/>
          <w:szCs w:val="24"/>
          <w:highlight w:val="none"/>
          <w:lang w:eastAsia="zh-CN"/>
        </w:rPr>
        <w:t>土石挖方</w:t>
      </w:r>
      <w:r>
        <w:rPr>
          <w:rFonts w:hint="default" w:ascii="Times New Roman" w:hAnsi="Times New Roman" w:eastAsia="宋体" w:cs="Times New Roman"/>
          <w:color w:val="0000FF"/>
          <w:sz w:val="24"/>
          <w:szCs w:val="24"/>
          <w:highlight w:val="none"/>
          <w:lang w:val="en-US" w:eastAsia="zh-CN"/>
        </w:rPr>
        <w:t>38355</w:t>
      </w:r>
      <w:r>
        <w:rPr>
          <w:rFonts w:hint="default" w:ascii="Times New Roman" w:hAnsi="Times New Roman" w:eastAsia="宋体" w:cs="Times New Roman"/>
          <w:color w:val="0000FF"/>
          <w:sz w:val="24"/>
          <w:szCs w:val="24"/>
          <w:highlight w:val="none"/>
        </w:rPr>
        <w:t>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lang w:eastAsia="zh-CN"/>
        </w:rPr>
        <w:t>，填方</w:t>
      </w:r>
      <w:r>
        <w:rPr>
          <w:rFonts w:hint="default" w:ascii="Times New Roman" w:hAnsi="Times New Roman" w:eastAsia="宋体" w:cs="Times New Roman"/>
          <w:color w:val="0000FF"/>
          <w:sz w:val="24"/>
          <w:szCs w:val="24"/>
          <w:highlight w:val="none"/>
          <w:lang w:val="en-US" w:eastAsia="zh-CN"/>
        </w:rPr>
        <w:t>38355</w:t>
      </w:r>
      <w:r>
        <w:rPr>
          <w:rFonts w:hint="default" w:ascii="Times New Roman" w:hAnsi="Times New Roman" w:eastAsia="宋体" w:cs="Times New Roman"/>
          <w:color w:val="0000FF"/>
          <w:sz w:val="24"/>
          <w:szCs w:val="24"/>
          <w:highlight w:val="none"/>
        </w:rPr>
        <w:t>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lang w:eastAsia="zh-CN"/>
        </w:rPr>
        <w:t>，无</w:t>
      </w:r>
      <w:r>
        <w:rPr>
          <w:rFonts w:hint="default" w:ascii="Times New Roman" w:hAnsi="Times New Roman" w:eastAsia="宋体" w:cs="Times New Roman"/>
          <w:color w:val="0000FF"/>
          <w:sz w:val="24"/>
          <w:szCs w:val="24"/>
          <w:highlight w:val="none"/>
        </w:rPr>
        <w:t>弃方。</w:t>
      </w:r>
    </w:p>
    <w:p w14:paraId="0A650B1A">
      <w:pPr>
        <w:pStyle w:val="6"/>
        <w:pageBreakBefore w:val="0"/>
        <w:widowControl w:val="0"/>
        <w:kinsoku/>
        <w:wordWrap/>
        <w:overflowPunct/>
        <w:autoSpaceDE w:val="0"/>
        <w:bidi w:val="0"/>
        <w:adjustRightInd/>
        <w:snapToGrid w:val="0"/>
        <w:spacing w:before="0" w:after="0" w:line="360" w:lineRule="auto"/>
        <w:ind w:left="0" w:leftChars="0" w:right="0" w:rightChars="0"/>
        <w:textAlignment w:val="auto"/>
        <w:outlineLvl w:val="2"/>
        <w:rPr>
          <w:rFonts w:hint="default" w:ascii="Times New Roman" w:hAnsi="Times New Roman" w:eastAsia="宋体" w:cs="Times New Roman"/>
          <w:color w:val="auto"/>
          <w:highlight w:val="none"/>
        </w:rPr>
      </w:pPr>
      <w:bookmarkStart w:id="395" w:name="_Toc3620"/>
      <w:bookmarkStart w:id="396" w:name="_Toc16998"/>
      <w:r>
        <w:rPr>
          <w:rFonts w:hint="default" w:ascii="Times New Roman" w:hAnsi="Times New Roman" w:eastAsia="宋体" w:cs="Times New Roman"/>
          <w:color w:val="auto"/>
          <w:highlight w:val="none"/>
        </w:rPr>
        <w:t>5.1.5.4对陆生动物的影响</w:t>
      </w:r>
      <w:bookmarkEnd w:id="395"/>
      <w:bookmarkEnd w:id="396"/>
    </w:p>
    <w:p w14:paraId="62326922">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期间，对两栖动物和爬行动物的活动有一定的影响，但它们会迁移到非施工区，但对其生存不会造成威胁。施工期间，临时征地区域的鸟类和兽类将被迫离开原来的领域，邻近领域的鸟类和兽类，由于受到施工噪声的惊吓，也将远离原来的栖息地，当临时占地的植被恢复后，它们仍可回到原来的领域。</w:t>
      </w:r>
    </w:p>
    <w:p w14:paraId="0D11A0ED">
      <w:pPr>
        <w:pageBreakBefore w:val="0"/>
        <w:widowControl w:val="0"/>
        <w:kinsoku/>
        <w:wordWrap/>
        <w:overflowPunct/>
        <w:autoSpaceDE w:val="0"/>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本项目施工范围大多选择在永久占地范围内，在周围区域是同一个植被类型，因此，在永久占地</w:t>
      </w:r>
      <w:r>
        <w:rPr>
          <w:rFonts w:hint="default" w:ascii="Times New Roman" w:hAnsi="Times New Roman" w:eastAsia="宋体" w:cs="Times New Roman"/>
          <w:color w:val="auto"/>
          <w:highlight w:val="none"/>
          <w:lang w:eastAsia="zh-CN"/>
        </w:rPr>
        <w:t>范围</w:t>
      </w:r>
      <w:r>
        <w:rPr>
          <w:rFonts w:hint="default" w:ascii="Times New Roman" w:hAnsi="Times New Roman" w:eastAsia="宋体" w:cs="Times New Roman"/>
          <w:color w:val="auto"/>
          <w:highlight w:val="none"/>
        </w:rPr>
        <w:t>上有许多动物的替代生境，动物比较容易找到新的栖息场所。由于项目施工范围小，工程建设对野生动物影响的范围不大且影响时间较短，因此对动物不会造成大的影响。同时可随植被的恢复而缓解、消失。拟建管线经过的区域，当植被恢复后，它们仍可回到原来的领域。</w:t>
      </w:r>
    </w:p>
    <w:p w14:paraId="36BB09E2">
      <w:pPr>
        <w:pStyle w:val="6"/>
        <w:pageBreakBefore w:val="0"/>
        <w:widowControl w:val="0"/>
        <w:kinsoku/>
        <w:wordWrap/>
        <w:overflowPunct/>
        <w:autoSpaceDE w:val="0"/>
        <w:bidi w:val="0"/>
        <w:adjustRightInd/>
        <w:snapToGrid w:val="0"/>
        <w:spacing w:before="0" w:after="0" w:line="360" w:lineRule="auto"/>
        <w:ind w:left="0" w:leftChars="0" w:right="0" w:rightChars="0"/>
        <w:textAlignment w:val="auto"/>
        <w:outlineLvl w:val="2"/>
        <w:rPr>
          <w:rFonts w:hint="default" w:ascii="Times New Roman" w:hAnsi="Times New Roman" w:eastAsia="宋体" w:cs="Times New Roman"/>
          <w:color w:val="auto"/>
          <w:highlight w:val="none"/>
        </w:rPr>
      </w:pPr>
      <w:bookmarkStart w:id="397" w:name="_Toc4982"/>
      <w:bookmarkStart w:id="398" w:name="_Toc31951"/>
      <w:r>
        <w:rPr>
          <w:rFonts w:hint="default" w:ascii="Times New Roman" w:hAnsi="Times New Roman" w:eastAsia="宋体" w:cs="Times New Roman"/>
          <w:color w:val="auto"/>
          <w:highlight w:val="none"/>
        </w:rPr>
        <w:t>5.1.5.5景观影响</w:t>
      </w:r>
      <w:bookmarkEnd w:id="397"/>
      <w:bookmarkEnd w:id="398"/>
    </w:p>
    <w:p w14:paraId="68B60506">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w:t>
      </w:r>
      <w:r>
        <w:rPr>
          <w:rFonts w:hint="default" w:ascii="Times New Roman" w:hAnsi="Times New Roman" w:eastAsia="宋体" w:cs="Times New Roman"/>
          <w:color w:val="auto"/>
          <w:highlight w:val="none"/>
          <w:lang w:eastAsia="zh-CN"/>
        </w:rPr>
        <w:t>过程中将</w:t>
      </w:r>
      <w:r>
        <w:rPr>
          <w:rFonts w:hint="default" w:ascii="Times New Roman" w:hAnsi="Times New Roman" w:eastAsia="宋体" w:cs="Times New Roman"/>
          <w:color w:val="auto"/>
          <w:highlight w:val="none"/>
        </w:rPr>
        <w:t>会存在裸露地表，造成原有自然地形破坏、杂乱，造成裸露山坡和凌乱的土堆；施工中尚未竣工部分和工地内运转的建筑机械、无序堆放的建筑材料和建筑垃圾，也将造成杂乱现象，有些还会持续到运营初期；项目在施工期内将增加周围地区的扬尘量，给人空气污浊的感觉，也会严重影响美感。环评要求建设单位尽量规范建筑施工材料的堆放，避开植被密集区，保护好现有环境。</w:t>
      </w:r>
    </w:p>
    <w:p w14:paraId="26D04233">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结束后，永久占用土地的植被破坏是不可逆的，使其原自然生态系统的所有功能完全损失，但本项目所在地为低覆盖度的草本植物，因此在施工期导致的生物量损失较少，同时在本项目建成后场区内还要进行绿化，可使生物量有所补偿。而周边受施工</w:t>
      </w:r>
      <w:r>
        <w:rPr>
          <w:rFonts w:hint="default" w:ascii="Times New Roman" w:hAnsi="Times New Roman" w:eastAsia="宋体" w:cs="Times New Roman"/>
          <w:color w:val="auto"/>
          <w:highlight w:val="none"/>
          <w:lang w:eastAsia="zh-CN"/>
        </w:rPr>
        <w:t>影响区</w:t>
      </w:r>
      <w:r>
        <w:rPr>
          <w:rFonts w:hint="default" w:ascii="Times New Roman" w:hAnsi="Times New Roman" w:eastAsia="宋体" w:cs="Times New Roman"/>
          <w:color w:val="auto"/>
          <w:highlight w:val="none"/>
        </w:rPr>
        <w:t>的植被在自然状态下，2～3年可以恢复，因此本项目在施工期对生态环境的影响是不大的。另外，从植物种类来看，施工破坏和影响的植物中没有国家重点保护珍稀植物，都是广布种和常见种，且分布也均匀，因此，工程施工不会引起某一植物种的消失。</w:t>
      </w:r>
    </w:p>
    <w:p w14:paraId="2C7A9CC1">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总体而言，项目建设对其所在</w:t>
      </w:r>
      <w:r>
        <w:rPr>
          <w:rFonts w:hint="default" w:ascii="Times New Roman" w:hAnsi="Times New Roman" w:eastAsia="宋体" w:cs="Times New Roman"/>
          <w:color w:val="auto"/>
          <w:highlight w:val="none"/>
          <w:lang w:eastAsia="zh-CN"/>
        </w:rPr>
        <w:t>地</w:t>
      </w:r>
      <w:r>
        <w:rPr>
          <w:rFonts w:hint="default" w:ascii="Times New Roman" w:hAnsi="Times New Roman" w:eastAsia="宋体" w:cs="Times New Roman"/>
          <w:color w:val="auto"/>
          <w:highlight w:val="none"/>
        </w:rPr>
        <w:t>区域生物多样性的影响甚微，本项目对生态环境影响是可以接受的。</w:t>
      </w:r>
    </w:p>
    <w:p w14:paraId="7EFA66B5">
      <w:pPr>
        <w:pStyle w:val="3"/>
        <w:pageBreakBefore w:val="0"/>
        <w:widowControl w:val="0"/>
        <w:kinsoku/>
        <w:wordWrap/>
        <w:overflowPunct/>
        <w:autoSpaceDE w:val="0"/>
        <w:bidi w:val="0"/>
        <w:adjustRightInd/>
        <w:snapToGrid w:val="0"/>
        <w:spacing w:before="0" w:after="0" w:line="360" w:lineRule="auto"/>
        <w:ind w:left="0" w:leftChars="0" w:right="0" w:rightChars="0"/>
        <w:textAlignment w:val="auto"/>
        <w:outlineLvl w:val="0"/>
        <w:rPr>
          <w:rFonts w:hint="default" w:ascii="Times New Roman" w:hAnsi="Times New Roman" w:eastAsia="宋体" w:cs="Times New Roman"/>
          <w:color w:val="auto"/>
          <w:highlight w:val="none"/>
        </w:rPr>
      </w:pPr>
      <w:bookmarkStart w:id="399" w:name="_Toc24214"/>
      <w:r>
        <w:rPr>
          <w:rFonts w:hint="default" w:ascii="Times New Roman" w:hAnsi="Times New Roman" w:eastAsia="宋体" w:cs="Times New Roman"/>
          <w:color w:val="auto"/>
          <w:highlight w:val="none"/>
        </w:rPr>
        <w:t>5.2运营期大气环境影响分析</w:t>
      </w:r>
      <w:bookmarkEnd w:id="399"/>
    </w:p>
    <w:p w14:paraId="50CFEC8B">
      <w:pPr>
        <w:pStyle w:val="5"/>
        <w:pageBreakBefore w:val="0"/>
        <w:widowControl w:val="0"/>
        <w:kinsoku/>
        <w:wordWrap/>
        <w:overflowPunct/>
        <w:autoSpaceDE w:val="0"/>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FF0000"/>
          <w:highlight w:val="none"/>
        </w:rPr>
      </w:pPr>
      <w:bookmarkStart w:id="400" w:name="_Toc46421131"/>
      <w:bookmarkStart w:id="401" w:name="_Toc11098"/>
      <w:r>
        <w:rPr>
          <w:rFonts w:hint="default" w:ascii="Times New Roman" w:hAnsi="Times New Roman" w:eastAsia="宋体" w:cs="Times New Roman"/>
          <w:color w:val="FF0000"/>
          <w:highlight w:val="none"/>
        </w:rPr>
        <w:t>5.2.1区域气象资料</w:t>
      </w:r>
      <w:bookmarkEnd w:id="400"/>
      <w:bookmarkEnd w:id="401"/>
    </w:p>
    <w:p w14:paraId="728158D8">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outlineLvl w:val="2"/>
        <w:rPr>
          <w:rFonts w:hint="default" w:ascii="Times New Roman" w:hAnsi="Times New Roman" w:eastAsia="宋体" w:cs="Times New Roman"/>
          <w:color w:val="FF0000"/>
          <w:highlight w:val="none"/>
          <w:lang w:val="en-US" w:eastAsia="zh-CN"/>
        </w:rPr>
      </w:pPr>
      <w:bookmarkStart w:id="402" w:name="_Toc15478"/>
      <w:bookmarkStart w:id="403" w:name="_Toc8938"/>
      <w:r>
        <w:rPr>
          <w:rFonts w:hint="default" w:ascii="Times New Roman" w:hAnsi="Times New Roman" w:eastAsia="宋体" w:cs="Times New Roman"/>
          <w:color w:val="FF0000"/>
          <w:highlight w:val="none"/>
          <w:lang w:val="zh-CN"/>
        </w:rPr>
        <w:t>（1）</w:t>
      </w:r>
      <w:r>
        <w:rPr>
          <w:rFonts w:hint="default" w:ascii="Times New Roman" w:hAnsi="Times New Roman" w:eastAsia="宋体" w:cs="Times New Roman"/>
          <w:color w:val="FF0000"/>
          <w:highlight w:val="none"/>
          <w:lang w:val="en-US" w:eastAsia="zh-CN"/>
        </w:rPr>
        <w:t>站点基本信息</w:t>
      </w:r>
      <w:bookmarkEnd w:id="402"/>
      <w:bookmarkEnd w:id="403"/>
    </w:p>
    <w:p w14:paraId="5CEC5970">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rPr>
        <w:t>地面数据站点基本信息如下表。</w:t>
      </w:r>
    </w:p>
    <w:p w14:paraId="5E53C77B">
      <w:pPr>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FF0000"/>
          <w:sz w:val="24"/>
          <w:szCs w:val="24"/>
          <w:highlight w:val="none"/>
        </w:rPr>
      </w:pPr>
      <w:r>
        <w:rPr>
          <w:rFonts w:hint="default" w:ascii="Times New Roman" w:hAnsi="Times New Roman" w:eastAsia="宋体" w:cs="Times New Roman"/>
          <w:b/>
          <w:bCs/>
          <w:color w:val="FF0000"/>
          <w:sz w:val="24"/>
          <w:szCs w:val="24"/>
          <w:highlight w:val="none"/>
        </w:rPr>
        <w:t>表</w:t>
      </w:r>
      <w:r>
        <w:rPr>
          <w:rFonts w:hint="default" w:ascii="Times New Roman" w:hAnsi="Times New Roman" w:eastAsia="宋体" w:cs="Times New Roman"/>
          <w:b/>
          <w:bCs/>
          <w:color w:val="FF0000"/>
          <w:sz w:val="24"/>
          <w:szCs w:val="24"/>
          <w:highlight w:val="none"/>
          <w:lang w:val="en-US" w:eastAsia="zh-CN"/>
        </w:rPr>
        <w:t>5.2</w:t>
      </w:r>
      <w:r>
        <w:rPr>
          <w:rFonts w:hint="default" w:ascii="Times New Roman" w:hAnsi="Times New Roman" w:eastAsia="宋体" w:cs="Times New Roman"/>
          <w:b/>
          <w:bCs/>
          <w:color w:val="FF0000"/>
          <w:sz w:val="24"/>
          <w:szCs w:val="24"/>
          <w:highlight w:val="none"/>
        </w:rPr>
        <w:t>-1地面和高空数据站点基本信息表</w:t>
      </w:r>
    </w:p>
    <w:tbl>
      <w:tblPr>
        <w:tblStyle w:val="4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8"/>
        <w:gridCol w:w="1018"/>
        <w:gridCol w:w="1042"/>
        <w:gridCol w:w="1018"/>
        <w:gridCol w:w="1054"/>
        <w:gridCol w:w="1046"/>
        <w:gridCol w:w="1046"/>
        <w:gridCol w:w="1035"/>
      </w:tblGrid>
      <w:tr w14:paraId="41DF3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6" w:type="dxa"/>
            <w:vMerge w:val="restart"/>
            <w:vAlign w:val="center"/>
          </w:tcPr>
          <w:p w14:paraId="176DF5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类别</w:t>
            </w:r>
          </w:p>
        </w:tc>
        <w:tc>
          <w:tcPr>
            <w:tcW w:w="1066" w:type="dxa"/>
            <w:vMerge w:val="restart"/>
            <w:vAlign w:val="center"/>
          </w:tcPr>
          <w:p w14:paraId="279B9A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站点名称</w:t>
            </w:r>
          </w:p>
        </w:tc>
        <w:tc>
          <w:tcPr>
            <w:tcW w:w="1066" w:type="dxa"/>
            <w:vMerge w:val="restart"/>
            <w:vAlign w:val="center"/>
          </w:tcPr>
          <w:p w14:paraId="683AC3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站点编号</w:t>
            </w:r>
          </w:p>
        </w:tc>
        <w:tc>
          <w:tcPr>
            <w:tcW w:w="1066" w:type="dxa"/>
            <w:vMerge w:val="restart"/>
            <w:vAlign w:val="center"/>
          </w:tcPr>
          <w:p w14:paraId="351874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气象站等级</w:t>
            </w:r>
          </w:p>
        </w:tc>
        <w:tc>
          <w:tcPr>
            <w:tcW w:w="2132" w:type="dxa"/>
            <w:gridSpan w:val="2"/>
            <w:vAlign w:val="center"/>
          </w:tcPr>
          <w:p w14:paraId="1AD043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站点坐标</w:t>
            </w:r>
          </w:p>
        </w:tc>
        <w:tc>
          <w:tcPr>
            <w:tcW w:w="1066" w:type="dxa"/>
            <w:vMerge w:val="restart"/>
            <w:vAlign w:val="center"/>
          </w:tcPr>
          <w:p w14:paraId="3E8EC6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高程（m）</w:t>
            </w:r>
          </w:p>
        </w:tc>
        <w:tc>
          <w:tcPr>
            <w:tcW w:w="1066" w:type="dxa"/>
            <w:vMerge w:val="restart"/>
            <w:vAlign w:val="center"/>
          </w:tcPr>
          <w:p w14:paraId="2E21CC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气象要素</w:t>
            </w:r>
          </w:p>
        </w:tc>
      </w:tr>
      <w:tr w14:paraId="3CF6D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6" w:type="dxa"/>
            <w:vMerge w:val="continue"/>
            <w:vAlign w:val="center"/>
          </w:tcPr>
          <w:p w14:paraId="2B99D5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rPr>
            </w:pPr>
          </w:p>
        </w:tc>
        <w:tc>
          <w:tcPr>
            <w:tcW w:w="1066" w:type="dxa"/>
            <w:vMerge w:val="continue"/>
            <w:vAlign w:val="center"/>
          </w:tcPr>
          <w:p w14:paraId="643131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rPr>
            </w:pPr>
          </w:p>
        </w:tc>
        <w:tc>
          <w:tcPr>
            <w:tcW w:w="1066" w:type="dxa"/>
            <w:vMerge w:val="continue"/>
            <w:vAlign w:val="center"/>
          </w:tcPr>
          <w:p w14:paraId="5D76C1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rPr>
            </w:pPr>
          </w:p>
        </w:tc>
        <w:tc>
          <w:tcPr>
            <w:tcW w:w="1066" w:type="dxa"/>
            <w:vMerge w:val="continue"/>
            <w:vAlign w:val="center"/>
          </w:tcPr>
          <w:p w14:paraId="350D83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rPr>
            </w:pPr>
          </w:p>
        </w:tc>
        <w:tc>
          <w:tcPr>
            <w:tcW w:w="1066" w:type="dxa"/>
            <w:vAlign w:val="center"/>
          </w:tcPr>
          <w:p w14:paraId="34355C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经度</w:t>
            </w:r>
          </w:p>
        </w:tc>
        <w:tc>
          <w:tcPr>
            <w:tcW w:w="1066" w:type="dxa"/>
            <w:vAlign w:val="center"/>
          </w:tcPr>
          <w:p w14:paraId="2024C2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纬度</w:t>
            </w:r>
          </w:p>
        </w:tc>
        <w:tc>
          <w:tcPr>
            <w:tcW w:w="1066" w:type="dxa"/>
            <w:vMerge w:val="continue"/>
            <w:vAlign w:val="center"/>
          </w:tcPr>
          <w:p w14:paraId="43BC33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p>
        </w:tc>
        <w:tc>
          <w:tcPr>
            <w:tcW w:w="1066" w:type="dxa"/>
            <w:vMerge w:val="continue"/>
            <w:vAlign w:val="center"/>
          </w:tcPr>
          <w:p w14:paraId="3EE8E2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p>
        </w:tc>
      </w:tr>
      <w:tr w14:paraId="7E70D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6" w:type="dxa"/>
            <w:vAlign w:val="center"/>
          </w:tcPr>
          <w:p w14:paraId="5D1F3F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地面</w:t>
            </w:r>
          </w:p>
        </w:tc>
        <w:tc>
          <w:tcPr>
            <w:tcW w:w="1066" w:type="dxa"/>
            <w:vAlign w:val="center"/>
          </w:tcPr>
          <w:p w14:paraId="052ADC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乌拉特前旗</w:t>
            </w:r>
          </w:p>
        </w:tc>
        <w:tc>
          <w:tcPr>
            <w:tcW w:w="1066" w:type="dxa"/>
            <w:vAlign w:val="center"/>
          </w:tcPr>
          <w:p w14:paraId="2FF54C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53433</w:t>
            </w:r>
          </w:p>
        </w:tc>
        <w:tc>
          <w:tcPr>
            <w:tcW w:w="1066" w:type="dxa"/>
            <w:vAlign w:val="center"/>
          </w:tcPr>
          <w:p w14:paraId="685E7B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一般站</w:t>
            </w:r>
          </w:p>
        </w:tc>
        <w:tc>
          <w:tcPr>
            <w:tcW w:w="1066" w:type="dxa"/>
            <w:vAlign w:val="center"/>
          </w:tcPr>
          <w:p w14:paraId="646F0A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108.650</w:t>
            </w:r>
          </w:p>
        </w:tc>
        <w:tc>
          <w:tcPr>
            <w:tcW w:w="1066" w:type="dxa"/>
            <w:vAlign w:val="center"/>
          </w:tcPr>
          <w:p w14:paraId="35E3E8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40.733</w:t>
            </w:r>
          </w:p>
        </w:tc>
        <w:tc>
          <w:tcPr>
            <w:tcW w:w="1066" w:type="dxa"/>
            <w:vAlign w:val="center"/>
          </w:tcPr>
          <w:p w14:paraId="524D90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1020.4</w:t>
            </w:r>
          </w:p>
        </w:tc>
        <w:tc>
          <w:tcPr>
            <w:tcW w:w="1066" w:type="dxa"/>
            <w:vAlign w:val="center"/>
          </w:tcPr>
          <w:p w14:paraId="2B0465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风向、风速、干球温度、相对湿度、总云、低云</w:t>
            </w:r>
          </w:p>
        </w:tc>
      </w:tr>
    </w:tbl>
    <w:p w14:paraId="26B23096">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outlineLvl w:val="2"/>
        <w:rPr>
          <w:rFonts w:hint="default" w:ascii="Times New Roman" w:hAnsi="Times New Roman" w:eastAsia="宋体" w:cs="Times New Roman"/>
          <w:color w:val="FF0000"/>
          <w:highlight w:val="none"/>
          <w:lang w:val="en-US" w:eastAsia="zh-CN"/>
        </w:rPr>
      </w:pPr>
      <w:bookmarkStart w:id="404" w:name="_Toc28060"/>
      <w:bookmarkStart w:id="405" w:name="_Toc31192"/>
      <w:r>
        <w:rPr>
          <w:rFonts w:hint="default" w:ascii="Times New Roman" w:hAnsi="Times New Roman" w:eastAsia="宋体" w:cs="Times New Roman"/>
          <w:color w:val="FF0000"/>
          <w:highlight w:val="none"/>
          <w:lang w:val="en-US" w:eastAsia="zh-CN"/>
        </w:rPr>
        <w:t>（2）</w:t>
      </w:r>
      <w:r>
        <w:rPr>
          <w:rFonts w:hint="default" w:ascii="Times New Roman" w:hAnsi="Times New Roman" w:eastAsia="宋体" w:cs="Times New Roman"/>
          <w:color w:val="FF0000"/>
          <w:highlight w:val="none"/>
          <w:lang w:val="en-US" w:eastAsia="zh-CN"/>
        </w:rPr>
        <w:t>气象站近20年地面气象历史资料</w:t>
      </w:r>
      <w:bookmarkEnd w:id="404"/>
      <w:bookmarkEnd w:id="405"/>
    </w:p>
    <w:p w14:paraId="5A1C434A">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0000"/>
          <w:highlight w:val="none"/>
          <w:lang w:val="zh-CN"/>
        </w:rPr>
      </w:pPr>
      <w:r>
        <w:rPr>
          <w:rFonts w:hint="default" w:ascii="Times New Roman" w:hAnsi="Times New Roman" w:eastAsia="宋体" w:cs="Times New Roman"/>
          <w:color w:val="FF0000"/>
          <w:highlight w:val="none"/>
          <w:lang w:val="zh-CN"/>
        </w:rPr>
        <w:t>本次评价项目采用的是乌拉特前旗气象站（53433）资料，位于内蒙古自治区乌拉特前旗，地理坐标为东经108.650度，北纬40.733度，平均海拔高度1020.4米，该气象站距项目厂址62.4km，拥有长期的气象观测资料，以下资料根据近20年气象数据统计分析。乌拉特前旗气象站气象资料整编表如表</w:t>
      </w:r>
      <w:r>
        <w:rPr>
          <w:rFonts w:hint="default" w:ascii="Times New Roman" w:hAnsi="Times New Roman" w:eastAsia="宋体" w:cs="Times New Roman"/>
          <w:color w:val="FF0000"/>
          <w:highlight w:val="none"/>
          <w:lang w:val="en-US" w:eastAsia="zh-CN"/>
        </w:rPr>
        <w:t>5</w:t>
      </w:r>
      <w:r>
        <w:rPr>
          <w:rFonts w:hint="default" w:ascii="Times New Roman" w:hAnsi="Times New Roman" w:eastAsia="宋体" w:cs="Times New Roman"/>
          <w:color w:val="FF0000"/>
          <w:highlight w:val="none"/>
          <w:lang w:val="zh-CN"/>
        </w:rPr>
        <w:t>.</w:t>
      </w:r>
      <w:r>
        <w:rPr>
          <w:rFonts w:hint="default" w:ascii="Times New Roman" w:hAnsi="Times New Roman" w:eastAsia="宋体" w:cs="Times New Roman"/>
          <w:color w:val="FF0000"/>
          <w:highlight w:val="none"/>
          <w:lang w:val="en-US" w:eastAsia="zh-CN"/>
        </w:rPr>
        <w:t>2</w:t>
      </w:r>
      <w:r>
        <w:rPr>
          <w:rFonts w:hint="default" w:ascii="Times New Roman" w:hAnsi="Times New Roman" w:eastAsia="宋体" w:cs="Times New Roman"/>
          <w:color w:val="FF0000"/>
          <w:highlight w:val="none"/>
          <w:lang w:val="zh-CN"/>
        </w:rPr>
        <w:t>-2。</w:t>
      </w:r>
    </w:p>
    <w:p w14:paraId="11B4BE17">
      <w:pPr>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eastAsia="宋体" w:cs="Times New Roman"/>
          <w:b/>
          <w:bCs/>
          <w:color w:val="FF0000"/>
          <w:sz w:val="24"/>
          <w:szCs w:val="24"/>
          <w:highlight w:val="none"/>
        </w:rPr>
      </w:pPr>
      <w:r>
        <w:rPr>
          <w:rFonts w:hint="default" w:ascii="Times New Roman" w:hAnsi="Times New Roman" w:eastAsia="宋体" w:cs="Times New Roman"/>
          <w:b/>
          <w:bCs/>
          <w:color w:val="FF0000"/>
          <w:sz w:val="24"/>
          <w:szCs w:val="24"/>
          <w:highlight w:val="none"/>
        </w:rPr>
        <w:t>表</w:t>
      </w:r>
      <w:r>
        <w:rPr>
          <w:rFonts w:hint="default" w:ascii="Times New Roman" w:hAnsi="Times New Roman" w:eastAsia="宋体" w:cs="Times New Roman"/>
          <w:b/>
          <w:bCs/>
          <w:color w:val="FF0000"/>
          <w:sz w:val="24"/>
          <w:szCs w:val="24"/>
          <w:highlight w:val="none"/>
          <w:lang w:val="en-US" w:eastAsia="zh-CN"/>
        </w:rPr>
        <w:t>5.2</w:t>
      </w:r>
      <w:r>
        <w:rPr>
          <w:rFonts w:hint="default" w:ascii="Times New Roman" w:hAnsi="Times New Roman" w:eastAsia="宋体" w:cs="Times New Roman"/>
          <w:b/>
          <w:bCs/>
          <w:color w:val="FF0000"/>
          <w:sz w:val="24"/>
          <w:szCs w:val="24"/>
          <w:highlight w:val="none"/>
        </w:rPr>
        <w:t>-2乌拉特前旗气象站近20年</w:t>
      </w:r>
      <w:r>
        <w:rPr>
          <w:rFonts w:hint="default" w:ascii="Times New Roman" w:hAnsi="Times New Roman" w:eastAsia="宋体" w:cs="Times New Roman"/>
          <w:b/>
          <w:bCs/>
          <w:color w:val="FF0000"/>
          <w:sz w:val="24"/>
          <w:szCs w:val="24"/>
          <w:highlight w:val="none"/>
          <w:lang w:eastAsia="zh-CN"/>
        </w:rPr>
        <w:t>（</w:t>
      </w:r>
      <w:r>
        <w:rPr>
          <w:rFonts w:hint="default" w:ascii="Times New Roman" w:hAnsi="Times New Roman" w:eastAsia="宋体" w:cs="Times New Roman"/>
          <w:b/>
          <w:bCs/>
          <w:color w:val="FF0000"/>
          <w:sz w:val="24"/>
          <w:szCs w:val="24"/>
          <w:highlight w:val="none"/>
        </w:rPr>
        <w:t>2003-2022</w:t>
      </w:r>
      <w:r>
        <w:rPr>
          <w:rFonts w:hint="default" w:ascii="Times New Roman" w:hAnsi="Times New Roman" w:eastAsia="宋体" w:cs="Times New Roman"/>
          <w:b/>
          <w:bCs/>
          <w:color w:val="FF0000"/>
          <w:sz w:val="24"/>
          <w:szCs w:val="24"/>
          <w:highlight w:val="none"/>
          <w:lang w:eastAsia="zh-CN"/>
        </w:rPr>
        <w:t>）</w:t>
      </w:r>
      <w:r>
        <w:rPr>
          <w:rFonts w:hint="default" w:ascii="Times New Roman" w:hAnsi="Times New Roman" w:eastAsia="宋体" w:cs="Times New Roman"/>
          <w:b/>
          <w:bCs/>
          <w:color w:val="FF0000"/>
          <w:sz w:val="24"/>
          <w:szCs w:val="24"/>
          <w:highlight w:val="none"/>
        </w:rPr>
        <w:t>主要气候特征统计表</w:t>
      </w:r>
    </w:p>
    <w:tbl>
      <w:tblPr>
        <w:tblStyle w:val="4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8"/>
        <w:gridCol w:w="998"/>
        <w:gridCol w:w="1018"/>
        <w:gridCol w:w="1004"/>
        <w:gridCol w:w="998"/>
        <w:gridCol w:w="1217"/>
        <w:gridCol w:w="1032"/>
        <w:gridCol w:w="1012"/>
      </w:tblGrid>
      <w:tr w14:paraId="73ED2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4" w:type="dxa"/>
            <w:vAlign w:val="center"/>
          </w:tcPr>
          <w:p w14:paraId="4BE357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序号</w:t>
            </w:r>
          </w:p>
        </w:tc>
        <w:tc>
          <w:tcPr>
            <w:tcW w:w="1034" w:type="dxa"/>
            <w:vAlign w:val="center"/>
          </w:tcPr>
          <w:p w14:paraId="5992FF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项目</w:t>
            </w:r>
          </w:p>
        </w:tc>
        <w:tc>
          <w:tcPr>
            <w:tcW w:w="1039" w:type="dxa"/>
            <w:vAlign w:val="center"/>
          </w:tcPr>
          <w:p w14:paraId="24689D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统计结果</w:t>
            </w:r>
          </w:p>
        </w:tc>
        <w:tc>
          <w:tcPr>
            <w:tcW w:w="1034" w:type="dxa"/>
            <w:vAlign w:val="center"/>
          </w:tcPr>
          <w:p w14:paraId="25CE36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单位</w:t>
            </w:r>
          </w:p>
        </w:tc>
        <w:tc>
          <w:tcPr>
            <w:tcW w:w="1034" w:type="dxa"/>
            <w:vAlign w:val="center"/>
          </w:tcPr>
          <w:p w14:paraId="74FE6A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序号</w:t>
            </w:r>
          </w:p>
        </w:tc>
        <w:tc>
          <w:tcPr>
            <w:tcW w:w="1266" w:type="dxa"/>
            <w:vAlign w:val="center"/>
          </w:tcPr>
          <w:p w14:paraId="0DF895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项目</w:t>
            </w:r>
          </w:p>
        </w:tc>
        <w:tc>
          <w:tcPr>
            <w:tcW w:w="1047" w:type="dxa"/>
            <w:vAlign w:val="center"/>
          </w:tcPr>
          <w:p w14:paraId="7F4192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统计结果</w:t>
            </w:r>
          </w:p>
        </w:tc>
        <w:tc>
          <w:tcPr>
            <w:tcW w:w="1040" w:type="dxa"/>
            <w:vAlign w:val="center"/>
          </w:tcPr>
          <w:p w14:paraId="3D0EB7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单位</w:t>
            </w:r>
          </w:p>
        </w:tc>
      </w:tr>
      <w:tr w14:paraId="27F77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4" w:type="dxa"/>
            <w:vAlign w:val="center"/>
          </w:tcPr>
          <w:p w14:paraId="21C560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1</w:t>
            </w:r>
          </w:p>
        </w:tc>
        <w:tc>
          <w:tcPr>
            <w:tcW w:w="1034" w:type="dxa"/>
            <w:vAlign w:val="center"/>
          </w:tcPr>
          <w:p w14:paraId="7CEF8E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年平均风速</w:t>
            </w:r>
          </w:p>
        </w:tc>
        <w:tc>
          <w:tcPr>
            <w:tcW w:w="1039" w:type="dxa"/>
            <w:vAlign w:val="center"/>
          </w:tcPr>
          <w:p w14:paraId="64BF1F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2.2</w:t>
            </w:r>
          </w:p>
        </w:tc>
        <w:tc>
          <w:tcPr>
            <w:tcW w:w="1034" w:type="dxa"/>
            <w:vAlign w:val="center"/>
          </w:tcPr>
          <w:p w14:paraId="6BD9CE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rPr>
              <w:t>m/s</w:t>
            </w:r>
          </w:p>
        </w:tc>
        <w:tc>
          <w:tcPr>
            <w:tcW w:w="1034" w:type="dxa"/>
            <w:vAlign w:val="center"/>
          </w:tcPr>
          <w:p w14:paraId="60E64C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vertAlign w:val="baseline"/>
                <w:lang w:val="en-US" w:eastAsia="zh-CN" w:bidi="ar-SA"/>
              </w:rPr>
            </w:pPr>
            <w:r>
              <w:rPr>
                <w:rFonts w:hint="default" w:ascii="Times New Roman" w:hAnsi="Times New Roman" w:eastAsia="宋体" w:cs="Times New Roman"/>
                <w:color w:val="FF0000"/>
                <w:sz w:val="21"/>
                <w:szCs w:val="21"/>
                <w:highlight w:val="none"/>
                <w:vertAlign w:val="baseline"/>
                <w:lang w:val="en-US" w:eastAsia="zh-CN"/>
              </w:rPr>
              <w:t>7</w:t>
            </w:r>
          </w:p>
        </w:tc>
        <w:tc>
          <w:tcPr>
            <w:tcW w:w="1266" w:type="dxa"/>
            <w:vAlign w:val="center"/>
          </w:tcPr>
          <w:p w14:paraId="259DB2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年平均降水量</w:t>
            </w:r>
          </w:p>
        </w:tc>
        <w:tc>
          <w:tcPr>
            <w:tcW w:w="1047" w:type="dxa"/>
            <w:vAlign w:val="center"/>
          </w:tcPr>
          <w:p w14:paraId="363F9E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226.4</w:t>
            </w:r>
          </w:p>
        </w:tc>
        <w:tc>
          <w:tcPr>
            <w:tcW w:w="1040" w:type="dxa"/>
            <w:vAlign w:val="center"/>
          </w:tcPr>
          <w:p w14:paraId="33B46F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mm</w:t>
            </w:r>
          </w:p>
        </w:tc>
      </w:tr>
      <w:tr w14:paraId="281C7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4" w:type="dxa"/>
            <w:vAlign w:val="center"/>
          </w:tcPr>
          <w:p w14:paraId="6C3DD0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w:t>
            </w:r>
          </w:p>
        </w:tc>
        <w:tc>
          <w:tcPr>
            <w:tcW w:w="1034" w:type="dxa"/>
            <w:vAlign w:val="center"/>
          </w:tcPr>
          <w:p w14:paraId="5B41A4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年平均气压</w:t>
            </w:r>
          </w:p>
        </w:tc>
        <w:tc>
          <w:tcPr>
            <w:tcW w:w="1039" w:type="dxa"/>
            <w:vAlign w:val="center"/>
          </w:tcPr>
          <w:p w14:paraId="0C1097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900.2</w:t>
            </w:r>
          </w:p>
        </w:tc>
        <w:tc>
          <w:tcPr>
            <w:tcW w:w="1034" w:type="dxa"/>
            <w:vAlign w:val="center"/>
          </w:tcPr>
          <w:p w14:paraId="7C554A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rPr>
              <w:t>hPa</w:t>
            </w:r>
          </w:p>
        </w:tc>
        <w:tc>
          <w:tcPr>
            <w:tcW w:w="1034" w:type="dxa"/>
            <w:vAlign w:val="center"/>
          </w:tcPr>
          <w:p w14:paraId="36D7AB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vertAlign w:val="baseline"/>
                <w:lang w:val="en-US" w:eastAsia="zh-CN" w:bidi="ar-SA"/>
              </w:rPr>
            </w:pPr>
            <w:r>
              <w:rPr>
                <w:rFonts w:hint="default" w:ascii="Times New Roman" w:hAnsi="Times New Roman" w:eastAsia="宋体" w:cs="Times New Roman"/>
                <w:color w:val="FF0000"/>
                <w:sz w:val="21"/>
                <w:szCs w:val="21"/>
                <w:highlight w:val="none"/>
                <w:vertAlign w:val="baseline"/>
                <w:lang w:val="en-US" w:eastAsia="zh-CN"/>
              </w:rPr>
              <w:t>8</w:t>
            </w:r>
          </w:p>
        </w:tc>
        <w:tc>
          <w:tcPr>
            <w:tcW w:w="1266" w:type="dxa"/>
            <w:vAlign w:val="center"/>
          </w:tcPr>
          <w:p w14:paraId="27D222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最大年降水量</w:t>
            </w:r>
          </w:p>
        </w:tc>
        <w:tc>
          <w:tcPr>
            <w:tcW w:w="1047" w:type="dxa"/>
            <w:vAlign w:val="center"/>
          </w:tcPr>
          <w:p w14:paraId="0A4F4C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387.5</w:t>
            </w:r>
          </w:p>
        </w:tc>
        <w:tc>
          <w:tcPr>
            <w:tcW w:w="1040" w:type="dxa"/>
            <w:vAlign w:val="center"/>
          </w:tcPr>
          <w:p w14:paraId="7E3EBF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mm</w:t>
            </w:r>
          </w:p>
        </w:tc>
      </w:tr>
      <w:tr w14:paraId="2FD29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4" w:type="dxa"/>
            <w:vAlign w:val="center"/>
          </w:tcPr>
          <w:p w14:paraId="681436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3</w:t>
            </w:r>
          </w:p>
        </w:tc>
        <w:tc>
          <w:tcPr>
            <w:tcW w:w="1034" w:type="dxa"/>
            <w:vAlign w:val="center"/>
          </w:tcPr>
          <w:p w14:paraId="3DD177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年平均气温</w:t>
            </w:r>
          </w:p>
        </w:tc>
        <w:tc>
          <w:tcPr>
            <w:tcW w:w="1039" w:type="dxa"/>
            <w:vAlign w:val="center"/>
          </w:tcPr>
          <w:p w14:paraId="234C79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9.5</w:t>
            </w:r>
          </w:p>
        </w:tc>
        <w:tc>
          <w:tcPr>
            <w:tcW w:w="1034" w:type="dxa"/>
            <w:vAlign w:val="center"/>
          </w:tcPr>
          <w:p w14:paraId="453783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rPr>
              <w:t>℃</w:t>
            </w:r>
          </w:p>
        </w:tc>
        <w:tc>
          <w:tcPr>
            <w:tcW w:w="1034" w:type="dxa"/>
            <w:vAlign w:val="center"/>
          </w:tcPr>
          <w:p w14:paraId="5EE783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vertAlign w:val="baseline"/>
                <w:lang w:val="en-US" w:eastAsia="zh-CN" w:bidi="ar-SA"/>
              </w:rPr>
            </w:pPr>
            <w:r>
              <w:rPr>
                <w:rFonts w:hint="default" w:ascii="Times New Roman" w:hAnsi="Times New Roman" w:eastAsia="宋体" w:cs="Times New Roman"/>
                <w:color w:val="FF0000"/>
                <w:sz w:val="21"/>
                <w:szCs w:val="21"/>
                <w:highlight w:val="none"/>
                <w:vertAlign w:val="baseline"/>
                <w:lang w:val="en-US" w:eastAsia="zh-CN"/>
              </w:rPr>
              <w:t>9</w:t>
            </w:r>
          </w:p>
        </w:tc>
        <w:tc>
          <w:tcPr>
            <w:tcW w:w="1266" w:type="dxa"/>
            <w:vAlign w:val="center"/>
          </w:tcPr>
          <w:p w14:paraId="200983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最小年降水量</w:t>
            </w:r>
          </w:p>
        </w:tc>
        <w:tc>
          <w:tcPr>
            <w:tcW w:w="1047" w:type="dxa"/>
            <w:vAlign w:val="center"/>
          </w:tcPr>
          <w:p w14:paraId="2FBD96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73.0</w:t>
            </w:r>
          </w:p>
        </w:tc>
        <w:tc>
          <w:tcPr>
            <w:tcW w:w="1040" w:type="dxa"/>
            <w:vAlign w:val="center"/>
          </w:tcPr>
          <w:p w14:paraId="46A30C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mm</w:t>
            </w:r>
          </w:p>
        </w:tc>
      </w:tr>
      <w:tr w14:paraId="10A1C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4" w:type="dxa"/>
            <w:vAlign w:val="center"/>
          </w:tcPr>
          <w:p w14:paraId="7B6B8E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4</w:t>
            </w:r>
          </w:p>
        </w:tc>
        <w:tc>
          <w:tcPr>
            <w:tcW w:w="1034" w:type="dxa"/>
            <w:vAlign w:val="center"/>
          </w:tcPr>
          <w:p w14:paraId="360C7A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极端最高气温</w:t>
            </w:r>
          </w:p>
        </w:tc>
        <w:tc>
          <w:tcPr>
            <w:tcW w:w="1039" w:type="dxa"/>
            <w:vAlign w:val="center"/>
          </w:tcPr>
          <w:p w14:paraId="18C191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40.0</w:t>
            </w:r>
          </w:p>
        </w:tc>
        <w:tc>
          <w:tcPr>
            <w:tcW w:w="1034" w:type="dxa"/>
            <w:vAlign w:val="center"/>
          </w:tcPr>
          <w:p w14:paraId="1AD182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rPr>
              <w:t>℃</w:t>
            </w:r>
          </w:p>
        </w:tc>
        <w:tc>
          <w:tcPr>
            <w:tcW w:w="1034" w:type="dxa"/>
            <w:vAlign w:val="center"/>
          </w:tcPr>
          <w:p w14:paraId="1A6328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vertAlign w:val="baseline"/>
                <w:lang w:val="en-US" w:eastAsia="zh-CN" w:bidi="ar-SA"/>
              </w:rPr>
            </w:pPr>
            <w:r>
              <w:rPr>
                <w:rFonts w:hint="default" w:ascii="Times New Roman" w:hAnsi="Times New Roman" w:eastAsia="宋体" w:cs="Times New Roman"/>
                <w:color w:val="FF0000"/>
                <w:sz w:val="21"/>
                <w:szCs w:val="21"/>
                <w:highlight w:val="none"/>
                <w:vertAlign w:val="baseline"/>
                <w:lang w:val="en-US" w:eastAsia="zh-CN"/>
              </w:rPr>
              <w:t>10</w:t>
            </w:r>
          </w:p>
        </w:tc>
        <w:tc>
          <w:tcPr>
            <w:tcW w:w="1266" w:type="dxa"/>
            <w:vAlign w:val="center"/>
          </w:tcPr>
          <w:p w14:paraId="1D8F6F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年日照时数</w:t>
            </w:r>
          </w:p>
        </w:tc>
        <w:tc>
          <w:tcPr>
            <w:tcW w:w="1047" w:type="dxa"/>
            <w:vAlign w:val="center"/>
          </w:tcPr>
          <w:p w14:paraId="51CD45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3120.6</w:t>
            </w:r>
          </w:p>
        </w:tc>
        <w:tc>
          <w:tcPr>
            <w:tcW w:w="1040" w:type="dxa"/>
            <w:vAlign w:val="center"/>
          </w:tcPr>
          <w:p w14:paraId="763C8F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h</w:t>
            </w:r>
          </w:p>
        </w:tc>
      </w:tr>
      <w:tr w14:paraId="2635DE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4" w:type="dxa"/>
            <w:vAlign w:val="center"/>
          </w:tcPr>
          <w:p w14:paraId="085DB4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5</w:t>
            </w:r>
          </w:p>
        </w:tc>
        <w:tc>
          <w:tcPr>
            <w:tcW w:w="1034" w:type="dxa"/>
            <w:vAlign w:val="center"/>
          </w:tcPr>
          <w:p w14:paraId="429834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vertAlign w:val="baseline"/>
                <w:lang w:val="en-US" w:eastAsia="zh-CN" w:bidi="ar-SA"/>
              </w:rPr>
            </w:pPr>
            <w:r>
              <w:rPr>
                <w:rFonts w:hint="default" w:ascii="Times New Roman" w:hAnsi="Times New Roman" w:eastAsia="宋体" w:cs="Times New Roman"/>
                <w:color w:val="FF0000"/>
                <w:sz w:val="21"/>
                <w:szCs w:val="21"/>
                <w:highlight w:val="none"/>
                <w:vertAlign w:val="baseline"/>
              </w:rPr>
              <w:t>极端最低气温</w:t>
            </w:r>
          </w:p>
        </w:tc>
        <w:tc>
          <w:tcPr>
            <w:tcW w:w="1039" w:type="dxa"/>
            <w:vAlign w:val="center"/>
          </w:tcPr>
          <w:p w14:paraId="0BD53D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vertAlign w:val="baseline"/>
                <w:lang w:val="en-US" w:eastAsia="zh-CN" w:bidi="ar-SA"/>
              </w:rPr>
            </w:pPr>
            <w:r>
              <w:rPr>
                <w:rFonts w:hint="default" w:ascii="Times New Roman" w:hAnsi="Times New Roman" w:eastAsia="宋体" w:cs="Times New Roman"/>
                <w:color w:val="FF0000"/>
                <w:sz w:val="21"/>
                <w:szCs w:val="21"/>
                <w:highlight w:val="none"/>
                <w:vertAlign w:val="baseline"/>
              </w:rPr>
              <w:t>-30.5</w:t>
            </w:r>
          </w:p>
        </w:tc>
        <w:tc>
          <w:tcPr>
            <w:tcW w:w="1034" w:type="dxa"/>
            <w:vAlign w:val="center"/>
          </w:tcPr>
          <w:p w14:paraId="59DE35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rPr>
              <w:t>℃</w:t>
            </w:r>
          </w:p>
        </w:tc>
        <w:tc>
          <w:tcPr>
            <w:tcW w:w="1034" w:type="dxa"/>
            <w:vAlign w:val="center"/>
          </w:tcPr>
          <w:p w14:paraId="26375C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vertAlign w:val="baseline"/>
                <w:lang w:val="en-US" w:eastAsia="zh-CN" w:bidi="ar-SA"/>
              </w:rPr>
            </w:pPr>
            <w:r>
              <w:rPr>
                <w:rFonts w:hint="default" w:ascii="Times New Roman" w:hAnsi="Times New Roman" w:eastAsia="宋体" w:cs="Times New Roman"/>
                <w:color w:val="FF0000"/>
                <w:sz w:val="21"/>
                <w:szCs w:val="21"/>
                <w:highlight w:val="none"/>
                <w:vertAlign w:val="baseline"/>
                <w:lang w:val="en-US" w:eastAsia="zh-CN"/>
              </w:rPr>
              <w:t>11</w:t>
            </w:r>
          </w:p>
        </w:tc>
        <w:tc>
          <w:tcPr>
            <w:tcW w:w="1266" w:type="dxa"/>
            <w:vAlign w:val="center"/>
          </w:tcPr>
          <w:p w14:paraId="050442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年最多风向</w:t>
            </w:r>
          </w:p>
        </w:tc>
        <w:tc>
          <w:tcPr>
            <w:tcW w:w="1047" w:type="dxa"/>
            <w:vAlign w:val="center"/>
          </w:tcPr>
          <w:p w14:paraId="6A8CD5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SSE</w:t>
            </w:r>
          </w:p>
        </w:tc>
        <w:tc>
          <w:tcPr>
            <w:tcW w:w="1040" w:type="dxa"/>
            <w:vAlign w:val="center"/>
          </w:tcPr>
          <w:p w14:paraId="6FD1B0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w:t>
            </w:r>
          </w:p>
        </w:tc>
      </w:tr>
      <w:tr w14:paraId="059AD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4" w:type="dxa"/>
            <w:vAlign w:val="center"/>
          </w:tcPr>
          <w:p w14:paraId="09F82C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6</w:t>
            </w:r>
          </w:p>
        </w:tc>
        <w:tc>
          <w:tcPr>
            <w:tcW w:w="1034" w:type="dxa"/>
            <w:vAlign w:val="center"/>
          </w:tcPr>
          <w:p w14:paraId="74C35C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年平均相对湿度</w:t>
            </w:r>
          </w:p>
        </w:tc>
        <w:tc>
          <w:tcPr>
            <w:tcW w:w="1039" w:type="dxa"/>
            <w:vAlign w:val="center"/>
          </w:tcPr>
          <w:p w14:paraId="36752E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45.7</w:t>
            </w:r>
          </w:p>
        </w:tc>
        <w:tc>
          <w:tcPr>
            <w:tcW w:w="1034" w:type="dxa"/>
            <w:vAlign w:val="center"/>
          </w:tcPr>
          <w:p w14:paraId="7FFE11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rPr>
              <w:t>%</w:t>
            </w:r>
          </w:p>
        </w:tc>
        <w:tc>
          <w:tcPr>
            <w:tcW w:w="1034" w:type="dxa"/>
            <w:vAlign w:val="center"/>
          </w:tcPr>
          <w:p w14:paraId="34A836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vertAlign w:val="baseline"/>
                <w:lang w:val="en-US" w:eastAsia="zh-CN" w:bidi="ar-SA"/>
              </w:rPr>
            </w:pPr>
            <w:r>
              <w:rPr>
                <w:rFonts w:hint="default" w:ascii="Times New Roman" w:hAnsi="Times New Roman" w:eastAsia="宋体" w:cs="Times New Roman"/>
                <w:color w:val="FF0000"/>
                <w:sz w:val="21"/>
                <w:szCs w:val="21"/>
                <w:highlight w:val="none"/>
                <w:vertAlign w:val="baseline"/>
                <w:lang w:val="en-US" w:eastAsia="zh-CN"/>
              </w:rPr>
              <w:t>12</w:t>
            </w:r>
          </w:p>
        </w:tc>
        <w:tc>
          <w:tcPr>
            <w:tcW w:w="1266" w:type="dxa"/>
            <w:vAlign w:val="center"/>
          </w:tcPr>
          <w:p w14:paraId="41DE7C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年均静风频率</w:t>
            </w:r>
          </w:p>
        </w:tc>
        <w:tc>
          <w:tcPr>
            <w:tcW w:w="1047" w:type="dxa"/>
            <w:vAlign w:val="center"/>
          </w:tcPr>
          <w:p w14:paraId="77AC70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7.3</w:t>
            </w:r>
          </w:p>
        </w:tc>
        <w:tc>
          <w:tcPr>
            <w:tcW w:w="1040" w:type="dxa"/>
            <w:vAlign w:val="center"/>
          </w:tcPr>
          <w:p w14:paraId="7C8202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w:t>
            </w:r>
          </w:p>
        </w:tc>
      </w:tr>
    </w:tbl>
    <w:p w14:paraId="241848A9">
      <w:pPr>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eastAsia="宋体" w:cs="Times New Roman"/>
          <w:b/>
          <w:bCs/>
          <w:color w:val="FF0000"/>
          <w:sz w:val="24"/>
          <w:szCs w:val="24"/>
          <w:highlight w:val="none"/>
        </w:rPr>
      </w:pPr>
      <w:r>
        <w:rPr>
          <w:rFonts w:hint="default" w:ascii="Times New Roman" w:hAnsi="Times New Roman" w:eastAsia="宋体" w:cs="Times New Roman"/>
          <w:b/>
          <w:bCs/>
          <w:color w:val="FF0000"/>
          <w:sz w:val="24"/>
          <w:szCs w:val="24"/>
          <w:highlight w:val="none"/>
        </w:rPr>
        <w:t>表</w:t>
      </w:r>
      <w:r>
        <w:rPr>
          <w:rFonts w:hint="default" w:ascii="Times New Roman" w:hAnsi="Times New Roman" w:eastAsia="宋体" w:cs="Times New Roman"/>
          <w:b/>
          <w:bCs/>
          <w:color w:val="FF0000"/>
          <w:sz w:val="24"/>
          <w:szCs w:val="24"/>
          <w:highlight w:val="none"/>
          <w:lang w:val="en-US" w:eastAsia="zh-CN"/>
        </w:rPr>
        <w:t>5.2</w:t>
      </w:r>
      <w:r>
        <w:rPr>
          <w:rFonts w:hint="default" w:ascii="Times New Roman" w:hAnsi="Times New Roman" w:eastAsia="宋体" w:cs="Times New Roman"/>
          <w:b/>
          <w:bCs/>
          <w:color w:val="FF0000"/>
          <w:sz w:val="24"/>
          <w:szCs w:val="24"/>
          <w:highlight w:val="none"/>
        </w:rPr>
        <w:t>-3乌拉特前旗气象站近20年</w:t>
      </w:r>
      <w:r>
        <w:rPr>
          <w:rFonts w:hint="default" w:ascii="Times New Roman" w:hAnsi="Times New Roman" w:eastAsia="宋体" w:cs="Times New Roman"/>
          <w:b/>
          <w:bCs/>
          <w:color w:val="FF0000"/>
          <w:sz w:val="24"/>
          <w:szCs w:val="24"/>
          <w:highlight w:val="none"/>
          <w:lang w:eastAsia="zh-CN"/>
        </w:rPr>
        <w:t>（</w:t>
      </w:r>
      <w:r>
        <w:rPr>
          <w:rFonts w:hint="default" w:ascii="Times New Roman" w:hAnsi="Times New Roman" w:eastAsia="宋体" w:cs="Times New Roman"/>
          <w:b/>
          <w:bCs/>
          <w:color w:val="FF0000"/>
          <w:sz w:val="24"/>
          <w:szCs w:val="24"/>
          <w:highlight w:val="none"/>
        </w:rPr>
        <w:t>2003-2022</w:t>
      </w:r>
      <w:r>
        <w:rPr>
          <w:rFonts w:hint="default" w:ascii="Times New Roman" w:hAnsi="Times New Roman" w:eastAsia="宋体" w:cs="Times New Roman"/>
          <w:b/>
          <w:bCs/>
          <w:color w:val="FF0000"/>
          <w:sz w:val="24"/>
          <w:szCs w:val="24"/>
          <w:highlight w:val="none"/>
          <w:lang w:eastAsia="zh-CN"/>
        </w:rPr>
        <w:t>）</w:t>
      </w:r>
      <w:r>
        <w:rPr>
          <w:rFonts w:hint="default" w:ascii="Times New Roman" w:hAnsi="Times New Roman" w:eastAsia="宋体" w:cs="Times New Roman"/>
          <w:b/>
          <w:bCs/>
          <w:color w:val="FF0000"/>
          <w:sz w:val="24"/>
          <w:szCs w:val="24"/>
          <w:highlight w:val="none"/>
        </w:rPr>
        <w:t>累年逐月气候要素变化表</w:t>
      </w:r>
    </w:p>
    <w:tbl>
      <w:tblPr>
        <w:tblStyle w:val="4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7"/>
        <w:gridCol w:w="600"/>
        <w:gridCol w:w="606"/>
        <w:gridCol w:w="606"/>
        <w:gridCol w:w="606"/>
        <w:gridCol w:w="606"/>
        <w:gridCol w:w="606"/>
        <w:gridCol w:w="606"/>
        <w:gridCol w:w="606"/>
        <w:gridCol w:w="606"/>
        <w:gridCol w:w="606"/>
        <w:gridCol w:w="600"/>
        <w:gridCol w:w="607"/>
        <w:gridCol w:w="694"/>
      </w:tblGrid>
      <w:tr w14:paraId="0BD91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42" w:hRule="atLeast"/>
          <w:jc w:val="center"/>
        </w:trPr>
        <w:tc>
          <w:tcPr>
            <w:tcW w:w="2259" w:type="dxa"/>
            <w:vAlign w:val="center"/>
            <mc:AlternateContent>
              <mc:Choice Requires="wpsCustomData">
                <wpsCustomData:diagonals>
                  <wpsCustomData:diagonal from="30000" to="10000">
                    <wpsCustomData:border w:val="single" w:color="auto" w:sz="4" w:space="0"/>
                  </wpsCustomData:diagonal>
                </wpsCustomData:diagonals>
              </mc:Choice>
            </mc:AlternateContent>
          </w:tcPr>
          <w:p w14:paraId="3807009A">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mc:AlternateContent>
                <mc:Choice Requires="wpsCustomData">
                  <wpsCustomData:diagonalParaType/>
                </mc:Choice>
              </mc:AlternateContent>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rPr>
              <w:t>年份</w:t>
            </w:r>
          </w:p>
          <w:p w14:paraId="62AD7C31">
            <w:pPr>
              <w:keepNext w:val="0"/>
              <w:keepLines w:val="0"/>
              <w:pageBreakBefore w:val="0"/>
              <w:widowControl w:val="0"/>
              <w:kinsoku/>
              <w:wordWrap/>
              <w:overflowPunct/>
              <w:topLinePunct w:val="0"/>
              <w:autoSpaceDE/>
              <w:autoSpaceDN/>
              <w:bidi w:val="0"/>
              <w:adjustRightInd/>
              <w:snapToGrid/>
              <w:spacing w:line="240" w:lineRule="auto"/>
              <w:ind w:firstLine="0" w:firstLineChars="0"/>
              <w:jc w:val="right"/>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rPr>
              <w:t>月份</w:t>
            </w:r>
          </w:p>
          <w:p w14:paraId="09BA7CF5">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sz w:val="21"/>
                <w:szCs w:val="21"/>
                <w:highlight w:val="none"/>
                <w:vertAlign w:val="baseline"/>
                <w:lang w:val="en-US" w:eastAsia="zh-CN"/>
              </w:rPr>
            </w:pPr>
          </w:p>
        </w:tc>
        <w:tc>
          <w:tcPr>
            <w:tcW w:w="600" w:type="dxa"/>
            <w:vAlign w:val="center"/>
          </w:tcPr>
          <w:p w14:paraId="1B78BA8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1</w:t>
            </w:r>
          </w:p>
        </w:tc>
        <w:tc>
          <w:tcPr>
            <w:tcW w:w="606" w:type="dxa"/>
            <w:vAlign w:val="center"/>
          </w:tcPr>
          <w:p w14:paraId="245640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w:t>
            </w:r>
          </w:p>
        </w:tc>
        <w:tc>
          <w:tcPr>
            <w:tcW w:w="606" w:type="dxa"/>
            <w:vAlign w:val="center"/>
          </w:tcPr>
          <w:p w14:paraId="3DDD7E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3</w:t>
            </w:r>
          </w:p>
        </w:tc>
        <w:tc>
          <w:tcPr>
            <w:tcW w:w="606" w:type="dxa"/>
            <w:vAlign w:val="center"/>
          </w:tcPr>
          <w:p w14:paraId="205738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vertAlign w:val="baseline"/>
                <w:lang w:val="en-US" w:eastAsia="zh-CN" w:bidi="ar-SA"/>
              </w:rPr>
            </w:pPr>
            <w:r>
              <w:rPr>
                <w:rFonts w:hint="default" w:ascii="Times New Roman" w:hAnsi="Times New Roman" w:eastAsia="宋体" w:cs="Times New Roman"/>
                <w:color w:val="FF0000"/>
                <w:kern w:val="2"/>
                <w:sz w:val="21"/>
                <w:szCs w:val="21"/>
                <w:highlight w:val="none"/>
                <w:vertAlign w:val="baseline"/>
                <w:lang w:val="en-US" w:eastAsia="zh-CN" w:bidi="ar-SA"/>
              </w:rPr>
              <w:t>4</w:t>
            </w:r>
          </w:p>
        </w:tc>
        <w:tc>
          <w:tcPr>
            <w:tcW w:w="606" w:type="dxa"/>
            <w:vAlign w:val="center"/>
          </w:tcPr>
          <w:p w14:paraId="7F6FD98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5</w:t>
            </w:r>
          </w:p>
        </w:tc>
        <w:tc>
          <w:tcPr>
            <w:tcW w:w="606" w:type="dxa"/>
            <w:vAlign w:val="center"/>
          </w:tcPr>
          <w:p w14:paraId="13810A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6</w:t>
            </w:r>
          </w:p>
        </w:tc>
        <w:tc>
          <w:tcPr>
            <w:tcW w:w="606" w:type="dxa"/>
            <w:vAlign w:val="center"/>
          </w:tcPr>
          <w:p w14:paraId="420852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7</w:t>
            </w:r>
          </w:p>
        </w:tc>
        <w:tc>
          <w:tcPr>
            <w:tcW w:w="606" w:type="dxa"/>
            <w:vAlign w:val="center"/>
          </w:tcPr>
          <w:p w14:paraId="0B4289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8</w:t>
            </w:r>
          </w:p>
        </w:tc>
        <w:tc>
          <w:tcPr>
            <w:tcW w:w="606" w:type="dxa"/>
            <w:vAlign w:val="center"/>
          </w:tcPr>
          <w:p w14:paraId="583E65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9</w:t>
            </w:r>
          </w:p>
        </w:tc>
        <w:tc>
          <w:tcPr>
            <w:tcW w:w="606" w:type="dxa"/>
            <w:vAlign w:val="center"/>
          </w:tcPr>
          <w:p w14:paraId="1B90EB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10</w:t>
            </w:r>
          </w:p>
        </w:tc>
        <w:tc>
          <w:tcPr>
            <w:tcW w:w="600" w:type="dxa"/>
            <w:vAlign w:val="center"/>
          </w:tcPr>
          <w:p w14:paraId="1EB6E3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11</w:t>
            </w:r>
          </w:p>
        </w:tc>
        <w:tc>
          <w:tcPr>
            <w:tcW w:w="607" w:type="dxa"/>
            <w:vAlign w:val="center"/>
          </w:tcPr>
          <w:p w14:paraId="40192A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12</w:t>
            </w:r>
          </w:p>
        </w:tc>
        <w:tc>
          <w:tcPr>
            <w:tcW w:w="694" w:type="dxa"/>
            <w:vAlign w:val="center"/>
          </w:tcPr>
          <w:p w14:paraId="38C945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全年</w:t>
            </w:r>
          </w:p>
        </w:tc>
      </w:tr>
      <w:tr w14:paraId="3D621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9" w:type="dxa"/>
            <w:vAlign w:val="center"/>
          </w:tcPr>
          <w:p w14:paraId="61D5DB63">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rPr>
              <w:t>平均风速m/s</w:t>
            </w:r>
          </w:p>
        </w:tc>
        <w:tc>
          <w:tcPr>
            <w:tcW w:w="600" w:type="dxa"/>
            <w:vAlign w:val="center"/>
          </w:tcPr>
          <w:p w14:paraId="01282D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1.7</w:t>
            </w:r>
          </w:p>
        </w:tc>
        <w:tc>
          <w:tcPr>
            <w:tcW w:w="606" w:type="dxa"/>
            <w:vAlign w:val="center"/>
          </w:tcPr>
          <w:p w14:paraId="7B613C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2.1</w:t>
            </w:r>
          </w:p>
        </w:tc>
        <w:tc>
          <w:tcPr>
            <w:tcW w:w="606" w:type="dxa"/>
            <w:vAlign w:val="center"/>
          </w:tcPr>
          <w:p w14:paraId="1EEEE8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2.4</w:t>
            </w:r>
          </w:p>
        </w:tc>
        <w:tc>
          <w:tcPr>
            <w:tcW w:w="606" w:type="dxa"/>
            <w:vAlign w:val="center"/>
          </w:tcPr>
          <w:p w14:paraId="2ED428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vertAlign w:val="baseline"/>
                <w:lang w:val="en-US" w:eastAsia="zh-CN" w:bidi="ar-SA"/>
              </w:rPr>
            </w:pPr>
            <w:r>
              <w:rPr>
                <w:rFonts w:hint="default" w:ascii="Times New Roman" w:hAnsi="Times New Roman" w:eastAsia="宋体" w:cs="Times New Roman"/>
                <w:color w:val="FF0000"/>
                <w:kern w:val="2"/>
                <w:sz w:val="21"/>
                <w:szCs w:val="21"/>
                <w:highlight w:val="none"/>
                <w:vertAlign w:val="baseline"/>
                <w:lang w:val="en-US" w:eastAsia="zh-CN" w:bidi="ar-SA"/>
              </w:rPr>
              <w:t>2.6</w:t>
            </w:r>
          </w:p>
        </w:tc>
        <w:tc>
          <w:tcPr>
            <w:tcW w:w="606" w:type="dxa"/>
            <w:vAlign w:val="center"/>
          </w:tcPr>
          <w:p w14:paraId="63329E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2.8</w:t>
            </w:r>
          </w:p>
        </w:tc>
        <w:tc>
          <w:tcPr>
            <w:tcW w:w="606" w:type="dxa"/>
            <w:vAlign w:val="center"/>
          </w:tcPr>
          <w:p w14:paraId="5E2B4C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2.5</w:t>
            </w:r>
          </w:p>
        </w:tc>
        <w:tc>
          <w:tcPr>
            <w:tcW w:w="606" w:type="dxa"/>
            <w:vAlign w:val="center"/>
          </w:tcPr>
          <w:p w14:paraId="040076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2.4</w:t>
            </w:r>
          </w:p>
        </w:tc>
        <w:tc>
          <w:tcPr>
            <w:tcW w:w="606" w:type="dxa"/>
            <w:vAlign w:val="center"/>
          </w:tcPr>
          <w:p w14:paraId="52E6A4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2.2</w:t>
            </w:r>
          </w:p>
        </w:tc>
        <w:tc>
          <w:tcPr>
            <w:tcW w:w="606" w:type="dxa"/>
            <w:vAlign w:val="center"/>
          </w:tcPr>
          <w:p w14:paraId="0F5359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2.2</w:t>
            </w:r>
          </w:p>
        </w:tc>
        <w:tc>
          <w:tcPr>
            <w:tcW w:w="606" w:type="dxa"/>
            <w:vAlign w:val="center"/>
          </w:tcPr>
          <w:p w14:paraId="66CE0C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2.0</w:t>
            </w:r>
          </w:p>
        </w:tc>
        <w:tc>
          <w:tcPr>
            <w:tcW w:w="600" w:type="dxa"/>
            <w:vAlign w:val="center"/>
          </w:tcPr>
          <w:p w14:paraId="22D2D1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2.1</w:t>
            </w:r>
          </w:p>
        </w:tc>
        <w:tc>
          <w:tcPr>
            <w:tcW w:w="607" w:type="dxa"/>
            <w:vAlign w:val="center"/>
          </w:tcPr>
          <w:p w14:paraId="6A2AAB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1.9</w:t>
            </w:r>
          </w:p>
        </w:tc>
        <w:tc>
          <w:tcPr>
            <w:tcW w:w="694" w:type="dxa"/>
            <w:vAlign w:val="center"/>
          </w:tcPr>
          <w:p w14:paraId="475ED3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2.2</w:t>
            </w:r>
          </w:p>
        </w:tc>
      </w:tr>
      <w:tr w14:paraId="7F67A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9" w:type="dxa"/>
            <w:vAlign w:val="center"/>
          </w:tcPr>
          <w:p w14:paraId="15ACC5BE">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rPr>
              <w:t>平均气温℃</w:t>
            </w:r>
          </w:p>
        </w:tc>
        <w:tc>
          <w:tcPr>
            <w:tcW w:w="600" w:type="dxa"/>
            <w:vAlign w:val="center"/>
          </w:tcPr>
          <w:p w14:paraId="1BFF63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-9.6</w:t>
            </w:r>
          </w:p>
        </w:tc>
        <w:tc>
          <w:tcPr>
            <w:tcW w:w="606" w:type="dxa"/>
            <w:vAlign w:val="center"/>
          </w:tcPr>
          <w:p w14:paraId="0CD33E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-4.6</w:t>
            </w:r>
          </w:p>
        </w:tc>
        <w:tc>
          <w:tcPr>
            <w:tcW w:w="606" w:type="dxa"/>
            <w:vAlign w:val="center"/>
          </w:tcPr>
          <w:p w14:paraId="2402D1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3.7</w:t>
            </w:r>
          </w:p>
        </w:tc>
        <w:tc>
          <w:tcPr>
            <w:tcW w:w="606" w:type="dxa"/>
            <w:vAlign w:val="center"/>
          </w:tcPr>
          <w:p w14:paraId="6B3742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vertAlign w:val="baseline"/>
                <w:lang w:val="en-US" w:eastAsia="zh-CN" w:bidi="ar-SA"/>
              </w:rPr>
            </w:pPr>
            <w:r>
              <w:rPr>
                <w:rFonts w:hint="default" w:ascii="Times New Roman" w:hAnsi="Times New Roman" w:eastAsia="宋体" w:cs="Times New Roman"/>
                <w:color w:val="FF0000"/>
                <w:kern w:val="2"/>
                <w:sz w:val="21"/>
                <w:szCs w:val="21"/>
                <w:highlight w:val="none"/>
                <w:vertAlign w:val="baseline"/>
                <w:lang w:val="en-US" w:eastAsia="zh-CN" w:bidi="ar-SA"/>
              </w:rPr>
              <w:t>12.1</w:t>
            </w:r>
          </w:p>
        </w:tc>
        <w:tc>
          <w:tcPr>
            <w:tcW w:w="606" w:type="dxa"/>
            <w:vAlign w:val="center"/>
          </w:tcPr>
          <w:p w14:paraId="104B3B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18.5</w:t>
            </w:r>
          </w:p>
        </w:tc>
        <w:tc>
          <w:tcPr>
            <w:tcW w:w="606" w:type="dxa"/>
            <w:vAlign w:val="center"/>
          </w:tcPr>
          <w:p w14:paraId="447EB7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23.5</w:t>
            </w:r>
          </w:p>
        </w:tc>
        <w:tc>
          <w:tcPr>
            <w:tcW w:w="606" w:type="dxa"/>
            <w:vAlign w:val="center"/>
          </w:tcPr>
          <w:p w14:paraId="608A68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25.6</w:t>
            </w:r>
          </w:p>
        </w:tc>
        <w:tc>
          <w:tcPr>
            <w:tcW w:w="606" w:type="dxa"/>
            <w:vAlign w:val="center"/>
          </w:tcPr>
          <w:p w14:paraId="56711D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23.2</w:t>
            </w:r>
          </w:p>
        </w:tc>
        <w:tc>
          <w:tcPr>
            <w:tcW w:w="606" w:type="dxa"/>
            <w:vAlign w:val="center"/>
          </w:tcPr>
          <w:p w14:paraId="06F7CD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17.8</w:t>
            </w:r>
          </w:p>
        </w:tc>
        <w:tc>
          <w:tcPr>
            <w:tcW w:w="606" w:type="dxa"/>
            <w:vAlign w:val="center"/>
          </w:tcPr>
          <w:p w14:paraId="7495CB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9.7</w:t>
            </w:r>
          </w:p>
        </w:tc>
        <w:tc>
          <w:tcPr>
            <w:tcW w:w="600" w:type="dxa"/>
            <w:vAlign w:val="center"/>
          </w:tcPr>
          <w:p w14:paraId="003ADC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0.8</w:t>
            </w:r>
          </w:p>
        </w:tc>
        <w:tc>
          <w:tcPr>
            <w:tcW w:w="607" w:type="dxa"/>
            <w:vAlign w:val="center"/>
          </w:tcPr>
          <w:p w14:paraId="736B95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-7.2</w:t>
            </w:r>
          </w:p>
        </w:tc>
        <w:tc>
          <w:tcPr>
            <w:tcW w:w="694" w:type="dxa"/>
            <w:vAlign w:val="center"/>
          </w:tcPr>
          <w:p w14:paraId="75DDFA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9.5</w:t>
            </w:r>
          </w:p>
        </w:tc>
      </w:tr>
      <w:tr w14:paraId="5CEB1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9" w:type="dxa"/>
            <w:vAlign w:val="center"/>
          </w:tcPr>
          <w:p w14:paraId="2A9FF833">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rPr>
              <w:t>平均相对湿度%</w:t>
            </w:r>
          </w:p>
        </w:tc>
        <w:tc>
          <w:tcPr>
            <w:tcW w:w="600" w:type="dxa"/>
            <w:vAlign w:val="center"/>
          </w:tcPr>
          <w:p w14:paraId="1E83FC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54.8</w:t>
            </w:r>
          </w:p>
        </w:tc>
        <w:tc>
          <w:tcPr>
            <w:tcW w:w="606" w:type="dxa"/>
            <w:vAlign w:val="center"/>
          </w:tcPr>
          <w:p w14:paraId="76778F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46.0</w:t>
            </w:r>
          </w:p>
        </w:tc>
        <w:tc>
          <w:tcPr>
            <w:tcW w:w="606" w:type="dxa"/>
            <w:vAlign w:val="center"/>
          </w:tcPr>
          <w:p w14:paraId="1B0EBC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37.5</w:t>
            </w:r>
          </w:p>
        </w:tc>
        <w:tc>
          <w:tcPr>
            <w:tcW w:w="606" w:type="dxa"/>
            <w:vAlign w:val="center"/>
          </w:tcPr>
          <w:p w14:paraId="61C7B1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vertAlign w:val="baseline"/>
                <w:lang w:val="en-US" w:eastAsia="zh-CN" w:bidi="ar-SA"/>
              </w:rPr>
            </w:pPr>
            <w:r>
              <w:rPr>
                <w:rFonts w:hint="default" w:ascii="Times New Roman" w:hAnsi="Times New Roman" w:eastAsia="宋体" w:cs="Times New Roman"/>
                <w:color w:val="FF0000"/>
                <w:kern w:val="2"/>
                <w:sz w:val="21"/>
                <w:szCs w:val="21"/>
                <w:highlight w:val="none"/>
                <w:vertAlign w:val="baseline"/>
                <w:lang w:val="en-US" w:eastAsia="zh-CN" w:bidi="ar-SA"/>
              </w:rPr>
              <w:t>32.5</w:t>
            </w:r>
          </w:p>
        </w:tc>
        <w:tc>
          <w:tcPr>
            <w:tcW w:w="606" w:type="dxa"/>
            <w:vAlign w:val="center"/>
          </w:tcPr>
          <w:p w14:paraId="1D8C0B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32.0</w:t>
            </w:r>
          </w:p>
        </w:tc>
        <w:tc>
          <w:tcPr>
            <w:tcW w:w="606" w:type="dxa"/>
            <w:vAlign w:val="center"/>
          </w:tcPr>
          <w:p w14:paraId="23B966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39.5</w:t>
            </w:r>
          </w:p>
        </w:tc>
        <w:tc>
          <w:tcPr>
            <w:tcW w:w="606" w:type="dxa"/>
            <w:vAlign w:val="center"/>
          </w:tcPr>
          <w:p w14:paraId="5702DB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49.2</w:t>
            </w:r>
          </w:p>
        </w:tc>
        <w:tc>
          <w:tcPr>
            <w:tcW w:w="606" w:type="dxa"/>
            <w:vAlign w:val="center"/>
          </w:tcPr>
          <w:p w14:paraId="1EA1F5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53.5</w:t>
            </w:r>
          </w:p>
        </w:tc>
        <w:tc>
          <w:tcPr>
            <w:tcW w:w="606" w:type="dxa"/>
            <w:vAlign w:val="center"/>
          </w:tcPr>
          <w:p w14:paraId="28C7A3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52.1</w:t>
            </w:r>
          </w:p>
        </w:tc>
        <w:tc>
          <w:tcPr>
            <w:tcW w:w="606" w:type="dxa"/>
            <w:vAlign w:val="center"/>
          </w:tcPr>
          <w:p w14:paraId="664E29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rPr>
            </w:pPr>
            <w:r>
              <w:rPr>
                <w:rFonts w:hint="default" w:ascii="Times New Roman" w:hAnsi="Times New Roman" w:eastAsia="宋体" w:cs="Times New Roman"/>
                <w:color w:val="FF0000"/>
                <w:sz w:val="21"/>
                <w:szCs w:val="21"/>
                <w:highlight w:val="none"/>
                <w:vertAlign w:val="baseline"/>
                <w:lang w:val="en-US" w:eastAsia="zh-CN"/>
              </w:rPr>
              <w:t>48.0</w:t>
            </w:r>
          </w:p>
        </w:tc>
        <w:tc>
          <w:tcPr>
            <w:tcW w:w="600" w:type="dxa"/>
            <w:vAlign w:val="center"/>
          </w:tcPr>
          <w:p w14:paraId="645FEB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51.9</w:t>
            </w:r>
          </w:p>
        </w:tc>
        <w:tc>
          <w:tcPr>
            <w:tcW w:w="607" w:type="dxa"/>
            <w:vAlign w:val="center"/>
          </w:tcPr>
          <w:p w14:paraId="2F2E84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52.0</w:t>
            </w:r>
          </w:p>
        </w:tc>
        <w:tc>
          <w:tcPr>
            <w:tcW w:w="694" w:type="dxa"/>
            <w:vAlign w:val="center"/>
          </w:tcPr>
          <w:p w14:paraId="081B09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45.7</w:t>
            </w:r>
          </w:p>
        </w:tc>
      </w:tr>
      <w:tr w14:paraId="6F4B6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9" w:type="dxa"/>
            <w:vAlign w:val="center"/>
          </w:tcPr>
          <w:p w14:paraId="7A3CAAC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rPr>
              <w:t>降水量mm</w:t>
            </w:r>
          </w:p>
        </w:tc>
        <w:tc>
          <w:tcPr>
            <w:tcW w:w="600" w:type="dxa"/>
            <w:vAlign w:val="center"/>
          </w:tcPr>
          <w:p w14:paraId="70B5B9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vertAlign w:val="baseline"/>
                <w:lang w:val="en-US" w:eastAsia="zh-CN" w:bidi="ar-SA"/>
              </w:rPr>
            </w:pPr>
            <w:r>
              <w:rPr>
                <w:rFonts w:hint="default" w:ascii="Times New Roman" w:hAnsi="Times New Roman" w:eastAsia="宋体" w:cs="Times New Roman"/>
                <w:color w:val="FF0000"/>
                <w:kern w:val="2"/>
                <w:sz w:val="21"/>
                <w:szCs w:val="21"/>
                <w:highlight w:val="none"/>
                <w:vertAlign w:val="baseline"/>
                <w:lang w:val="en-US" w:eastAsia="zh-CN" w:bidi="ar-SA"/>
              </w:rPr>
              <w:t>1.4</w:t>
            </w:r>
          </w:p>
        </w:tc>
        <w:tc>
          <w:tcPr>
            <w:tcW w:w="606" w:type="dxa"/>
            <w:vAlign w:val="center"/>
          </w:tcPr>
          <w:p w14:paraId="1686D8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vertAlign w:val="baseline"/>
                <w:lang w:val="en-US" w:eastAsia="zh-CN" w:bidi="ar-SA"/>
              </w:rPr>
            </w:pPr>
            <w:r>
              <w:rPr>
                <w:rFonts w:hint="default" w:ascii="Times New Roman" w:hAnsi="Times New Roman" w:eastAsia="宋体" w:cs="Times New Roman"/>
                <w:color w:val="FF0000"/>
                <w:kern w:val="2"/>
                <w:sz w:val="21"/>
                <w:szCs w:val="21"/>
                <w:highlight w:val="none"/>
                <w:vertAlign w:val="baseline"/>
                <w:lang w:val="en-US" w:eastAsia="zh-CN" w:bidi="ar-SA"/>
              </w:rPr>
              <w:t>2.8</w:t>
            </w:r>
          </w:p>
        </w:tc>
        <w:tc>
          <w:tcPr>
            <w:tcW w:w="606" w:type="dxa"/>
            <w:vAlign w:val="center"/>
          </w:tcPr>
          <w:p w14:paraId="703228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3.7</w:t>
            </w:r>
          </w:p>
        </w:tc>
        <w:tc>
          <w:tcPr>
            <w:tcW w:w="606" w:type="dxa"/>
            <w:vAlign w:val="center"/>
          </w:tcPr>
          <w:p w14:paraId="1AF469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vertAlign w:val="baseline"/>
                <w:lang w:val="en-US" w:eastAsia="zh-CN" w:bidi="ar-SA"/>
              </w:rPr>
            </w:pPr>
            <w:r>
              <w:rPr>
                <w:rFonts w:hint="default" w:ascii="Times New Roman" w:hAnsi="Times New Roman" w:eastAsia="宋体" w:cs="Times New Roman"/>
                <w:color w:val="FF0000"/>
                <w:kern w:val="2"/>
                <w:sz w:val="21"/>
                <w:szCs w:val="21"/>
                <w:highlight w:val="none"/>
                <w:vertAlign w:val="baseline"/>
                <w:lang w:val="en-US" w:eastAsia="zh-CN" w:bidi="ar-SA"/>
              </w:rPr>
              <w:t>8.1</w:t>
            </w:r>
          </w:p>
        </w:tc>
        <w:tc>
          <w:tcPr>
            <w:tcW w:w="606" w:type="dxa"/>
            <w:vAlign w:val="center"/>
          </w:tcPr>
          <w:p w14:paraId="0C9F93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18.1</w:t>
            </w:r>
          </w:p>
        </w:tc>
        <w:tc>
          <w:tcPr>
            <w:tcW w:w="606" w:type="dxa"/>
            <w:vAlign w:val="center"/>
          </w:tcPr>
          <w:p w14:paraId="4D0A4F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28.9</w:t>
            </w:r>
          </w:p>
        </w:tc>
        <w:tc>
          <w:tcPr>
            <w:tcW w:w="606" w:type="dxa"/>
            <w:vAlign w:val="center"/>
          </w:tcPr>
          <w:p w14:paraId="17D2CA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56.4</w:t>
            </w:r>
          </w:p>
        </w:tc>
        <w:tc>
          <w:tcPr>
            <w:tcW w:w="606" w:type="dxa"/>
            <w:vAlign w:val="center"/>
          </w:tcPr>
          <w:p w14:paraId="479290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54.0</w:t>
            </w:r>
          </w:p>
        </w:tc>
        <w:tc>
          <w:tcPr>
            <w:tcW w:w="606" w:type="dxa"/>
            <w:vAlign w:val="center"/>
          </w:tcPr>
          <w:p w14:paraId="737A93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36.6</w:t>
            </w:r>
          </w:p>
        </w:tc>
        <w:tc>
          <w:tcPr>
            <w:tcW w:w="606" w:type="dxa"/>
            <w:vAlign w:val="center"/>
          </w:tcPr>
          <w:p w14:paraId="7BB3EF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9.7</w:t>
            </w:r>
          </w:p>
        </w:tc>
        <w:tc>
          <w:tcPr>
            <w:tcW w:w="600" w:type="dxa"/>
            <w:vAlign w:val="center"/>
          </w:tcPr>
          <w:p w14:paraId="251BE1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6.2</w:t>
            </w:r>
          </w:p>
        </w:tc>
        <w:tc>
          <w:tcPr>
            <w:tcW w:w="607" w:type="dxa"/>
            <w:vAlign w:val="center"/>
          </w:tcPr>
          <w:p w14:paraId="17EE97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1.3</w:t>
            </w:r>
          </w:p>
        </w:tc>
        <w:tc>
          <w:tcPr>
            <w:tcW w:w="694" w:type="dxa"/>
            <w:vAlign w:val="center"/>
          </w:tcPr>
          <w:p w14:paraId="7DFDB1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226.4</w:t>
            </w:r>
          </w:p>
        </w:tc>
      </w:tr>
      <w:tr w14:paraId="034C4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9" w:type="dxa"/>
            <w:vAlign w:val="center"/>
          </w:tcPr>
          <w:p w14:paraId="14B0578A">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rPr>
              <w:t>日照时数h</w:t>
            </w:r>
          </w:p>
        </w:tc>
        <w:tc>
          <w:tcPr>
            <w:tcW w:w="600" w:type="dxa"/>
            <w:vAlign w:val="center"/>
          </w:tcPr>
          <w:p w14:paraId="64942F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211.8</w:t>
            </w:r>
          </w:p>
        </w:tc>
        <w:tc>
          <w:tcPr>
            <w:tcW w:w="606" w:type="dxa"/>
            <w:vAlign w:val="center"/>
          </w:tcPr>
          <w:p w14:paraId="2B705C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224.6</w:t>
            </w:r>
          </w:p>
        </w:tc>
        <w:tc>
          <w:tcPr>
            <w:tcW w:w="606" w:type="dxa"/>
            <w:vAlign w:val="center"/>
          </w:tcPr>
          <w:p w14:paraId="75C780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260.7</w:t>
            </w:r>
          </w:p>
        </w:tc>
        <w:tc>
          <w:tcPr>
            <w:tcW w:w="606" w:type="dxa"/>
            <w:vAlign w:val="center"/>
          </w:tcPr>
          <w:p w14:paraId="0105A2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vertAlign w:val="baseline"/>
                <w:lang w:val="en-US" w:eastAsia="zh-CN" w:bidi="ar-SA"/>
              </w:rPr>
            </w:pPr>
            <w:r>
              <w:rPr>
                <w:rFonts w:hint="default" w:ascii="Times New Roman" w:hAnsi="Times New Roman" w:eastAsia="宋体" w:cs="Times New Roman"/>
                <w:color w:val="FF0000"/>
                <w:kern w:val="2"/>
                <w:sz w:val="21"/>
                <w:szCs w:val="21"/>
                <w:highlight w:val="none"/>
                <w:vertAlign w:val="baseline"/>
                <w:lang w:val="en-US" w:eastAsia="zh-CN" w:bidi="ar-SA"/>
              </w:rPr>
              <w:t>287.3</w:t>
            </w:r>
          </w:p>
        </w:tc>
        <w:tc>
          <w:tcPr>
            <w:tcW w:w="606" w:type="dxa"/>
            <w:vAlign w:val="center"/>
          </w:tcPr>
          <w:p w14:paraId="2EE8C5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310.6</w:t>
            </w:r>
          </w:p>
        </w:tc>
        <w:tc>
          <w:tcPr>
            <w:tcW w:w="606" w:type="dxa"/>
            <w:vAlign w:val="center"/>
          </w:tcPr>
          <w:p w14:paraId="242793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302.9</w:t>
            </w:r>
          </w:p>
        </w:tc>
        <w:tc>
          <w:tcPr>
            <w:tcW w:w="606" w:type="dxa"/>
            <w:vAlign w:val="center"/>
          </w:tcPr>
          <w:p w14:paraId="16322B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303.6</w:t>
            </w:r>
          </w:p>
        </w:tc>
        <w:tc>
          <w:tcPr>
            <w:tcW w:w="606" w:type="dxa"/>
            <w:vAlign w:val="center"/>
          </w:tcPr>
          <w:p w14:paraId="71D7EF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287.2</w:t>
            </w:r>
          </w:p>
        </w:tc>
        <w:tc>
          <w:tcPr>
            <w:tcW w:w="606" w:type="dxa"/>
            <w:vAlign w:val="center"/>
          </w:tcPr>
          <w:p w14:paraId="6B115E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256.1</w:t>
            </w:r>
          </w:p>
        </w:tc>
        <w:tc>
          <w:tcPr>
            <w:tcW w:w="606" w:type="dxa"/>
            <w:vAlign w:val="center"/>
          </w:tcPr>
          <w:p w14:paraId="28B801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257.5</w:t>
            </w:r>
          </w:p>
        </w:tc>
        <w:tc>
          <w:tcPr>
            <w:tcW w:w="600" w:type="dxa"/>
            <w:vAlign w:val="center"/>
          </w:tcPr>
          <w:p w14:paraId="59220B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211.0</w:t>
            </w:r>
          </w:p>
        </w:tc>
        <w:tc>
          <w:tcPr>
            <w:tcW w:w="607" w:type="dxa"/>
            <w:vAlign w:val="center"/>
          </w:tcPr>
          <w:p w14:paraId="0ACF0C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207.2</w:t>
            </w:r>
          </w:p>
        </w:tc>
        <w:tc>
          <w:tcPr>
            <w:tcW w:w="694" w:type="dxa"/>
            <w:vAlign w:val="center"/>
          </w:tcPr>
          <w:p w14:paraId="7A8C1C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3120.6</w:t>
            </w:r>
          </w:p>
        </w:tc>
      </w:tr>
    </w:tbl>
    <w:p w14:paraId="0AF17866">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outlineLvl w:val="2"/>
        <w:rPr>
          <w:rFonts w:hint="default" w:ascii="Times New Roman" w:hAnsi="Times New Roman" w:eastAsia="宋体" w:cs="Times New Roman"/>
          <w:color w:val="FF0000"/>
          <w:highlight w:val="none"/>
          <w:lang w:val="en-US" w:eastAsia="zh-CN"/>
        </w:rPr>
      </w:pPr>
      <w:bookmarkStart w:id="406" w:name="_Toc12388"/>
      <w:bookmarkStart w:id="407" w:name="_Toc10947"/>
      <w:r>
        <w:rPr>
          <w:rFonts w:hint="default" w:ascii="Times New Roman" w:hAnsi="Times New Roman" w:eastAsia="宋体" w:cs="Times New Roman"/>
          <w:color w:val="FF0000"/>
          <w:highlight w:val="none"/>
          <w:lang w:val="en-US" w:eastAsia="zh-CN"/>
        </w:rPr>
        <w:t>（3）</w:t>
      </w:r>
      <w:r>
        <w:rPr>
          <w:rFonts w:hint="default" w:ascii="Times New Roman" w:hAnsi="Times New Roman" w:eastAsia="宋体" w:cs="Times New Roman"/>
          <w:color w:val="FF0000"/>
          <w:highlight w:val="none"/>
          <w:lang w:val="en-US" w:eastAsia="zh-CN"/>
        </w:rPr>
        <w:t>气象站近20年风向、风频观测数据统计</w:t>
      </w:r>
      <w:bookmarkEnd w:id="406"/>
      <w:bookmarkEnd w:id="407"/>
    </w:p>
    <w:p w14:paraId="12139752">
      <w:pPr>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乌拉特前旗气象站近20年主要风向为SSE，占到全年14.7%左右。近20年资料分析的风向玫瑰图如图</w:t>
      </w:r>
      <w:r>
        <w:rPr>
          <w:rFonts w:hint="default" w:ascii="Times New Roman" w:hAnsi="Times New Roman" w:eastAsia="宋体" w:cs="Times New Roman"/>
          <w:color w:val="FF0000"/>
          <w:sz w:val="24"/>
          <w:szCs w:val="24"/>
          <w:highlight w:val="none"/>
          <w:lang w:val="en-US" w:eastAsia="zh-CN"/>
        </w:rPr>
        <w:t>5.2-</w:t>
      </w:r>
      <w:r>
        <w:rPr>
          <w:rFonts w:hint="default" w:ascii="Times New Roman" w:hAnsi="Times New Roman" w:eastAsia="宋体" w:cs="Times New Roman"/>
          <w:color w:val="FF0000"/>
          <w:sz w:val="24"/>
          <w:szCs w:val="24"/>
          <w:highlight w:val="none"/>
        </w:rPr>
        <w:t>1，月风向玫瑰见图</w:t>
      </w:r>
      <w:r>
        <w:rPr>
          <w:rFonts w:hint="default" w:ascii="Times New Roman" w:hAnsi="Times New Roman" w:eastAsia="宋体" w:cs="Times New Roman"/>
          <w:color w:val="FF0000"/>
          <w:sz w:val="24"/>
          <w:szCs w:val="24"/>
          <w:highlight w:val="none"/>
          <w:lang w:val="en-US" w:eastAsia="zh-CN"/>
        </w:rPr>
        <w:t>5.2</w:t>
      </w:r>
      <w:r>
        <w:rPr>
          <w:rFonts w:hint="default" w:ascii="Times New Roman" w:hAnsi="Times New Roman" w:eastAsia="宋体" w:cs="Times New Roman"/>
          <w:color w:val="FF0000"/>
          <w:sz w:val="24"/>
          <w:szCs w:val="24"/>
          <w:highlight w:val="none"/>
        </w:rPr>
        <w:t>-2，风向统计见表</w:t>
      </w:r>
      <w:r>
        <w:rPr>
          <w:rFonts w:hint="default" w:ascii="Times New Roman" w:hAnsi="Times New Roman" w:eastAsia="宋体" w:cs="Times New Roman"/>
          <w:color w:val="FF0000"/>
          <w:sz w:val="24"/>
          <w:szCs w:val="24"/>
          <w:highlight w:val="none"/>
          <w:lang w:val="en-US" w:eastAsia="zh-CN"/>
        </w:rPr>
        <w:t>5.2</w:t>
      </w:r>
      <w:r>
        <w:rPr>
          <w:rFonts w:hint="default" w:ascii="Times New Roman" w:hAnsi="Times New Roman" w:eastAsia="宋体" w:cs="Times New Roman"/>
          <w:color w:val="FF0000"/>
          <w:sz w:val="24"/>
          <w:szCs w:val="24"/>
          <w:highlight w:val="none"/>
        </w:rPr>
        <w:t>-4。</w:t>
      </w:r>
    </w:p>
    <w:p w14:paraId="1B6B471C">
      <w:pPr>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eastAsia="宋体" w:cs="Times New Roman"/>
          <w:b/>
          <w:bCs/>
          <w:color w:val="FF0000"/>
          <w:sz w:val="24"/>
          <w:szCs w:val="24"/>
          <w:highlight w:val="none"/>
        </w:rPr>
      </w:pPr>
      <w:r>
        <w:rPr>
          <w:rFonts w:hint="default" w:ascii="Times New Roman" w:hAnsi="Times New Roman" w:eastAsia="宋体" w:cs="Times New Roman"/>
          <w:b/>
          <w:bCs/>
          <w:color w:val="FF0000"/>
          <w:sz w:val="24"/>
          <w:szCs w:val="24"/>
          <w:highlight w:val="none"/>
        </w:rPr>
        <w:t>表</w:t>
      </w:r>
      <w:r>
        <w:rPr>
          <w:rFonts w:hint="default" w:ascii="Times New Roman" w:hAnsi="Times New Roman" w:eastAsia="宋体" w:cs="Times New Roman"/>
          <w:b/>
          <w:bCs/>
          <w:color w:val="FF0000"/>
          <w:sz w:val="24"/>
          <w:szCs w:val="24"/>
          <w:highlight w:val="none"/>
          <w:lang w:val="en-US" w:eastAsia="zh-CN"/>
        </w:rPr>
        <w:t>5.2-4</w:t>
      </w:r>
      <w:r>
        <w:rPr>
          <w:rFonts w:hint="default" w:ascii="Times New Roman" w:hAnsi="Times New Roman" w:eastAsia="宋体" w:cs="Times New Roman"/>
          <w:b/>
          <w:bCs/>
          <w:color w:val="FF0000"/>
          <w:sz w:val="24"/>
          <w:szCs w:val="24"/>
          <w:highlight w:val="none"/>
        </w:rPr>
        <w:t>乌拉特前旗气象站近20年</w:t>
      </w:r>
      <w:r>
        <w:rPr>
          <w:rFonts w:hint="default" w:ascii="Times New Roman" w:hAnsi="Times New Roman" w:eastAsia="宋体" w:cs="Times New Roman"/>
          <w:b/>
          <w:bCs/>
          <w:color w:val="FF0000"/>
          <w:sz w:val="24"/>
          <w:szCs w:val="24"/>
          <w:highlight w:val="none"/>
          <w:lang w:eastAsia="zh-CN"/>
        </w:rPr>
        <w:t>（</w:t>
      </w:r>
      <w:r>
        <w:rPr>
          <w:rFonts w:hint="default" w:ascii="Times New Roman" w:hAnsi="Times New Roman" w:eastAsia="宋体" w:cs="Times New Roman"/>
          <w:b/>
          <w:bCs/>
          <w:color w:val="FF0000"/>
          <w:sz w:val="24"/>
          <w:szCs w:val="24"/>
          <w:highlight w:val="none"/>
        </w:rPr>
        <w:t>2003-2022</w:t>
      </w:r>
      <w:r>
        <w:rPr>
          <w:rFonts w:hint="default" w:ascii="Times New Roman" w:hAnsi="Times New Roman" w:eastAsia="宋体" w:cs="Times New Roman"/>
          <w:b/>
          <w:bCs/>
          <w:color w:val="FF0000"/>
          <w:sz w:val="24"/>
          <w:szCs w:val="24"/>
          <w:highlight w:val="none"/>
          <w:lang w:eastAsia="zh-CN"/>
        </w:rPr>
        <w:t>）</w:t>
      </w:r>
      <w:r>
        <w:rPr>
          <w:rFonts w:hint="default" w:ascii="Times New Roman" w:hAnsi="Times New Roman" w:eastAsia="宋体" w:cs="Times New Roman"/>
          <w:b/>
          <w:bCs/>
          <w:color w:val="FF0000"/>
          <w:sz w:val="24"/>
          <w:szCs w:val="24"/>
          <w:highlight w:val="none"/>
        </w:rPr>
        <w:t>风向频率统计表</w:t>
      </w:r>
    </w:p>
    <w:tbl>
      <w:tblPr>
        <w:tblStyle w:val="41"/>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6"/>
        <w:gridCol w:w="400"/>
        <w:gridCol w:w="520"/>
        <w:gridCol w:w="413"/>
        <w:gridCol w:w="503"/>
        <w:gridCol w:w="401"/>
        <w:gridCol w:w="479"/>
        <w:gridCol w:w="475"/>
        <w:gridCol w:w="475"/>
        <w:gridCol w:w="401"/>
        <w:gridCol w:w="520"/>
        <w:gridCol w:w="437"/>
        <w:gridCol w:w="577"/>
        <w:gridCol w:w="401"/>
        <w:gridCol w:w="602"/>
        <w:gridCol w:w="462"/>
        <w:gridCol w:w="569"/>
        <w:gridCol w:w="401"/>
      </w:tblGrid>
      <w:tr w14:paraId="2F749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7" w:type="dxa"/>
            <w:vAlign w:val="center"/>
          </w:tcPr>
          <w:p w14:paraId="4F3BB3FC">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风向</w:t>
            </w:r>
          </w:p>
        </w:tc>
        <w:tc>
          <w:tcPr>
            <w:tcW w:w="401" w:type="dxa"/>
            <w:vAlign w:val="center"/>
          </w:tcPr>
          <w:p w14:paraId="7FD7FF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N</w:t>
            </w:r>
          </w:p>
        </w:tc>
        <w:tc>
          <w:tcPr>
            <w:tcW w:w="520" w:type="dxa"/>
            <w:vAlign w:val="center"/>
          </w:tcPr>
          <w:p w14:paraId="654F09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NNE</w:t>
            </w:r>
          </w:p>
        </w:tc>
        <w:tc>
          <w:tcPr>
            <w:tcW w:w="413" w:type="dxa"/>
            <w:vAlign w:val="center"/>
          </w:tcPr>
          <w:p w14:paraId="14335E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NE</w:t>
            </w:r>
          </w:p>
        </w:tc>
        <w:tc>
          <w:tcPr>
            <w:tcW w:w="504" w:type="dxa"/>
            <w:vAlign w:val="center"/>
          </w:tcPr>
          <w:p w14:paraId="640778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vertAlign w:val="baseline"/>
                <w:lang w:val="en-US" w:eastAsia="zh-CN" w:bidi="ar-SA"/>
              </w:rPr>
            </w:pPr>
            <w:r>
              <w:rPr>
                <w:rFonts w:hint="default" w:ascii="Times New Roman" w:hAnsi="Times New Roman" w:eastAsia="宋体" w:cs="Times New Roman"/>
                <w:color w:val="FF0000"/>
                <w:sz w:val="21"/>
                <w:szCs w:val="21"/>
                <w:highlight w:val="none"/>
                <w:vertAlign w:val="baseline"/>
                <w:lang w:val="en-US" w:eastAsia="zh-CN"/>
              </w:rPr>
              <w:t>ENE</w:t>
            </w:r>
          </w:p>
        </w:tc>
        <w:tc>
          <w:tcPr>
            <w:tcW w:w="401" w:type="dxa"/>
            <w:vAlign w:val="center"/>
          </w:tcPr>
          <w:p w14:paraId="385C4E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E</w:t>
            </w:r>
          </w:p>
        </w:tc>
        <w:tc>
          <w:tcPr>
            <w:tcW w:w="479" w:type="dxa"/>
            <w:vAlign w:val="center"/>
          </w:tcPr>
          <w:p w14:paraId="1E7B45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ESE</w:t>
            </w:r>
          </w:p>
        </w:tc>
        <w:tc>
          <w:tcPr>
            <w:tcW w:w="475" w:type="dxa"/>
            <w:vAlign w:val="center"/>
          </w:tcPr>
          <w:p w14:paraId="4B029A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SE</w:t>
            </w:r>
          </w:p>
        </w:tc>
        <w:tc>
          <w:tcPr>
            <w:tcW w:w="475" w:type="dxa"/>
            <w:vAlign w:val="center"/>
          </w:tcPr>
          <w:p w14:paraId="3B3118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SSE</w:t>
            </w:r>
          </w:p>
        </w:tc>
        <w:tc>
          <w:tcPr>
            <w:tcW w:w="401" w:type="dxa"/>
            <w:vAlign w:val="center"/>
          </w:tcPr>
          <w:p w14:paraId="006894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S</w:t>
            </w:r>
          </w:p>
        </w:tc>
        <w:tc>
          <w:tcPr>
            <w:tcW w:w="520" w:type="dxa"/>
            <w:vAlign w:val="center"/>
          </w:tcPr>
          <w:p w14:paraId="18E7B1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SSW</w:t>
            </w:r>
          </w:p>
        </w:tc>
        <w:tc>
          <w:tcPr>
            <w:tcW w:w="438" w:type="dxa"/>
            <w:vAlign w:val="center"/>
          </w:tcPr>
          <w:p w14:paraId="04EAE6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SW</w:t>
            </w:r>
          </w:p>
        </w:tc>
        <w:tc>
          <w:tcPr>
            <w:tcW w:w="578" w:type="dxa"/>
            <w:vAlign w:val="center"/>
          </w:tcPr>
          <w:p w14:paraId="5058B7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WSW</w:t>
            </w:r>
          </w:p>
        </w:tc>
        <w:tc>
          <w:tcPr>
            <w:tcW w:w="401" w:type="dxa"/>
            <w:vAlign w:val="center"/>
          </w:tcPr>
          <w:p w14:paraId="3F80DA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W</w:t>
            </w:r>
          </w:p>
        </w:tc>
        <w:tc>
          <w:tcPr>
            <w:tcW w:w="602" w:type="dxa"/>
            <w:vAlign w:val="center"/>
          </w:tcPr>
          <w:p w14:paraId="611B6E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WNW</w:t>
            </w:r>
          </w:p>
        </w:tc>
        <w:tc>
          <w:tcPr>
            <w:tcW w:w="462" w:type="dxa"/>
            <w:vAlign w:val="center"/>
          </w:tcPr>
          <w:p w14:paraId="0EF52E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NW</w:t>
            </w:r>
          </w:p>
        </w:tc>
        <w:tc>
          <w:tcPr>
            <w:tcW w:w="569" w:type="dxa"/>
            <w:vAlign w:val="center"/>
          </w:tcPr>
          <w:p w14:paraId="24A9F4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NNW</w:t>
            </w:r>
          </w:p>
        </w:tc>
        <w:tc>
          <w:tcPr>
            <w:tcW w:w="402" w:type="dxa"/>
            <w:vAlign w:val="center"/>
          </w:tcPr>
          <w:p w14:paraId="7D1A4D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C</w:t>
            </w:r>
          </w:p>
        </w:tc>
      </w:tr>
      <w:tr w14:paraId="79A547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7" w:type="dxa"/>
            <w:vAlign w:val="center"/>
          </w:tcPr>
          <w:p w14:paraId="53DB09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频率%</w:t>
            </w:r>
          </w:p>
        </w:tc>
        <w:tc>
          <w:tcPr>
            <w:tcW w:w="401" w:type="dxa"/>
            <w:vAlign w:val="center"/>
          </w:tcPr>
          <w:p w14:paraId="1BC7D1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6.6</w:t>
            </w:r>
          </w:p>
        </w:tc>
        <w:tc>
          <w:tcPr>
            <w:tcW w:w="520" w:type="dxa"/>
            <w:vAlign w:val="center"/>
          </w:tcPr>
          <w:p w14:paraId="33CDF4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5.7</w:t>
            </w:r>
          </w:p>
        </w:tc>
        <w:tc>
          <w:tcPr>
            <w:tcW w:w="413" w:type="dxa"/>
            <w:vAlign w:val="center"/>
          </w:tcPr>
          <w:p w14:paraId="2B5BF5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6.3</w:t>
            </w:r>
          </w:p>
        </w:tc>
        <w:tc>
          <w:tcPr>
            <w:tcW w:w="504" w:type="dxa"/>
            <w:vAlign w:val="center"/>
          </w:tcPr>
          <w:p w14:paraId="621E0A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highlight w:val="none"/>
                <w:vertAlign w:val="baseline"/>
                <w:lang w:val="en-US" w:eastAsia="zh-CN" w:bidi="ar-SA"/>
              </w:rPr>
            </w:pPr>
            <w:r>
              <w:rPr>
                <w:rFonts w:hint="default" w:ascii="Times New Roman" w:hAnsi="Times New Roman" w:eastAsia="宋体" w:cs="Times New Roman"/>
                <w:color w:val="FF0000"/>
                <w:kern w:val="2"/>
                <w:sz w:val="21"/>
                <w:szCs w:val="21"/>
                <w:highlight w:val="none"/>
                <w:vertAlign w:val="baseline"/>
                <w:lang w:val="en-US" w:eastAsia="zh-CN" w:bidi="ar-SA"/>
              </w:rPr>
              <w:t>4.2</w:t>
            </w:r>
          </w:p>
        </w:tc>
        <w:tc>
          <w:tcPr>
            <w:tcW w:w="401" w:type="dxa"/>
            <w:vAlign w:val="center"/>
          </w:tcPr>
          <w:p w14:paraId="72B3DA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2.0</w:t>
            </w:r>
          </w:p>
        </w:tc>
        <w:tc>
          <w:tcPr>
            <w:tcW w:w="479" w:type="dxa"/>
            <w:vAlign w:val="center"/>
          </w:tcPr>
          <w:p w14:paraId="06FCA7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3.0</w:t>
            </w:r>
          </w:p>
        </w:tc>
        <w:tc>
          <w:tcPr>
            <w:tcW w:w="475" w:type="dxa"/>
            <w:vAlign w:val="center"/>
          </w:tcPr>
          <w:p w14:paraId="381688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12.7</w:t>
            </w:r>
          </w:p>
        </w:tc>
        <w:tc>
          <w:tcPr>
            <w:tcW w:w="475" w:type="dxa"/>
            <w:vAlign w:val="center"/>
          </w:tcPr>
          <w:p w14:paraId="5F4BD7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14.7</w:t>
            </w:r>
          </w:p>
        </w:tc>
        <w:tc>
          <w:tcPr>
            <w:tcW w:w="401" w:type="dxa"/>
            <w:vAlign w:val="center"/>
          </w:tcPr>
          <w:p w14:paraId="035343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8.7</w:t>
            </w:r>
          </w:p>
        </w:tc>
        <w:tc>
          <w:tcPr>
            <w:tcW w:w="520" w:type="dxa"/>
            <w:vAlign w:val="center"/>
          </w:tcPr>
          <w:p w14:paraId="5F7AA4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3.4</w:t>
            </w:r>
          </w:p>
        </w:tc>
        <w:tc>
          <w:tcPr>
            <w:tcW w:w="438" w:type="dxa"/>
            <w:vAlign w:val="center"/>
          </w:tcPr>
          <w:p w14:paraId="139151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2.1</w:t>
            </w:r>
          </w:p>
        </w:tc>
        <w:tc>
          <w:tcPr>
            <w:tcW w:w="578" w:type="dxa"/>
            <w:vAlign w:val="center"/>
          </w:tcPr>
          <w:p w14:paraId="28D71E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1.8</w:t>
            </w:r>
          </w:p>
        </w:tc>
        <w:tc>
          <w:tcPr>
            <w:tcW w:w="401" w:type="dxa"/>
            <w:vAlign w:val="center"/>
          </w:tcPr>
          <w:p w14:paraId="7888D7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5.7</w:t>
            </w:r>
          </w:p>
        </w:tc>
        <w:tc>
          <w:tcPr>
            <w:tcW w:w="602" w:type="dxa"/>
            <w:vAlign w:val="center"/>
          </w:tcPr>
          <w:p w14:paraId="562633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6.1</w:t>
            </w:r>
          </w:p>
        </w:tc>
        <w:tc>
          <w:tcPr>
            <w:tcW w:w="462" w:type="dxa"/>
            <w:vAlign w:val="center"/>
          </w:tcPr>
          <w:p w14:paraId="51B244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4.6</w:t>
            </w:r>
          </w:p>
        </w:tc>
        <w:tc>
          <w:tcPr>
            <w:tcW w:w="569" w:type="dxa"/>
            <w:vAlign w:val="center"/>
          </w:tcPr>
          <w:p w14:paraId="3FD31C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5.4</w:t>
            </w:r>
          </w:p>
        </w:tc>
        <w:tc>
          <w:tcPr>
            <w:tcW w:w="402" w:type="dxa"/>
            <w:vAlign w:val="center"/>
          </w:tcPr>
          <w:p w14:paraId="5E6233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highlight w:val="none"/>
                <w:vertAlign w:val="baseline"/>
                <w:lang w:val="en-US" w:eastAsia="zh-CN"/>
              </w:rPr>
            </w:pPr>
            <w:r>
              <w:rPr>
                <w:rFonts w:hint="default" w:ascii="Times New Roman" w:hAnsi="Times New Roman" w:eastAsia="宋体" w:cs="Times New Roman"/>
                <w:color w:val="FF0000"/>
                <w:sz w:val="21"/>
                <w:szCs w:val="21"/>
                <w:highlight w:val="none"/>
                <w:vertAlign w:val="baseline"/>
                <w:lang w:val="en-US" w:eastAsia="zh-CN"/>
              </w:rPr>
              <w:t>7.3</w:t>
            </w:r>
          </w:p>
        </w:tc>
      </w:tr>
    </w:tbl>
    <w:p w14:paraId="6EA9E398">
      <w:pPr>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B0F0"/>
          <w:sz w:val="24"/>
          <w:szCs w:val="24"/>
          <w:highlight w:val="none"/>
        </w:rPr>
      </w:pPr>
    </w:p>
    <w:p w14:paraId="43510B09">
      <w:pPr>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00B0F0"/>
          <w:sz w:val="24"/>
          <w:szCs w:val="24"/>
          <w:highlight w:val="none"/>
        </w:rPr>
      </w:pPr>
    </w:p>
    <w:p w14:paraId="555E42E8">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FF0000"/>
          <w:sz w:val="24"/>
          <w:szCs w:val="24"/>
          <w:highlight w:val="none"/>
        </w:rPr>
      </w:pPr>
      <w:r>
        <w:rPr>
          <w:rFonts w:hint="default" w:ascii="Times New Roman" w:hAnsi="Times New Roman" w:eastAsia="宋体" w:cs="Times New Roman"/>
          <w:b/>
          <w:bCs/>
          <w:color w:val="FF0000"/>
          <w:sz w:val="24"/>
          <w:szCs w:val="24"/>
          <w:highlight w:val="none"/>
        </w:rPr>
        <w:t>表</w:t>
      </w:r>
      <w:r>
        <w:rPr>
          <w:rFonts w:hint="default" w:ascii="Times New Roman" w:hAnsi="Times New Roman" w:eastAsia="宋体" w:cs="Times New Roman"/>
          <w:b/>
          <w:bCs/>
          <w:color w:val="FF0000"/>
          <w:sz w:val="24"/>
          <w:szCs w:val="24"/>
          <w:highlight w:val="none"/>
          <w:lang w:val="en-US" w:eastAsia="zh-CN"/>
        </w:rPr>
        <w:t>5.2</w:t>
      </w:r>
      <w:r>
        <w:rPr>
          <w:rFonts w:hint="default" w:ascii="Times New Roman" w:hAnsi="Times New Roman" w:eastAsia="宋体" w:cs="Times New Roman"/>
          <w:b/>
          <w:bCs/>
          <w:color w:val="FF0000"/>
          <w:sz w:val="24"/>
          <w:szCs w:val="24"/>
          <w:highlight w:val="none"/>
        </w:rPr>
        <w:t>-5乌拉特前旗气象站近20年</w:t>
      </w:r>
      <w:r>
        <w:rPr>
          <w:rFonts w:hint="default" w:ascii="Times New Roman" w:hAnsi="Times New Roman" w:eastAsia="宋体" w:cs="Times New Roman"/>
          <w:b/>
          <w:bCs/>
          <w:color w:val="FF0000"/>
          <w:sz w:val="24"/>
          <w:szCs w:val="24"/>
          <w:highlight w:val="none"/>
          <w:lang w:eastAsia="zh-CN"/>
        </w:rPr>
        <w:t>（</w:t>
      </w:r>
      <w:r>
        <w:rPr>
          <w:rFonts w:hint="default" w:ascii="Times New Roman" w:hAnsi="Times New Roman" w:eastAsia="宋体" w:cs="Times New Roman"/>
          <w:b/>
          <w:bCs/>
          <w:color w:val="FF0000"/>
          <w:sz w:val="24"/>
          <w:szCs w:val="24"/>
          <w:highlight w:val="none"/>
        </w:rPr>
        <w:t>2003-2022</w:t>
      </w:r>
      <w:r>
        <w:rPr>
          <w:rFonts w:hint="default" w:ascii="Times New Roman" w:hAnsi="Times New Roman" w:eastAsia="宋体" w:cs="Times New Roman"/>
          <w:b/>
          <w:bCs/>
          <w:color w:val="FF0000"/>
          <w:sz w:val="24"/>
          <w:szCs w:val="24"/>
          <w:highlight w:val="none"/>
          <w:lang w:eastAsia="zh-CN"/>
        </w:rPr>
        <w:t>）</w:t>
      </w:r>
      <w:r>
        <w:rPr>
          <w:rFonts w:hint="default" w:ascii="Times New Roman" w:hAnsi="Times New Roman" w:eastAsia="宋体" w:cs="Times New Roman"/>
          <w:b/>
          <w:bCs/>
          <w:color w:val="FF0000"/>
          <w:sz w:val="24"/>
          <w:szCs w:val="24"/>
          <w:highlight w:val="none"/>
        </w:rPr>
        <w:t>月风向频率统计表</w:t>
      </w:r>
      <w:r>
        <w:rPr>
          <w:rFonts w:hint="default" w:ascii="Times New Roman" w:hAnsi="Times New Roman" w:eastAsia="宋体" w:cs="Times New Roman"/>
          <w:color w:val="00B0F0"/>
          <w:sz w:val="24"/>
          <w:szCs w:val="24"/>
          <w:highlight w:val="none"/>
          <w:lang w:eastAsia="zh-CN"/>
        </w:rPr>
        <w:drawing>
          <wp:inline distT="0" distB="0" distL="114300" distR="114300">
            <wp:extent cx="5255895" cy="1708785"/>
            <wp:effectExtent l="0" t="0" r="1905" b="5715"/>
            <wp:docPr id="159" name="图片 159" descr="170135381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1701353813803"/>
                    <pic:cNvPicPr>
                      <a:picLocks noChangeAspect="1"/>
                    </pic:cNvPicPr>
                  </pic:nvPicPr>
                  <pic:blipFill>
                    <a:blip r:embed="rId40"/>
                    <a:stretch>
                      <a:fillRect/>
                    </a:stretch>
                  </pic:blipFill>
                  <pic:spPr>
                    <a:xfrm>
                      <a:off x="0" y="0"/>
                      <a:ext cx="5255895" cy="1708785"/>
                    </a:xfrm>
                    <a:prstGeom prst="rect">
                      <a:avLst/>
                    </a:prstGeom>
                  </pic:spPr>
                </pic:pic>
              </a:graphicData>
            </a:graphic>
          </wp:inline>
        </w:drawing>
      </w:r>
    </w:p>
    <w:p w14:paraId="6167F864">
      <w:pPr>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B0F0"/>
          <w:sz w:val="24"/>
          <w:szCs w:val="24"/>
          <w:highlight w:val="none"/>
        </w:rPr>
      </w:pPr>
      <w:r>
        <w:rPr>
          <w:rFonts w:hint="default" w:ascii="Times New Roman" w:hAnsi="Times New Roman" w:eastAsia="宋体" w:cs="Times New Roman"/>
          <w:color w:val="00B0F0"/>
          <w:highlight w:val="none"/>
        </w:rPr>
        <w:drawing>
          <wp:inline distT="0" distB="0" distL="114300" distR="114300">
            <wp:extent cx="2520315" cy="2520315"/>
            <wp:effectExtent l="0" t="0" r="13335" b="13335"/>
            <wp:docPr id="15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1"/>
                    <pic:cNvPicPr>
                      <a:picLocks noChangeAspect="1"/>
                    </pic:cNvPicPr>
                  </pic:nvPicPr>
                  <pic:blipFill>
                    <a:blip r:embed="rId41"/>
                    <a:stretch>
                      <a:fillRect/>
                    </a:stretch>
                  </pic:blipFill>
                  <pic:spPr>
                    <a:xfrm>
                      <a:off x="0" y="0"/>
                      <a:ext cx="2520315" cy="2520315"/>
                    </a:xfrm>
                    <a:prstGeom prst="rect">
                      <a:avLst/>
                    </a:prstGeom>
                    <a:noFill/>
                    <a:ln>
                      <a:noFill/>
                    </a:ln>
                  </pic:spPr>
                </pic:pic>
              </a:graphicData>
            </a:graphic>
          </wp:inline>
        </w:drawing>
      </w:r>
    </w:p>
    <w:p w14:paraId="494BA3CF">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FF0000"/>
          <w:sz w:val="24"/>
          <w:szCs w:val="24"/>
          <w:highlight w:val="none"/>
        </w:rPr>
      </w:pPr>
      <w:r>
        <w:rPr>
          <w:rFonts w:hint="default" w:ascii="Times New Roman" w:hAnsi="Times New Roman" w:eastAsia="宋体" w:cs="Times New Roman"/>
          <w:b/>
          <w:bCs/>
          <w:color w:val="FF0000"/>
          <w:sz w:val="24"/>
          <w:szCs w:val="24"/>
          <w:highlight w:val="none"/>
        </w:rPr>
        <w:t>图</w:t>
      </w:r>
      <w:r>
        <w:rPr>
          <w:rFonts w:hint="default" w:ascii="Times New Roman" w:hAnsi="Times New Roman" w:eastAsia="宋体" w:cs="Times New Roman"/>
          <w:b/>
          <w:bCs/>
          <w:color w:val="FF0000"/>
          <w:sz w:val="24"/>
          <w:szCs w:val="24"/>
          <w:highlight w:val="none"/>
          <w:lang w:val="en-US" w:eastAsia="zh-CN"/>
        </w:rPr>
        <w:t>5.2</w:t>
      </w:r>
      <w:r>
        <w:rPr>
          <w:rFonts w:hint="default" w:ascii="Times New Roman" w:hAnsi="Times New Roman" w:eastAsia="宋体" w:cs="Times New Roman"/>
          <w:b/>
          <w:bCs/>
          <w:color w:val="FF0000"/>
          <w:sz w:val="24"/>
          <w:szCs w:val="24"/>
          <w:highlight w:val="none"/>
        </w:rPr>
        <w:t>-1乌拉特前旗气象站近20年</w:t>
      </w:r>
      <w:r>
        <w:rPr>
          <w:rFonts w:hint="default" w:ascii="Times New Roman" w:hAnsi="Times New Roman" w:eastAsia="宋体" w:cs="Times New Roman"/>
          <w:b/>
          <w:bCs/>
          <w:color w:val="FF0000"/>
          <w:sz w:val="24"/>
          <w:szCs w:val="24"/>
          <w:highlight w:val="none"/>
          <w:lang w:eastAsia="zh-CN"/>
        </w:rPr>
        <w:t>（</w:t>
      </w:r>
      <w:r>
        <w:rPr>
          <w:rFonts w:hint="default" w:ascii="Times New Roman" w:hAnsi="Times New Roman" w:eastAsia="宋体" w:cs="Times New Roman"/>
          <w:b/>
          <w:bCs/>
          <w:color w:val="FF0000"/>
          <w:sz w:val="24"/>
          <w:szCs w:val="24"/>
          <w:highlight w:val="none"/>
        </w:rPr>
        <w:t>2003-2022</w:t>
      </w:r>
      <w:r>
        <w:rPr>
          <w:rFonts w:hint="default" w:ascii="Times New Roman" w:hAnsi="Times New Roman" w:eastAsia="宋体" w:cs="Times New Roman"/>
          <w:b/>
          <w:bCs/>
          <w:color w:val="FF0000"/>
          <w:sz w:val="24"/>
          <w:szCs w:val="24"/>
          <w:highlight w:val="none"/>
          <w:lang w:eastAsia="zh-CN"/>
        </w:rPr>
        <w:t>）</w:t>
      </w:r>
      <w:r>
        <w:rPr>
          <w:rFonts w:hint="default" w:ascii="Times New Roman" w:hAnsi="Times New Roman" w:eastAsia="宋体" w:cs="Times New Roman"/>
          <w:b/>
          <w:bCs/>
          <w:color w:val="FF0000"/>
          <w:sz w:val="24"/>
          <w:szCs w:val="24"/>
          <w:highlight w:val="none"/>
        </w:rPr>
        <w:t>风向频率玫瑰图</w:t>
      </w:r>
    </w:p>
    <w:tbl>
      <w:tblPr>
        <w:tblStyle w:val="41"/>
        <w:tblW w:w="82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06"/>
        <w:gridCol w:w="4206"/>
      </w:tblGrid>
      <w:tr w14:paraId="79DE9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491" w:type="dxa"/>
            <w:vAlign w:val="center"/>
          </w:tcPr>
          <w:p w14:paraId="28ED31CC">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B0F0"/>
                <w:sz w:val="24"/>
                <w:szCs w:val="24"/>
                <w:highlight w:val="none"/>
                <w:vertAlign w:val="baseline"/>
              </w:rPr>
            </w:pPr>
            <w:r>
              <w:rPr>
                <w:rFonts w:hint="default" w:ascii="Times New Roman" w:hAnsi="Times New Roman" w:eastAsia="宋体" w:cs="Times New Roman"/>
                <w:color w:val="00B0F0"/>
                <w:highlight w:val="none"/>
              </w:rPr>
              <w:drawing>
                <wp:inline distT="0" distB="0" distL="114300" distR="114300">
                  <wp:extent cx="2520315" cy="2520315"/>
                  <wp:effectExtent l="0" t="0" r="13335" b="13335"/>
                  <wp:docPr id="10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2"/>
                          <pic:cNvPicPr>
                            <a:picLocks noChangeAspect="1"/>
                          </pic:cNvPicPr>
                        </pic:nvPicPr>
                        <pic:blipFill>
                          <a:blip r:embed="rId42"/>
                          <a:stretch>
                            <a:fillRect/>
                          </a:stretch>
                        </pic:blipFill>
                        <pic:spPr>
                          <a:xfrm>
                            <a:off x="0" y="0"/>
                            <a:ext cx="2520315" cy="2520315"/>
                          </a:xfrm>
                          <a:prstGeom prst="rect">
                            <a:avLst/>
                          </a:prstGeom>
                          <a:noFill/>
                          <a:ln>
                            <a:noFill/>
                          </a:ln>
                        </pic:spPr>
                      </pic:pic>
                    </a:graphicData>
                  </a:graphic>
                </wp:inline>
              </w:drawing>
            </w:r>
          </w:p>
        </w:tc>
        <w:tc>
          <w:tcPr>
            <w:tcW w:w="4037" w:type="dxa"/>
            <w:vAlign w:val="center"/>
          </w:tcPr>
          <w:p w14:paraId="0ABCFDE8">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B0F0"/>
                <w:sz w:val="24"/>
                <w:szCs w:val="24"/>
                <w:highlight w:val="none"/>
                <w:vertAlign w:val="baseline"/>
              </w:rPr>
            </w:pPr>
            <w:r>
              <w:rPr>
                <w:rFonts w:hint="default" w:ascii="Times New Roman" w:hAnsi="Times New Roman" w:eastAsia="宋体" w:cs="Times New Roman"/>
                <w:color w:val="00B0F0"/>
                <w:highlight w:val="none"/>
              </w:rPr>
              <w:drawing>
                <wp:inline distT="0" distB="0" distL="114300" distR="114300">
                  <wp:extent cx="2520315" cy="2520315"/>
                  <wp:effectExtent l="0" t="0" r="13335" b="13335"/>
                  <wp:docPr id="16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3"/>
                          <pic:cNvPicPr>
                            <a:picLocks noChangeAspect="1"/>
                          </pic:cNvPicPr>
                        </pic:nvPicPr>
                        <pic:blipFill>
                          <a:blip r:embed="rId43"/>
                          <a:stretch>
                            <a:fillRect/>
                          </a:stretch>
                        </pic:blipFill>
                        <pic:spPr>
                          <a:xfrm>
                            <a:off x="0" y="0"/>
                            <a:ext cx="2520315" cy="2520315"/>
                          </a:xfrm>
                          <a:prstGeom prst="rect">
                            <a:avLst/>
                          </a:prstGeom>
                          <a:noFill/>
                          <a:ln>
                            <a:noFill/>
                          </a:ln>
                        </pic:spPr>
                      </pic:pic>
                    </a:graphicData>
                  </a:graphic>
                </wp:inline>
              </w:drawing>
            </w:r>
          </w:p>
        </w:tc>
      </w:tr>
      <w:tr w14:paraId="4B5FE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491" w:type="dxa"/>
            <w:vAlign w:val="center"/>
          </w:tcPr>
          <w:p w14:paraId="00C2FC37">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B0F0"/>
                <w:sz w:val="24"/>
                <w:szCs w:val="24"/>
                <w:highlight w:val="none"/>
                <w:vertAlign w:val="baseline"/>
              </w:rPr>
            </w:pPr>
            <w:r>
              <w:rPr>
                <w:rFonts w:hint="default" w:ascii="Times New Roman" w:hAnsi="Times New Roman" w:eastAsia="宋体" w:cs="Times New Roman"/>
                <w:color w:val="00B0F0"/>
                <w:highlight w:val="none"/>
              </w:rPr>
              <w:drawing>
                <wp:inline distT="0" distB="0" distL="114300" distR="114300">
                  <wp:extent cx="2520315" cy="2520315"/>
                  <wp:effectExtent l="0" t="0" r="13335" b="13335"/>
                  <wp:docPr id="16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4"/>
                          <pic:cNvPicPr>
                            <a:picLocks noChangeAspect="1"/>
                          </pic:cNvPicPr>
                        </pic:nvPicPr>
                        <pic:blipFill>
                          <a:blip r:embed="rId44"/>
                          <a:stretch>
                            <a:fillRect/>
                          </a:stretch>
                        </pic:blipFill>
                        <pic:spPr>
                          <a:xfrm>
                            <a:off x="0" y="0"/>
                            <a:ext cx="2520315" cy="2520315"/>
                          </a:xfrm>
                          <a:prstGeom prst="rect">
                            <a:avLst/>
                          </a:prstGeom>
                          <a:noFill/>
                          <a:ln>
                            <a:noFill/>
                          </a:ln>
                        </pic:spPr>
                      </pic:pic>
                    </a:graphicData>
                  </a:graphic>
                </wp:inline>
              </w:drawing>
            </w:r>
          </w:p>
        </w:tc>
        <w:tc>
          <w:tcPr>
            <w:tcW w:w="4037" w:type="dxa"/>
            <w:vAlign w:val="center"/>
          </w:tcPr>
          <w:p w14:paraId="6470163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B0F0"/>
                <w:sz w:val="24"/>
                <w:szCs w:val="24"/>
                <w:highlight w:val="none"/>
                <w:vertAlign w:val="baseline"/>
              </w:rPr>
            </w:pPr>
            <w:r>
              <w:rPr>
                <w:rFonts w:hint="default" w:ascii="Times New Roman" w:hAnsi="Times New Roman" w:eastAsia="宋体" w:cs="Times New Roman"/>
                <w:color w:val="00B0F0"/>
                <w:highlight w:val="none"/>
              </w:rPr>
              <w:drawing>
                <wp:inline distT="0" distB="0" distL="114300" distR="114300">
                  <wp:extent cx="2520315" cy="2520315"/>
                  <wp:effectExtent l="0" t="0" r="13335" b="13335"/>
                  <wp:docPr id="10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5"/>
                          <pic:cNvPicPr>
                            <a:picLocks noChangeAspect="1"/>
                          </pic:cNvPicPr>
                        </pic:nvPicPr>
                        <pic:blipFill>
                          <a:blip r:embed="rId45"/>
                          <a:stretch>
                            <a:fillRect/>
                          </a:stretch>
                        </pic:blipFill>
                        <pic:spPr>
                          <a:xfrm>
                            <a:off x="0" y="0"/>
                            <a:ext cx="2520315" cy="2520315"/>
                          </a:xfrm>
                          <a:prstGeom prst="rect">
                            <a:avLst/>
                          </a:prstGeom>
                          <a:noFill/>
                          <a:ln>
                            <a:noFill/>
                          </a:ln>
                        </pic:spPr>
                      </pic:pic>
                    </a:graphicData>
                  </a:graphic>
                </wp:inline>
              </w:drawing>
            </w:r>
          </w:p>
        </w:tc>
      </w:tr>
      <w:tr w14:paraId="574DC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491" w:type="dxa"/>
            <w:vAlign w:val="center"/>
          </w:tcPr>
          <w:p w14:paraId="53086EE4">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B0F0"/>
                <w:sz w:val="24"/>
                <w:szCs w:val="24"/>
                <w:highlight w:val="none"/>
                <w:vertAlign w:val="baseline"/>
              </w:rPr>
            </w:pPr>
            <w:r>
              <w:rPr>
                <w:rFonts w:hint="default" w:ascii="Times New Roman" w:hAnsi="Times New Roman" w:eastAsia="宋体" w:cs="Times New Roman"/>
                <w:color w:val="00B0F0"/>
                <w:highlight w:val="none"/>
              </w:rPr>
              <w:drawing>
                <wp:inline distT="0" distB="0" distL="114300" distR="114300">
                  <wp:extent cx="2520315" cy="2520315"/>
                  <wp:effectExtent l="0" t="0" r="13335" b="13335"/>
                  <wp:docPr id="16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
                          <pic:cNvPicPr>
                            <a:picLocks noChangeAspect="1"/>
                          </pic:cNvPicPr>
                        </pic:nvPicPr>
                        <pic:blipFill>
                          <a:blip r:embed="rId46"/>
                          <a:stretch>
                            <a:fillRect/>
                          </a:stretch>
                        </pic:blipFill>
                        <pic:spPr>
                          <a:xfrm>
                            <a:off x="0" y="0"/>
                            <a:ext cx="2520315" cy="2520315"/>
                          </a:xfrm>
                          <a:prstGeom prst="rect">
                            <a:avLst/>
                          </a:prstGeom>
                          <a:noFill/>
                          <a:ln>
                            <a:noFill/>
                          </a:ln>
                        </pic:spPr>
                      </pic:pic>
                    </a:graphicData>
                  </a:graphic>
                </wp:inline>
              </w:drawing>
            </w:r>
          </w:p>
        </w:tc>
        <w:tc>
          <w:tcPr>
            <w:tcW w:w="4037" w:type="dxa"/>
            <w:vAlign w:val="center"/>
          </w:tcPr>
          <w:p w14:paraId="7D878234">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B0F0"/>
                <w:sz w:val="24"/>
                <w:szCs w:val="24"/>
                <w:highlight w:val="none"/>
                <w:vertAlign w:val="baseline"/>
              </w:rPr>
            </w:pPr>
            <w:r>
              <w:rPr>
                <w:rFonts w:hint="default" w:ascii="Times New Roman" w:hAnsi="Times New Roman" w:eastAsia="宋体" w:cs="Times New Roman"/>
                <w:color w:val="00B0F0"/>
                <w:highlight w:val="none"/>
              </w:rPr>
              <w:drawing>
                <wp:inline distT="0" distB="0" distL="114300" distR="114300">
                  <wp:extent cx="2520315" cy="2520315"/>
                  <wp:effectExtent l="0" t="0" r="13335" b="13335"/>
                  <wp:docPr id="16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7"/>
                          <pic:cNvPicPr>
                            <a:picLocks noChangeAspect="1"/>
                          </pic:cNvPicPr>
                        </pic:nvPicPr>
                        <pic:blipFill>
                          <a:blip r:embed="rId47"/>
                          <a:stretch>
                            <a:fillRect/>
                          </a:stretch>
                        </pic:blipFill>
                        <pic:spPr>
                          <a:xfrm>
                            <a:off x="0" y="0"/>
                            <a:ext cx="2520315" cy="2520315"/>
                          </a:xfrm>
                          <a:prstGeom prst="rect">
                            <a:avLst/>
                          </a:prstGeom>
                          <a:noFill/>
                          <a:ln>
                            <a:noFill/>
                          </a:ln>
                        </pic:spPr>
                      </pic:pic>
                    </a:graphicData>
                  </a:graphic>
                </wp:inline>
              </w:drawing>
            </w:r>
          </w:p>
        </w:tc>
      </w:tr>
      <w:tr w14:paraId="3EEED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491" w:type="dxa"/>
            <w:vAlign w:val="center"/>
          </w:tcPr>
          <w:p w14:paraId="233FF8E3">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B0F0"/>
                <w:sz w:val="24"/>
                <w:szCs w:val="24"/>
                <w:highlight w:val="none"/>
                <w:vertAlign w:val="baseline"/>
              </w:rPr>
            </w:pPr>
            <w:r>
              <w:rPr>
                <w:rFonts w:hint="default" w:ascii="Times New Roman" w:hAnsi="Times New Roman" w:eastAsia="宋体" w:cs="Times New Roman"/>
                <w:color w:val="00B0F0"/>
                <w:highlight w:val="none"/>
              </w:rPr>
              <w:drawing>
                <wp:inline distT="0" distB="0" distL="114300" distR="114300">
                  <wp:extent cx="2520315" cy="2520315"/>
                  <wp:effectExtent l="0" t="0" r="13335" b="13335"/>
                  <wp:docPr id="10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8"/>
                          <pic:cNvPicPr>
                            <a:picLocks noChangeAspect="1"/>
                          </pic:cNvPicPr>
                        </pic:nvPicPr>
                        <pic:blipFill>
                          <a:blip r:embed="rId48"/>
                          <a:stretch>
                            <a:fillRect/>
                          </a:stretch>
                        </pic:blipFill>
                        <pic:spPr>
                          <a:xfrm>
                            <a:off x="0" y="0"/>
                            <a:ext cx="2520315" cy="2520315"/>
                          </a:xfrm>
                          <a:prstGeom prst="rect">
                            <a:avLst/>
                          </a:prstGeom>
                          <a:noFill/>
                          <a:ln>
                            <a:noFill/>
                          </a:ln>
                        </pic:spPr>
                      </pic:pic>
                    </a:graphicData>
                  </a:graphic>
                </wp:inline>
              </w:drawing>
            </w:r>
          </w:p>
        </w:tc>
        <w:tc>
          <w:tcPr>
            <w:tcW w:w="4037" w:type="dxa"/>
            <w:vAlign w:val="center"/>
          </w:tcPr>
          <w:p w14:paraId="0C6561A5">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B0F0"/>
                <w:sz w:val="24"/>
                <w:szCs w:val="24"/>
                <w:highlight w:val="none"/>
                <w:vertAlign w:val="baseline"/>
              </w:rPr>
            </w:pPr>
            <w:r>
              <w:rPr>
                <w:rFonts w:hint="default" w:ascii="Times New Roman" w:hAnsi="Times New Roman" w:eastAsia="宋体" w:cs="Times New Roman"/>
                <w:color w:val="00B0F0"/>
                <w:highlight w:val="none"/>
              </w:rPr>
              <w:drawing>
                <wp:inline distT="0" distB="0" distL="114300" distR="114300">
                  <wp:extent cx="2520315" cy="2520315"/>
                  <wp:effectExtent l="0" t="0" r="13335" b="13335"/>
                  <wp:docPr id="16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9"/>
                          <pic:cNvPicPr>
                            <a:picLocks noChangeAspect="1"/>
                          </pic:cNvPicPr>
                        </pic:nvPicPr>
                        <pic:blipFill>
                          <a:blip r:embed="rId49"/>
                          <a:stretch>
                            <a:fillRect/>
                          </a:stretch>
                        </pic:blipFill>
                        <pic:spPr>
                          <a:xfrm>
                            <a:off x="0" y="0"/>
                            <a:ext cx="2520315" cy="2520315"/>
                          </a:xfrm>
                          <a:prstGeom prst="rect">
                            <a:avLst/>
                          </a:prstGeom>
                          <a:noFill/>
                          <a:ln>
                            <a:noFill/>
                          </a:ln>
                        </pic:spPr>
                      </pic:pic>
                    </a:graphicData>
                  </a:graphic>
                </wp:inline>
              </w:drawing>
            </w:r>
          </w:p>
        </w:tc>
      </w:tr>
      <w:tr w14:paraId="4D6EB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491" w:type="dxa"/>
            <w:vAlign w:val="center"/>
          </w:tcPr>
          <w:p w14:paraId="39108F97">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B0F0"/>
                <w:sz w:val="24"/>
                <w:szCs w:val="24"/>
                <w:highlight w:val="none"/>
                <w:vertAlign w:val="baseline"/>
              </w:rPr>
            </w:pPr>
            <w:r>
              <w:rPr>
                <w:rFonts w:hint="default" w:ascii="Times New Roman" w:hAnsi="Times New Roman" w:eastAsia="宋体" w:cs="Times New Roman"/>
                <w:color w:val="00B0F0"/>
                <w:highlight w:val="none"/>
              </w:rPr>
              <w:drawing>
                <wp:inline distT="0" distB="0" distL="114300" distR="114300">
                  <wp:extent cx="2520315" cy="2520315"/>
                  <wp:effectExtent l="0" t="0" r="13335" b="13335"/>
                  <wp:docPr id="16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20"/>
                          <pic:cNvPicPr>
                            <a:picLocks noChangeAspect="1"/>
                          </pic:cNvPicPr>
                        </pic:nvPicPr>
                        <pic:blipFill>
                          <a:blip r:embed="rId50"/>
                          <a:stretch>
                            <a:fillRect/>
                          </a:stretch>
                        </pic:blipFill>
                        <pic:spPr>
                          <a:xfrm>
                            <a:off x="0" y="0"/>
                            <a:ext cx="2520315" cy="2520315"/>
                          </a:xfrm>
                          <a:prstGeom prst="rect">
                            <a:avLst/>
                          </a:prstGeom>
                          <a:noFill/>
                          <a:ln>
                            <a:noFill/>
                          </a:ln>
                        </pic:spPr>
                      </pic:pic>
                    </a:graphicData>
                  </a:graphic>
                </wp:inline>
              </w:drawing>
            </w:r>
          </w:p>
        </w:tc>
        <w:tc>
          <w:tcPr>
            <w:tcW w:w="4037" w:type="dxa"/>
            <w:vAlign w:val="center"/>
          </w:tcPr>
          <w:p w14:paraId="76F0CFB9">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B0F0"/>
                <w:sz w:val="24"/>
                <w:szCs w:val="24"/>
                <w:highlight w:val="none"/>
                <w:vertAlign w:val="baseline"/>
              </w:rPr>
            </w:pPr>
            <w:r>
              <w:rPr>
                <w:rFonts w:hint="default" w:ascii="Times New Roman" w:hAnsi="Times New Roman" w:eastAsia="宋体" w:cs="Times New Roman"/>
                <w:color w:val="00B0F0"/>
                <w:highlight w:val="none"/>
              </w:rPr>
              <w:drawing>
                <wp:inline distT="0" distB="0" distL="114300" distR="114300">
                  <wp:extent cx="2520315" cy="2520315"/>
                  <wp:effectExtent l="0" t="0" r="13335" b="13335"/>
                  <wp:docPr id="16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21"/>
                          <pic:cNvPicPr>
                            <a:picLocks noChangeAspect="1"/>
                          </pic:cNvPicPr>
                        </pic:nvPicPr>
                        <pic:blipFill>
                          <a:blip r:embed="rId51"/>
                          <a:stretch>
                            <a:fillRect/>
                          </a:stretch>
                        </pic:blipFill>
                        <pic:spPr>
                          <a:xfrm>
                            <a:off x="0" y="0"/>
                            <a:ext cx="2520315" cy="2520315"/>
                          </a:xfrm>
                          <a:prstGeom prst="rect">
                            <a:avLst/>
                          </a:prstGeom>
                          <a:noFill/>
                          <a:ln>
                            <a:noFill/>
                          </a:ln>
                        </pic:spPr>
                      </pic:pic>
                    </a:graphicData>
                  </a:graphic>
                </wp:inline>
              </w:drawing>
            </w:r>
          </w:p>
        </w:tc>
      </w:tr>
      <w:tr w14:paraId="197B5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491" w:type="dxa"/>
            <w:vAlign w:val="center"/>
          </w:tcPr>
          <w:p w14:paraId="7953A006">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B0F0"/>
                <w:sz w:val="24"/>
                <w:szCs w:val="24"/>
                <w:highlight w:val="none"/>
                <w:vertAlign w:val="baseline"/>
              </w:rPr>
            </w:pPr>
            <w:r>
              <w:rPr>
                <w:rFonts w:hint="default" w:ascii="Times New Roman" w:hAnsi="Times New Roman" w:eastAsia="宋体" w:cs="Times New Roman"/>
                <w:color w:val="00B0F0"/>
                <w:highlight w:val="none"/>
              </w:rPr>
              <w:drawing>
                <wp:inline distT="0" distB="0" distL="114300" distR="114300">
                  <wp:extent cx="2520315" cy="2520315"/>
                  <wp:effectExtent l="0" t="0" r="13335" b="13335"/>
                  <wp:docPr id="16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2"/>
                          <pic:cNvPicPr>
                            <a:picLocks noChangeAspect="1"/>
                          </pic:cNvPicPr>
                        </pic:nvPicPr>
                        <pic:blipFill>
                          <a:blip r:embed="rId52"/>
                          <a:stretch>
                            <a:fillRect/>
                          </a:stretch>
                        </pic:blipFill>
                        <pic:spPr>
                          <a:xfrm>
                            <a:off x="0" y="0"/>
                            <a:ext cx="2520315" cy="2520315"/>
                          </a:xfrm>
                          <a:prstGeom prst="rect">
                            <a:avLst/>
                          </a:prstGeom>
                          <a:noFill/>
                          <a:ln>
                            <a:noFill/>
                          </a:ln>
                        </pic:spPr>
                      </pic:pic>
                    </a:graphicData>
                  </a:graphic>
                </wp:inline>
              </w:drawing>
            </w:r>
          </w:p>
        </w:tc>
        <w:tc>
          <w:tcPr>
            <w:tcW w:w="4037" w:type="dxa"/>
            <w:vAlign w:val="center"/>
          </w:tcPr>
          <w:p w14:paraId="4CAEA487">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B0F0"/>
                <w:sz w:val="24"/>
                <w:szCs w:val="24"/>
                <w:highlight w:val="none"/>
                <w:vertAlign w:val="baseline"/>
              </w:rPr>
            </w:pPr>
            <w:r>
              <w:rPr>
                <w:rFonts w:hint="default" w:ascii="Times New Roman" w:hAnsi="Times New Roman" w:eastAsia="宋体" w:cs="Times New Roman"/>
                <w:color w:val="00B0F0"/>
                <w:highlight w:val="none"/>
              </w:rPr>
              <w:drawing>
                <wp:inline distT="0" distB="0" distL="114300" distR="114300">
                  <wp:extent cx="2520315" cy="2520315"/>
                  <wp:effectExtent l="0" t="0" r="13335" b="13335"/>
                  <wp:docPr id="16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3"/>
                          <pic:cNvPicPr>
                            <a:picLocks noChangeAspect="1"/>
                          </pic:cNvPicPr>
                        </pic:nvPicPr>
                        <pic:blipFill>
                          <a:blip r:embed="rId53"/>
                          <a:stretch>
                            <a:fillRect/>
                          </a:stretch>
                        </pic:blipFill>
                        <pic:spPr>
                          <a:xfrm>
                            <a:off x="0" y="0"/>
                            <a:ext cx="2520315" cy="2520315"/>
                          </a:xfrm>
                          <a:prstGeom prst="rect">
                            <a:avLst/>
                          </a:prstGeom>
                          <a:noFill/>
                          <a:ln>
                            <a:noFill/>
                          </a:ln>
                        </pic:spPr>
                      </pic:pic>
                    </a:graphicData>
                  </a:graphic>
                </wp:inline>
              </w:drawing>
            </w:r>
          </w:p>
        </w:tc>
      </w:tr>
    </w:tbl>
    <w:p w14:paraId="2C713033">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FF0000"/>
          <w:sz w:val="24"/>
          <w:szCs w:val="24"/>
          <w:highlight w:val="none"/>
          <w:lang w:val="en-US"/>
        </w:rPr>
      </w:pPr>
      <w:r>
        <w:rPr>
          <w:rFonts w:hint="default" w:ascii="Times New Roman" w:hAnsi="Times New Roman" w:eastAsia="宋体" w:cs="Times New Roman"/>
          <w:b/>
          <w:bCs/>
          <w:color w:val="FF0000"/>
          <w:sz w:val="24"/>
          <w:szCs w:val="24"/>
          <w:highlight w:val="none"/>
        </w:rPr>
        <w:t>图</w:t>
      </w:r>
      <w:r>
        <w:rPr>
          <w:rFonts w:hint="default" w:ascii="Times New Roman" w:hAnsi="Times New Roman" w:eastAsia="宋体" w:cs="Times New Roman"/>
          <w:b/>
          <w:bCs/>
          <w:color w:val="FF0000"/>
          <w:sz w:val="24"/>
          <w:szCs w:val="24"/>
          <w:highlight w:val="none"/>
          <w:lang w:val="en-US" w:eastAsia="zh-CN"/>
        </w:rPr>
        <w:t>5-2</w:t>
      </w:r>
      <w:r>
        <w:rPr>
          <w:rFonts w:hint="default" w:ascii="Times New Roman" w:hAnsi="Times New Roman" w:eastAsia="宋体" w:cs="Times New Roman"/>
          <w:b/>
          <w:bCs/>
          <w:color w:val="FF0000"/>
          <w:sz w:val="24"/>
          <w:szCs w:val="24"/>
          <w:highlight w:val="none"/>
        </w:rPr>
        <w:t>-2乌拉特前旗气象站近20年</w:t>
      </w:r>
      <w:r>
        <w:rPr>
          <w:rFonts w:hint="default" w:ascii="Times New Roman" w:hAnsi="Times New Roman" w:eastAsia="宋体" w:cs="Times New Roman"/>
          <w:b/>
          <w:bCs/>
          <w:color w:val="FF0000"/>
          <w:sz w:val="24"/>
          <w:szCs w:val="24"/>
          <w:highlight w:val="none"/>
          <w:lang w:eastAsia="zh-CN"/>
        </w:rPr>
        <w:t>（</w:t>
      </w:r>
      <w:r>
        <w:rPr>
          <w:rFonts w:hint="default" w:ascii="Times New Roman" w:hAnsi="Times New Roman" w:eastAsia="宋体" w:cs="Times New Roman"/>
          <w:b/>
          <w:bCs/>
          <w:color w:val="FF0000"/>
          <w:sz w:val="24"/>
          <w:szCs w:val="24"/>
          <w:highlight w:val="none"/>
        </w:rPr>
        <w:t>2003-2022</w:t>
      </w:r>
      <w:r>
        <w:rPr>
          <w:rFonts w:hint="default" w:ascii="Times New Roman" w:hAnsi="Times New Roman" w:eastAsia="宋体" w:cs="Times New Roman"/>
          <w:b/>
          <w:bCs/>
          <w:color w:val="FF0000"/>
          <w:sz w:val="24"/>
          <w:szCs w:val="24"/>
          <w:highlight w:val="none"/>
          <w:lang w:eastAsia="zh-CN"/>
        </w:rPr>
        <w:t>）</w:t>
      </w:r>
      <w:r>
        <w:rPr>
          <w:rFonts w:hint="default" w:ascii="Times New Roman" w:hAnsi="Times New Roman" w:eastAsia="宋体" w:cs="Times New Roman"/>
          <w:b/>
          <w:bCs/>
          <w:color w:val="FF0000"/>
          <w:sz w:val="24"/>
          <w:szCs w:val="24"/>
          <w:highlight w:val="none"/>
        </w:rPr>
        <w:t>月风向频率玫瑰图</w:t>
      </w:r>
    </w:p>
    <w:p w14:paraId="6AC70E36">
      <w:pPr>
        <w:pStyle w:val="5"/>
        <w:keepNext/>
        <w:keepLines/>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408" w:name="_Toc27455"/>
      <w:r>
        <w:rPr>
          <w:rFonts w:hint="default" w:ascii="Times New Roman" w:hAnsi="Times New Roman" w:eastAsia="宋体" w:cs="Times New Roman"/>
          <w:color w:val="auto"/>
          <w:highlight w:val="none"/>
        </w:rPr>
        <w:t>5.2.2大气环境影响预测</w:t>
      </w:r>
      <w:bookmarkEnd w:id="408"/>
    </w:p>
    <w:p w14:paraId="7182A7CD">
      <w:pPr>
        <w:pStyle w:val="6"/>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5.2.2.1评价等级及评价范围</w:t>
      </w:r>
    </w:p>
    <w:p w14:paraId="4188583E">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sectPr>
          <w:pgSz w:w="11906" w:h="16838"/>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26" w:charSpace="0"/>
        </w:sectPr>
      </w:pPr>
      <w:r>
        <w:rPr>
          <w:rFonts w:hint="default" w:ascii="Times New Roman" w:hAnsi="Times New Roman" w:eastAsia="宋体" w:cs="Times New Roman"/>
          <w:color w:val="auto"/>
          <w:highlight w:val="none"/>
        </w:rPr>
        <w:t>本项目大气环境影响评价等级为二级，评价范围为以项目区为中心，边长5km的矩形为大气环境评价范围。项目各污染物最大落地浓度及最大占标率见表</w:t>
      </w:r>
      <w:r>
        <w:rPr>
          <w:rFonts w:hint="default" w:ascii="Times New Roman" w:hAnsi="Times New Roman" w:eastAsia="宋体" w:cs="Times New Roman"/>
          <w:color w:val="auto"/>
          <w:highlight w:val="none"/>
          <w:lang w:val="en-US" w:eastAsia="zh-CN"/>
        </w:rPr>
        <w:t>5.2</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w:t>
      </w:r>
    </w:p>
    <w:p w14:paraId="6D8FBED5">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表5.2</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污染源估算模型计算结果列表</w:t>
      </w:r>
    </w:p>
    <w:tbl>
      <w:tblPr>
        <w:tblStyle w:val="40"/>
        <w:tblW w:w="1345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70"/>
        <w:gridCol w:w="965"/>
        <w:gridCol w:w="1190"/>
        <w:gridCol w:w="1191"/>
        <w:gridCol w:w="1191"/>
        <w:gridCol w:w="1191"/>
        <w:gridCol w:w="1192"/>
        <w:gridCol w:w="1192"/>
        <w:gridCol w:w="1192"/>
        <w:gridCol w:w="1193"/>
        <w:gridCol w:w="1193"/>
        <w:gridCol w:w="1194"/>
      </w:tblGrid>
      <w:tr w14:paraId="08D3041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745FF51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rPr>
              <w:t>序号</w:t>
            </w:r>
          </w:p>
        </w:tc>
        <w:tc>
          <w:tcPr>
            <w:tcW w:w="965"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13ED723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离源</w:t>
            </w:r>
          </w:p>
          <w:p w14:paraId="559AC5B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距离</w:t>
            </w:r>
          </w:p>
          <w:p w14:paraId="0CCA5F6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lang w:eastAsia="zh-CN"/>
              </w:rPr>
              <w:t>（</w:t>
            </w:r>
            <w:r>
              <w:rPr>
                <w:rFonts w:hint="default" w:ascii="Times New Roman" w:hAnsi="Times New Roman" w:eastAsia="宋体" w:cs="Times New Roman"/>
                <w:i w:val="0"/>
                <w:iCs w:val="0"/>
                <w:color w:val="FF0000"/>
                <w:sz w:val="21"/>
                <w:szCs w:val="21"/>
                <w:highlight w:val="none"/>
              </w:rPr>
              <w:t>m</w:t>
            </w:r>
            <w:r>
              <w:rPr>
                <w:rFonts w:hint="default" w:ascii="Times New Roman" w:hAnsi="Times New Roman" w:eastAsia="宋体" w:cs="Times New Roman"/>
                <w:i w:val="0"/>
                <w:iCs w:val="0"/>
                <w:color w:val="FF0000"/>
                <w:sz w:val="21"/>
                <w:szCs w:val="21"/>
                <w:highlight w:val="none"/>
                <w:lang w:eastAsia="zh-CN"/>
              </w:rPr>
              <w:t>）</w:t>
            </w:r>
          </w:p>
        </w:tc>
        <w:tc>
          <w:tcPr>
            <w:tcW w:w="4763" w:type="dxa"/>
            <w:gridSpan w:val="4"/>
            <w:tcBorders>
              <w:top w:val="single" w:color="auto" w:sz="4" w:space="0"/>
              <w:left w:val="single" w:color="auto" w:sz="4" w:space="0"/>
              <w:bottom w:val="single" w:color="auto" w:sz="4" w:space="0"/>
              <w:right w:val="single" w:color="auto" w:sz="4" w:space="0"/>
            </w:tcBorders>
            <w:shd w:val="clear" w:color="auto" w:fill="auto"/>
            <w:noWrap/>
            <w:vAlign w:val="center"/>
          </w:tcPr>
          <w:p w14:paraId="145D679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牛舍及运动场</w:t>
            </w:r>
          </w:p>
        </w:tc>
        <w:tc>
          <w:tcPr>
            <w:tcW w:w="4769" w:type="dxa"/>
            <w:gridSpan w:val="4"/>
            <w:tcBorders>
              <w:top w:val="single" w:color="auto" w:sz="4" w:space="0"/>
              <w:left w:val="single" w:color="auto" w:sz="4" w:space="0"/>
              <w:bottom w:val="single" w:color="auto" w:sz="4" w:space="0"/>
              <w:right w:val="single" w:color="auto" w:sz="4" w:space="0"/>
            </w:tcBorders>
            <w:shd w:val="clear" w:color="auto" w:fill="auto"/>
            <w:noWrap/>
            <w:vAlign w:val="center"/>
          </w:tcPr>
          <w:p w14:paraId="6839E59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lang w:eastAsia="zh-CN"/>
              </w:rPr>
            </w:pPr>
            <w:r>
              <w:rPr>
                <w:rFonts w:hint="default" w:ascii="Times New Roman" w:hAnsi="Times New Roman" w:eastAsia="宋体" w:cs="Times New Roman"/>
                <w:i w:val="0"/>
                <w:iCs w:val="0"/>
                <w:color w:val="FF0000"/>
                <w:sz w:val="21"/>
                <w:szCs w:val="21"/>
                <w:highlight w:val="none"/>
                <w:lang w:eastAsia="zh-CN"/>
              </w:rPr>
              <w:t>粪污处理池</w:t>
            </w:r>
          </w:p>
        </w:tc>
        <w:tc>
          <w:tcPr>
            <w:tcW w:w="2387"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3F3EF2B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lang w:eastAsia="zh-CN"/>
              </w:rPr>
            </w:pPr>
            <w:r>
              <w:rPr>
                <w:rFonts w:hint="default" w:ascii="Times New Roman" w:hAnsi="Times New Roman" w:eastAsia="宋体" w:cs="Times New Roman"/>
                <w:color w:val="FF0000"/>
                <w:sz w:val="21"/>
                <w:szCs w:val="21"/>
                <w:highlight w:val="none"/>
              </w:rPr>
              <w:t>TMR车间</w:t>
            </w:r>
          </w:p>
        </w:tc>
      </w:tr>
      <w:tr w14:paraId="3F20637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0"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68CC94A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p>
        </w:tc>
        <w:tc>
          <w:tcPr>
            <w:tcW w:w="965"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337F3A6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p>
        </w:tc>
        <w:tc>
          <w:tcPr>
            <w:tcW w:w="238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B9F597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rPr>
              <w:t>NH</w:t>
            </w:r>
            <w:r>
              <w:rPr>
                <w:rFonts w:hint="default" w:ascii="Times New Roman" w:hAnsi="Times New Roman" w:eastAsia="宋体" w:cs="Times New Roman"/>
                <w:i w:val="0"/>
                <w:iCs w:val="0"/>
                <w:color w:val="FF0000"/>
                <w:sz w:val="21"/>
                <w:szCs w:val="21"/>
                <w:highlight w:val="none"/>
                <w:vertAlign w:val="subscript"/>
              </w:rPr>
              <w:t>3</w:t>
            </w:r>
          </w:p>
        </w:tc>
        <w:tc>
          <w:tcPr>
            <w:tcW w:w="2382"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03136D8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rPr>
              <w:t>H</w:t>
            </w:r>
            <w:r>
              <w:rPr>
                <w:rFonts w:hint="default" w:ascii="Times New Roman" w:hAnsi="Times New Roman" w:eastAsia="宋体" w:cs="Times New Roman"/>
                <w:i w:val="0"/>
                <w:iCs w:val="0"/>
                <w:color w:val="FF0000"/>
                <w:sz w:val="21"/>
                <w:szCs w:val="21"/>
                <w:highlight w:val="none"/>
                <w:vertAlign w:val="subscript"/>
              </w:rPr>
              <w:t>2</w:t>
            </w:r>
            <w:r>
              <w:rPr>
                <w:rFonts w:hint="default" w:ascii="Times New Roman" w:hAnsi="Times New Roman" w:eastAsia="宋体" w:cs="Times New Roman"/>
                <w:i w:val="0"/>
                <w:iCs w:val="0"/>
                <w:color w:val="FF0000"/>
                <w:sz w:val="21"/>
                <w:szCs w:val="21"/>
                <w:highlight w:val="none"/>
              </w:rPr>
              <w:t>S</w:t>
            </w:r>
          </w:p>
        </w:tc>
        <w:tc>
          <w:tcPr>
            <w:tcW w:w="238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553C1D2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NH</w:t>
            </w:r>
            <w:r>
              <w:rPr>
                <w:rFonts w:hint="default" w:ascii="Times New Roman" w:hAnsi="Times New Roman" w:eastAsia="宋体" w:cs="Times New Roman"/>
                <w:i w:val="0"/>
                <w:iCs w:val="0"/>
                <w:color w:val="FF0000"/>
                <w:sz w:val="21"/>
                <w:szCs w:val="21"/>
                <w:highlight w:val="none"/>
                <w:vertAlign w:val="subscript"/>
              </w:rPr>
              <w:t>3</w:t>
            </w:r>
          </w:p>
        </w:tc>
        <w:tc>
          <w:tcPr>
            <w:tcW w:w="2385"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3EC0E21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H</w:t>
            </w:r>
            <w:r>
              <w:rPr>
                <w:rFonts w:hint="default" w:ascii="Times New Roman" w:hAnsi="Times New Roman" w:eastAsia="宋体" w:cs="Times New Roman"/>
                <w:i w:val="0"/>
                <w:iCs w:val="0"/>
                <w:color w:val="FF0000"/>
                <w:sz w:val="21"/>
                <w:szCs w:val="21"/>
                <w:highlight w:val="none"/>
                <w:vertAlign w:val="subscript"/>
              </w:rPr>
              <w:t>2</w:t>
            </w:r>
            <w:r>
              <w:rPr>
                <w:rFonts w:hint="default" w:ascii="Times New Roman" w:hAnsi="Times New Roman" w:eastAsia="宋体" w:cs="Times New Roman"/>
                <w:i w:val="0"/>
                <w:iCs w:val="0"/>
                <w:color w:val="FF0000"/>
                <w:sz w:val="21"/>
                <w:szCs w:val="21"/>
                <w:highlight w:val="none"/>
              </w:rPr>
              <w:t>S</w:t>
            </w:r>
          </w:p>
        </w:tc>
        <w:tc>
          <w:tcPr>
            <w:tcW w:w="2387"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0FFE8AB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TSP</w:t>
            </w:r>
          </w:p>
        </w:tc>
      </w:tr>
      <w:tr w14:paraId="74CAF1A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0"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384BC65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p>
        </w:tc>
        <w:tc>
          <w:tcPr>
            <w:tcW w:w="965"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5613B5E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p>
        </w:tc>
        <w:tc>
          <w:tcPr>
            <w:tcW w:w="11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B26F40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浓度</w:t>
            </w:r>
          </w:p>
          <w:p w14:paraId="0ED597F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w:t>
            </w:r>
            <w:r>
              <w:rPr>
                <w:rFonts w:hint="default" w:ascii="Times New Roman" w:hAnsi="Times New Roman" w:eastAsia="宋体" w:cs="Times New Roman"/>
                <w:i w:val="0"/>
                <w:iCs w:val="0"/>
                <w:color w:val="FF0000"/>
                <w:sz w:val="21"/>
                <w:szCs w:val="21"/>
                <w:highlight w:val="none"/>
                <w:lang w:eastAsia="zh-CN"/>
              </w:rPr>
              <w:t>μg/m</w:t>
            </w:r>
            <w:r>
              <w:rPr>
                <w:rFonts w:hint="default" w:ascii="Times New Roman" w:hAnsi="Times New Roman" w:eastAsia="宋体" w:cs="Times New Roman"/>
                <w:i w:val="0"/>
                <w:iCs w:val="0"/>
                <w:color w:val="FF0000"/>
                <w:sz w:val="21"/>
                <w:szCs w:val="21"/>
                <w:highlight w:val="none"/>
                <w:vertAlign w:val="superscript"/>
                <w:lang w:eastAsia="zh-CN"/>
              </w:rPr>
              <w:t>3</w:t>
            </w:r>
            <w:r>
              <w:rPr>
                <w:rFonts w:hint="default" w:ascii="Times New Roman" w:hAnsi="Times New Roman" w:eastAsia="宋体" w:cs="Times New Roman"/>
                <w:i w:val="0"/>
                <w:iCs w:val="0"/>
                <w:color w:val="FF0000"/>
                <w:sz w:val="21"/>
                <w:szCs w:val="21"/>
                <w:highlight w:val="none"/>
              </w:rPr>
              <w:t>）</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0BD4D1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占标率</w:t>
            </w:r>
          </w:p>
          <w:p w14:paraId="6FA5475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BEEAD8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浓度</w:t>
            </w:r>
          </w:p>
          <w:p w14:paraId="1524D54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w:t>
            </w:r>
            <w:r>
              <w:rPr>
                <w:rFonts w:hint="default" w:ascii="Times New Roman" w:hAnsi="Times New Roman" w:eastAsia="宋体" w:cs="Times New Roman"/>
                <w:i w:val="0"/>
                <w:iCs w:val="0"/>
                <w:color w:val="FF0000"/>
                <w:sz w:val="21"/>
                <w:szCs w:val="21"/>
                <w:highlight w:val="none"/>
                <w:lang w:eastAsia="zh-CN"/>
              </w:rPr>
              <w:t>μ</w:t>
            </w:r>
            <w:r>
              <w:rPr>
                <w:rFonts w:hint="default" w:ascii="Times New Roman" w:hAnsi="Times New Roman" w:eastAsia="宋体" w:cs="Times New Roman"/>
                <w:i w:val="0"/>
                <w:iCs w:val="0"/>
                <w:color w:val="FF0000"/>
                <w:sz w:val="21"/>
                <w:szCs w:val="21"/>
                <w:highlight w:val="none"/>
              </w:rPr>
              <w:t>g/m</w:t>
            </w:r>
            <w:r>
              <w:rPr>
                <w:rFonts w:hint="default" w:ascii="Times New Roman" w:hAnsi="Times New Roman" w:eastAsia="宋体" w:cs="Times New Roman"/>
                <w:i w:val="0"/>
                <w:iCs w:val="0"/>
                <w:color w:val="FF0000"/>
                <w:sz w:val="21"/>
                <w:szCs w:val="21"/>
                <w:highlight w:val="none"/>
                <w:vertAlign w:val="superscript"/>
              </w:rPr>
              <w:t>3</w:t>
            </w:r>
            <w:r>
              <w:rPr>
                <w:rFonts w:hint="default" w:ascii="Times New Roman" w:hAnsi="Times New Roman" w:eastAsia="宋体" w:cs="Times New Roman"/>
                <w:i w:val="0"/>
                <w:iCs w:val="0"/>
                <w:color w:val="FF0000"/>
                <w:sz w:val="21"/>
                <w:szCs w:val="21"/>
                <w:highlight w:val="none"/>
              </w:rPr>
              <w:t>）</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2A65CE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占标率</w:t>
            </w:r>
          </w:p>
          <w:p w14:paraId="1DDEF60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EEA62D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浓度</w:t>
            </w:r>
          </w:p>
          <w:p w14:paraId="0A4FCB3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rPr>
              <w:t>（</w:t>
            </w:r>
            <w:r>
              <w:rPr>
                <w:rFonts w:hint="default" w:ascii="Times New Roman" w:hAnsi="Times New Roman" w:eastAsia="宋体" w:cs="Times New Roman"/>
                <w:i w:val="0"/>
                <w:iCs w:val="0"/>
                <w:color w:val="FF0000"/>
                <w:sz w:val="21"/>
                <w:szCs w:val="21"/>
                <w:highlight w:val="none"/>
                <w:lang w:eastAsia="zh-CN"/>
              </w:rPr>
              <w:t>μ</w:t>
            </w:r>
            <w:r>
              <w:rPr>
                <w:rFonts w:hint="default" w:ascii="Times New Roman" w:hAnsi="Times New Roman" w:eastAsia="宋体" w:cs="Times New Roman"/>
                <w:i w:val="0"/>
                <w:iCs w:val="0"/>
                <w:color w:val="FF0000"/>
                <w:sz w:val="21"/>
                <w:szCs w:val="21"/>
                <w:highlight w:val="none"/>
              </w:rPr>
              <w:t>g/m</w:t>
            </w:r>
            <w:r>
              <w:rPr>
                <w:rFonts w:hint="default" w:ascii="Times New Roman" w:hAnsi="Times New Roman" w:eastAsia="宋体" w:cs="Times New Roman"/>
                <w:i w:val="0"/>
                <w:iCs w:val="0"/>
                <w:color w:val="FF0000"/>
                <w:sz w:val="21"/>
                <w:szCs w:val="21"/>
                <w:highlight w:val="none"/>
                <w:vertAlign w:val="superscript"/>
              </w:rPr>
              <w:t>3</w:t>
            </w:r>
            <w:r>
              <w:rPr>
                <w:rFonts w:hint="default" w:ascii="Times New Roman" w:hAnsi="Times New Roman" w:eastAsia="宋体" w:cs="Times New Roman"/>
                <w:i w:val="0"/>
                <w:iCs w:val="0"/>
                <w:color w:val="FF0000"/>
                <w:sz w:val="21"/>
                <w:szCs w:val="21"/>
                <w:highlight w:val="none"/>
              </w:rPr>
              <w:t>）</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8FF351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占标率</w:t>
            </w:r>
          </w:p>
          <w:p w14:paraId="64B4A0F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rPr>
              <w:t>（%）</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6132CC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浓度</w:t>
            </w:r>
          </w:p>
          <w:p w14:paraId="66D9056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rPr>
              <w:t>（</w:t>
            </w:r>
            <w:r>
              <w:rPr>
                <w:rFonts w:hint="default" w:ascii="Times New Roman" w:hAnsi="Times New Roman" w:eastAsia="宋体" w:cs="Times New Roman"/>
                <w:i w:val="0"/>
                <w:iCs w:val="0"/>
                <w:color w:val="FF0000"/>
                <w:sz w:val="21"/>
                <w:szCs w:val="21"/>
                <w:highlight w:val="none"/>
                <w:lang w:eastAsia="zh-CN"/>
              </w:rPr>
              <w:t>μ</w:t>
            </w:r>
            <w:r>
              <w:rPr>
                <w:rFonts w:hint="default" w:ascii="Times New Roman" w:hAnsi="Times New Roman" w:eastAsia="宋体" w:cs="Times New Roman"/>
                <w:i w:val="0"/>
                <w:iCs w:val="0"/>
                <w:color w:val="FF0000"/>
                <w:sz w:val="21"/>
                <w:szCs w:val="21"/>
                <w:highlight w:val="none"/>
              </w:rPr>
              <w:t>g/m</w:t>
            </w:r>
            <w:r>
              <w:rPr>
                <w:rFonts w:hint="default" w:ascii="Times New Roman" w:hAnsi="Times New Roman" w:eastAsia="宋体" w:cs="Times New Roman"/>
                <w:i w:val="0"/>
                <w:iCs w:val="0"/>
                <w:color w:val="FF0000"/>
                <w:sz w:val="21"/>
                <w:szCs w:val="21"/>
                <w:highlight w:val="none"/>
                <w:vertAlign w:val="superscript"/>
              </w:rPr>
              <w:t>3</w:t>
            </w:r>
            <w:r>
              <w:rPr>
                <w:rFonts w:hint="default" w:ascii="Times New Roman" w:hAnsi="Times New Roman" w:eastAsia="宋体" w:cs="Times New Roman"/>
                <w:i w:val="0"/>
                <w:iCs w:val="0"/>
                <w:color w:val="FF0000"/>
                <w:sz w:val="21"/>
                <w:szCs w:val="21"/>
                <w:highlight w:val="none"/>
              </w:rPr>
              <w:t>）</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36E692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占标率</w:t>
            </w:r>
          </w:p>
          <w:p w14:paraId="2511145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rPr>
              <w:t>（%）</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79A131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浓度</w:t>
            </w:r>
          </w:p>
          <w:p w14:paraId="51A1484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w:t>
            </w:r>
            <w:r>
              <w:rPr>
                <w:rFonts w:hint="default" w:ascii="Times New Roman" w:hAnsi="Times New Roman" w:eastAsia="宋体" w:cs="Times New Roman"/>
                <w:i w:val="0"/>
                <w:iCs w:val="0"/>
                <w:color w:val="FF0000"/>
                <w:sz w:val="21"/>
                <w:szCs w:val="21"/>
                <w:highlight w:val="none"/>
                <w:lang w:eastAsia="zh-CN"/>
              </w:rPr>
              <w:t>μ</w:t>
            </w:r>
            <w:r>
              <w:rPr>
                <w:rFonts w:hint="default" w:ascii="Times New Roman" w:hAnsi="Times New Roman" w:eastAsia="宋体" w:cs="Times New Roman"/>
                <w:i w:val="0"/>
                <w:iCs w:val="0"/>
                <w:color w:val="FF0000"/>
                <w:sz w:val="21"/>
                <w:szCs w:val="21"/>
                <w:highlight w:val="none"/>
              </w:rPr>
              <w:t>g/m</w:t>
            </w:r>
            <w:r>
              <w:rPr>
                <w:rFonts w:hint="default" w:ascii="Times New Roman" w:hAnsi="Times New Roman" w:eastAsia="宋体" w:cs="Times New Roman"/>
                <w:i w:val="0"/>
                <w:iCs w:val="0"/>
                <w:color w:val="FF0000"/>
                <w:sz w:val="21"/>
                <w:szCs w:val="21"/>
                <w:highlight w:val="none"/>
                <w:vertAlign w:val="superscript"/>
              </w:rPr>
              <w:t>3</w:t>
            </w:r>
            <w:r>
              <w:rPr>
                <w:rFonts w:hint="default" w:ascii="Times New Roman" w:hAnsi="Times New Roman" w:eastAsia="宋体" w:cs="Times New Roman"/>
                <w:i w:val="0"/>
                <w:iCs w:val="0"/>
                <w:color w:val="FF0000"/>
                <w:sz w:val="21"/>
                <w:szCs w:val="21"/>
                <w:highlight w:val="none"/>
              </w:rPr>
              <w:t>）</w:t>
            </w:r>
          </w:p>
        </w:tc>
        <w:tc>
          <w:tcPr>
            <w:tcW w:w="119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8B28CE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占标率</w:t>
            </w:r>
          </w:p>
          <w:p w14:paraId="6FE7771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w:t>
            </w:r>
          </w:p>
        </w:tc>
      </w:tr>
      <w:tr w14:paraId="32C7BE4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09DAEA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1</w:t>
            </w:r>
          </w:p>
        </w:tc>
        <w:tc>
          <w:tcPr>
            <w:tcW w:w="96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C8847D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10</w:t>
            </w:r>
          </w:p>
        </w:tc>
        <w:tc>
          <w:tcPr>
            <w:tcW w:w="11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B8EF32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1.857</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AB54FB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9.28500E-001</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413D22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0.0260632</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A0A75F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2.60632E-001</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FA74E8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8.8784</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FAE76C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4.43920E+000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E7A4B8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0.116821</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E71A0B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1.16821E+000</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6E9AED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24.008</w:t>
            </w:r>
          </w:p>
        </w:tc>
        <w:tc>
          <w:tcPr>
            <w:tcW w:w="119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F6F3D1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2.66756E+000</w:t>
            </w:r>
          </w:p>
        </w:tc>
      </w:tr>
      <w:tr w14:paraId="286F192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058986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rPr>
              <w:t>2</w:t>
            </w:r>
          </w:p>
        </w:tc>
        <w:tc>
          <w:tcPr>
            <w:tcW w:w="96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97A6AB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lang w:val="en-US" w:eastAsia="zh-CN"/>
              </w:rPr>
            </w:pPr>
            <w:r>
              <w:rPr>
                <w:rFonts w:hint="default" w:ascii="Times New Roman" w:hAnsi="Times New Roman" w:eastAsia="宋体" w:cs="Times New Roman"/>
                <w:i w:val="0"/>
                <w:iCs w:val="0"/>
                <w:color w:val="FF0000"/>
                <w:sz w:val="21"/>
                <w:szCs w:val="21"/>
                <w:highlight w:val="none"/>
                <w:lang w:val="en-US" w:eastAsia="zh-CN"/>
              </w:rPr>
              <w:t>61</w:t>
            </w:r>
          </w:p>
        </w:tc>
        <w:tc>
          <w:tcPr>
            <w:tcW w:w="11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10DCB9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lang w:val="en-US" w:eastAsia="zh-CN"/>
              </w:rPr>
            </w:pPr>
            <w:r>
              <w:rPr>
                <w:rFonts w:hint="default" w:ascii="Times New Roman" w:hAnsi="Times New Roman" w:eastAsia="宋体" w:cs="Times New Roman"/>
                <w:i w:val="0"/>
                <w:iCs w:val="0"/>
                <w:color w:val="FF0000"/>
                <w:sz w:val="21"/>
                <w:szCs w:val="21"/>
                <w:highlight w:val="none"/>
                <w:lang w:val="en-US" w:eastAsia="zh-CN"/>
              </w:rPr>
              <w:t>/</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845292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lang w:val="en-US" w:eastAsia="zh-CN"/>
              </w:rPr>
            </w:pPr>
            <w:r>
              <w:rPr>
                <w:rFonts w:hint="default" w:ascii="Times New Roman" w:hAnsi="Times New Roman" w:eastAsia="宋体" w:cs="Times New Roman"/>
                <w:i w:val="0"/>
                <w:iCs w:val="0"/>
                <w:color w:val="FF0000"/>
                <w:sz w:val="21"/>
                <w:szCs w:val="21"/>
                <w:highlight w:val="none"/>
                <w:lang w:val="en-US" w:eastAsia="zh-CN"/>
              </w:rPr>
              <w:t>/</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357599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lang w:val="en-US" w:eastAsia="zh-CN"/>
              </w:rPr>
              <w:t>/</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87F0E0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lang w:val="en-US" w:eastAsia="zh-CN"/>
              </w:rPr>
              <w:t>/</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1DA393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lang w:val="en-US" w:eastAsia="zh-CN"/>
              </w:rPr>
              <w:t>/</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E35F7F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lang w:val="en-US" w:eastAsia="zh-CN"/>
              </w:rPr>
              <w:t>/</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393E4F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lang w:val="en-US" w:eastAsia="zh-CN"/>
              </w:rPr>
              <w:t>/</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04768B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lang w:val="en-US" w:eastAsia="zh-CN"/>
              </w:rPr>
              <w:t>/</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46056A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color w:val="FF0000"/>
                <w:sz w:val="21"/>
                <w:szCs w:val="21"/>
                <w:highlight w:val="none"/>
              </w:rPr>
              <w:t>76.91</w:t>
            </w:r>
          </w:p>
        </w:tc>
        <w:tc>
          <w:tcPr>
            <w:tcW w:w="119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C8F5B4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lang w:val="en-US" w:eastAsia="zh-CN"/>
              </w:rPr>
            </w:pPr>
            <w:r>
              <w:rPr>
                <w:rFonts w:hint="default" w:ascii="Times New Roman" w:hAnsi="Times New Roman" w:eastAsia="宋体" w:cs="Times New Roman"/>
                <w:color w:val="FF0000"/>
                <w:sz w:val="21"/>
                <w:szCs w:val="21"/>
                <w:highlight w:val="none"/>
              </w:rPr>
              <w:t>8.54556E+000</w:t>
            </w:r>
          </w:p>
        </w:tc>
      </w:tr>
      <w:tr w14:paraId="01208C2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5204CF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lang w:val="en-US" w:eastAsia="zh-CN"/>
              </w:rPr>
              <w:t>3</w:t>
            </w:r>
          </w:p>
        </w:tc>
        <w:tc>
          <w:tcPr>
            <w:tcW w:w="96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2C3128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lang w:eastAsia="zh-CN"/>
              </w:rPr>
            </w:pPr>
            <w:r>
              <w:rPr>
                <w:rFonts w:hint="default" w:ascii="Times New Roman" w:hAnsi="Times New Roman" w:eastAsia="宋体" w:cs="Times New Roman"/>
                <w:i w:val="0"/>
                <w:iCs w:val="0"/>
                <w:color w:val="FF0000"/>
                <w:sz w:val="21"/>
                <w:szCs w:val="21"/>
                <w:highlight w:val="none"/>
                <w:lang w:val="en-US" w:eastAsia="zh-CN"/>
              </w:rPr>
              <w:t>1</w:t>
            </w:r>
            <w:r>
              <w:rPr>
                <w:rFonts w:hint="default" w:ascii="Times New Roman" w:hAnsi="Times New Roman" w:eastAsia="宋体" w:cs="Times New Roman"/>
                <w:i w:val="0"/>
                <w:iCs w:val="0"/>
                <w:color w:val="FF0000"/>
                <w:sz w:val="21"/>
                <w:szCs w:val="21"/>
                <w:highlight w:val="none"/>
              </w:rPr>
              <w:t>00</w:t>
            </w:r>
          </w:p>
        </w:tc>
        <w:tc>
          <w:tcPr>
            <w:tcW w:w="11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55AE66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2.9283</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EFC282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1.46415E+000</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AB609E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0.0410989</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E768AF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4.10989E-001</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19AF06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12.472</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064C7B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6.23600E+000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30D5E6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0.164105</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FCF318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1.64105E+000</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68B350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57.413</w:t>
            </w:r>
          </w:p>
        </w:tc>
        <w:tc>
          <w:tcPr>
            <w:tcW w:w="119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476111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6.37922E+000</w:t>
            </w:r>
          </w:p>
        </w:tc>
      </w:tr>
      <w:tr w14:paraId="2A99813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E3BD14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lang w:val="en-US" w:eastAsia="zh-CN"/>
              </w:rPr>
              <w:t>4</w:t>
            </w:r>
          </w:p>
        </w:tc>
        <w:tc>
          <w:tcPr>
            <w:tcW w:w="96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4DDD4D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lang w:val="en-US" w:eastAsia="zh-CN"/>
              </w:rPr>
            </w:pPr>
            <w:r>
              <w:rPr>
                <w:rFonts w:hint="default" w:ascii="Times New Roman" w:hAnsi="Times New Roman" w:eastAsia="宋体" w:cs="Times New Roman"/>
                <w:i w:val="0"/>
                <w:iCs w:val="0"/>
                <w:color w:val="FF0000"/>
                <w:sz w:val="21"/>
                <w:szCs w:val="21"/>
                <w:highlight w:val="none"/>
                <w:lang w:val="en-US" w:eastAsia="zh-CN"/>
              </w:rPr>
              <w:t>2</w:t>
            </w:r>
            <w:r>
              <w:rPr>
                <w:rFonts w:hint="default" w:ascii="Times New Roman" w:hAnsi="Times New Roman" w:eastAsia="宋体" w:cs="Times New Roman"/>
                <w:i w:val="0"/>
                <w:iCs w:val="0"/>
                <w:color w:val="FF0000"/>
                <w:sz w:val="21"/>
                <w:szCs w:val="21"/>
                <w:highlight w:val="none"/>
              </w:rPr>
              <w:t>00</w:t>
            </w:r>
          </w:p>
        </w:tc>
        <w:tc>
          <w:tcPr>
            <w:tcW w:w="11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D5CA46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color w:val="FF0000"/>
                <w:sz w:val="21"/>
                <w:szCs w:val="21"/>
                <w:highlight w:val="none"/>
              </w:rPr>
              <w:t>4.442</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97F6CB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color w:val="FF0000"/>
                <w:sz w:val="21"/>
                <w:szCs w:val="21"/>
                <w:highlight w:val="none"/>
              </w:rPr>
              <w:t>2.22100E+000</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5E05E8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color w:val="FF0000"/>
                <w:sz w:val="21"/>
                <w:szCs w:val="21"/>
                <w:highlight w:val="none"/>
              </w:rPr>
              <w:t>0.0623439</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60E92C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lang w:val="en-US" w:eastAsia="zh-CN"/>
              </w:rPr>
            </w:pPr>
            <w:r>
              <w:rPr>
                <w:rFonts w:hint="default" w:ascii="Times New Roman" w:hAnsi="Times New Roman" w:eastAsia="宋体" w:cs="Times New Roman"/>
                <w:color w:val="FF0000"/>
                <w:sz w:val="21"/>
                <w:szCs w:val="21"/>
                <w:highlight w:val="none"/>
              </w:rPr>
              <w:t>6.23439E-001</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EFD38F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color w:val="FF0000"/>
                <w:sz w:val="21"/>
                <w:szCs w:val="21"/>
                <w:highlight w:val="none"/>
              </w:rPr>
              <w:t>15.121</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2D0552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lang w:eastAsia="zh-CN"/>
              </w:rPr>
            </w:pPr>
            <w:r>
              <w:rPr>
                <w:rFonts w:hint="default" w:ascii="Times New Roman" w:hAnsi="Times New Roman" w:eastAsia="宋体" w:cs="Times New Roman"/>
                <w:color w:val="FF0000"/>
                <w:sz w:val="21"/>
                <w:szCs w:val="21"/>
                <w:highlight w:val="none"/>
              </w:rPr>
              <w:t>7.56050E+000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D63215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color w:val="FF0000"/>
                <w:sz w:val="21"/>
                <w:szCs w:val="21"/>
                <w:highlight w:val="none"/>
              </w:rPr>
              <w:t>0.198961</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127064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lang w:eastAsia="zh-CN"/>
              </w:rPr>
            </w:pPr>
            <w:r>
              <w:rPr>
                <w:rFonts w:hint="default" w:ascii="Times New Roman" w:hAnsi="Times New Roman" w:eastAsia="宋体" w:cs="Times New Roman"/>
                <w:color w:val="FF0000"/>
                <w:sz w:val="21"/>
                <w:szCs w:val="21"/>
                <w:highlight w:val="none"/>
              </w:rPr>
              <w:t>1.98961E+000</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66A171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34.232</w:t>
            </w:r>
          </w:p>
        </w:tc>
        <w:tc>
          <w:tcPr>
            <w:tcW w:w="119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67353A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3.80356E+000</w:t>
            </w:r>
          </w:p>
        </w:tc>
      </w:tr>
      <w:tr w14:paraId="741DA69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D8345D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rPr>
              <w:t>5</w:t>
            </w:r>
          </w:p>
        </w:tc>
        <w:tc>
          <w:tcPr>
            <w:tcW w:w="96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94389A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lang w:val="en-US" w:eastAsia="zh-CN"/>
              </w:rPr>
            </w:pPr>
            <w:r>
              <w:rPr>
                <w:rFonts w:hint="default" w:ascii="Times New Roman" w:hAnsi="Times New Roman" w:eastAsia="宋体" w:cs="Times New Roman"/>
                <w:i w:val="0"/>
                <w:iCs w:val="0"/>
                <w:color w:val="FF0000"/>
                <w:sz w:val="21"/>
                <w:szCs w:val="21"/>
                <w:highlight w:val="none"/>
                <w:lang w:val="en-US" w:eastAsia="zh-CN"/>
              </w:rPr>
              <w:t>283</w:t>
            </w:r>
          </w:p>
        </w:tc>
        <w:tc>
          <w:tcPr>
            <w:tcW w:w="11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07E01B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lang w:val="en-US" w:eastAsia="zh-CN"/>
              </w:rPr>
              <w:t>/</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0218D2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lang w:val="en-US" w:eastAsia="zh-CN"/>
              </w:rPr>
              <w:t>/</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41DB15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lang w:val="en-US" w:eastAsia="zh-CN"/>
              </w:rPr>
              <w:t>/</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0C8B9A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lang w:val="en-US" w:eastAsia="zh-CN"/>
              </w:rPr>
              <w:t>/</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0BF97B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color w:val="FF0000"/>
                <w:sz w:val="21"/>
                <w:szCs w:val="21"/>
                <w:highlight w:val="none"/>
              </w:rPr>
              <w:t>16.621</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F26475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lang w:eastAsia="zh-CN"/>
              </w:rPr>
            </w:pPr>
            <w:r>
              <w:rPr>
                <w:rFonts w:hint="default" w:ascii="Times New Roman" w:hAnsi="Times New Roman" w:eastAsia="宋体" w:cs="Times New Roman"/>
                <w:color w:val="FF0000"/>
                <w:sz w:val="21"/>
                <w:szCs w:val="21"/>
                <w:highlight w:val="none"/>
              </w:rPr>
              <w:t>8.31050E+000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FE6B50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color w:val="FF0000"/>
                <w:sz w:val="21"/>
                <w:szCs w:val="21"/>
                <w:highlight w:val="none"/>
              </w:rPr>
              <w:t>0.218697</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75A055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lang w:eastAsia="zh-CN"/>
              </w:rPr>
            </w:pPr>
            <w:r>
              <w:rPr>
                <w:rFonts w:hint="default" w:ascii="Times New Roman" w:hAnsi="Times New Roman" w:eastAsia="宋体" w:cs="Times New Roman"/>
                <w:color w:val="FF0000"/>
                <w:sz w:val="21"/>
                <w:szCs w:val="21"/>
                <w:highlight w:val="none"/>
              </w:rPr>
              <w:t>2.18697E+000</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BDC056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lang w:val="en-US" w:eastAsia="zh-CN"/>
              </w:rPr>
              <w:t>/</w:t>
            </w:r>
          </w:p>
        </w:tc>
        <w:tc>
          <w:tcPr>
            <w:tcW w:w="119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8EE681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lang w:val="en-US" w:eastAsia="zh-CN"/>
              </w:rPr>
              <w:t>/</w:t>
            </w:r>
          </w:p>
        </w:tc>
      </w:tr>
      <w:tr w14:paraId="0E8EEE0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C2C573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rPr>
              <w:t>6</w:t>
            </w:r>
          </w:p>
        </w:tc>
        <w:tc>
          <w:tcPr>
            <w:tcW w:w="96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F7FD27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lang w:val="en-US" w:eastAsia="zh-CN"/>
              </w:rPr>
              <w:t>3</w:t>
            </w:r>
            <w:r>
              <w:rPr>
                <w:rFonts w:hint="default" w:ascii="Times New Roman" w:hAnsi="Times New Roman" w:eastAsia="宋体" w:cs="Times New Roman"/>
                <w:i w:val="0"/>
                <w:iCs w:val="0"/>
                <w:color w:val="FF0000"/>
                <w:sz w:val="21"/>
                <w:szCs w:val="21"/>
                <w:highlight w:val="none"/>
              </w:rPr>
              <w:t>00</w:t>
            </w:r>
          </w:p>
        </w:tc>
        <w:tc>
          <w:tcPr>
            <w:tcW w:w="11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8BF791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color w:val="FF0000"/>
                <w:sz w:val="21"/>
                <w:szCs w:val="21"/>
                <w:highlight w:val="none"/>
              </w:rPr>
              <w:t>5.9995</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A3BC79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color w:val="FF0000"/>
                <w:sz w:val="21"/>
                <w:szCs w:val="21"/>
                <w:highlight w:val="none"/>
              </w:rPr>
              <w:t>2.99975E+000</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C2B356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color w:val="FF0000"/>
                <w:sz w:val="21"/>
                <w:szCs w:val="21"/>
                <w:highlight w:val="none"/>
              </w:rPr>
              <w:t>0.0842035</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60B0F0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color w:val="FF0000"/>
                <w:sz w:val="21"/>
                <w:szCs w:val="21"/>
                <w:highlight w:val="none"/>
              </w:rPr>
              <w:t>8.42035E-001</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D556C8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color w:val="FF0000"/>
                <w:sz w:val="21"/>
                <w:szCs w:val="21"/>
                <w:highlight w:val="none"/>
              </w:rPr>
              <w:t>16.584</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AE4E70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lang w:eastAsia="zh-CN"/>
              </w:rPr>
            </w:pPr>
            <w:r>
              <w:rPr>
                <w:rFonts w:hint="default" w:ascii="Times New Roman" w:hAnsi="Times New Roman" w:eastAsia="宋体" w:cs="Times New Roman"/>
                <w:color w:val="FF0000"/>
                <w:sz w:val="21"/>
                <w:szCs w:val="21"/>
                <w:highlight w:val="none"/>
              </w:rPr>
              <w:t>8.29200E+000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1FC51B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color w:val="FF0000"/>
                <w:sz w:val="21"/>
                <w:szCs w:val="21"/>
                <w:highlight w:val="none"/>
              </w:rPr>
              <w:t>0.218211</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20038A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color w:val="FF0000"/>
                <w:sz w:val="21"/>
                <w:szCs w:val="21"/>
                <w:highlight w:val="none"/>
              </w:rPr>
              <w:t>2.18211E+000</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FE11E1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color w:val="FF0000"/>
                <w:sz w:val="21"/>
                <w:szCs w:val="21"/>
                <w:highlight w:val="none"/>
              </w:rPr>
              <w:t>25.689</w:t>
            </w:r>
          </w:p>
        </w:tc>
        <w:tc>
          <w:tcPr>
            <w:tcW w:w="119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CB5079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lang w:eastAsia="zh-CN"/>
              </w:rPr>
            </w:pPr>
            <w:r>
              <w:rPr>
                <w:rFonts w:hint="default" w:ascii="Times New Roman" w:hAnsi="Times New Roman" w:eastAsia="宋体" w:cs="Times New Roman"/>
                <w:color w:val="FF0000"/>
                <w:sz w:val="21"/>
                <w:szCs w:val="21"/>
                <w:highlight w:val="none"/>
              </w:rPr>
              <w:t>2.85433E+000</w:t>
            </w:r>
          </w:p>
        </w:tc>
      </w:tr>
      <w:tr w14:paraId="144191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5F35B9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rPr>
              <w:t>7</w:t>
            </w:r>
          </w:p>
        </w:tc>
        <w:tc>
          <w:tcPr>
            <w:tcW w:w="96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CC5780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lang w:val="en-US" w:eastAsia="zh-CN"/>
              </w:rPr>
              <w:t>4</w:t>
            </w:r>
            <w:r>
              <w:rPr>
                <w:rFonts w:hint="default" w:ascii="Times New Roman" w:hAnsi="Times New Roman" w:eastAsia="宋体" w:cs="Times New Roman"/>
                <w:i w:val="0"/>
                <w:iCs w:val="0"/>
                <w:color w:val="FF0000"/>
                <w:sz w:val="21"/>
                <w:szCs w:val="21"/>
                <w:highlight w:val="none"/>
              </w:rPr>
              <w:t>00</w:t>
            </w:r>
          </w:p>
        </w:tc>
        <w:tc>
          <w:tcPr>
            <w:tcW w:w="11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B4EB3D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7.2922</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1751BC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3.64610E+000</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A1FC70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0.102347</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D39C34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1.02347E+000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4CFB95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15.505</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9F13A4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7.75250E+000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6D777F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0.204013</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BCF826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2.04013E+000</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00C073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20.968</w:t>
            </w:r>
          </w:p>
        </w:tc>
        <w:tc>
          <w:tcPr>
            <w:tcW w:w="119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E1A7D2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2.32978E+000</w:t>
            </w:r>
          </w:p>
        </w:tc>
      </w:tr>
      <w:tr w14:paraId="6007778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AE86D2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rPr>
              <w:t>8</w:t>
            </w:r>
          </w:p>
        </w:tc>
        <w:tc>
          <w:tcPr>
            <w:tcW w:w="96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B8F295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rPr>
              <w:t>500</w:t>
            </w:r>
          </w:p>
        </w:tc>
        <w:tc>
          <w:tcPr>
            <w:tcW w:w="11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15F245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lang w:val="en-US" w:eastAsia="zh-CN"/>
              </w:rPr>
            </w:pPr>
            <w:r>
              <w:rPr>
                <w:rFonts w:hint="default" w:ascii="Times New Roman" w:hAnsi="Times New Roman" w:eastAsia="宋体" w:cs="Times New Roman"/>
                <w:color w:val="FF0000"/>
                <w:sz w:val="21"/>
                <w:szCs w:val="21"/>
                <w:highlight w:val="none"/>
              </w:rPr>
              <w:t>7.7974</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D50600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color w:val="FF0000"/>
                <w:sz w:val="21"/>
                <w:szCs w:val="21"/>
                <w:highlight w:val="none"/>
              </w:rPr>
              <w:t>3.89870E+000</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021DBB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color w:val="FF0000"/>
                <w:sz w:val="21"/>
                <w:szCs w:val="21"/>
                <w:highlight w:val="none"/>
              </w:rPr>
              <w:t>0.109437</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E5A742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lang w:eastAsia="zh-CN"/>
              </w:rPr>
            </w:pPr>
            <w:r>
              <w:rPr>
                <w:rFonts w:hint="default" w:ascii="Times New Roman" w:hAnsi="Times New Roman" w:eastAsia="宋体" w:cs="Times New Roman"/>
                <w:color w:val="FF0000"/>
                <w:sz w:val="21"/>
                <w:szCs w:val="21"/>
                <w:highlight w:val="none"/>
              </w:rPr>
              <w:t>1.09437E+000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3FB41A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13.961</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16AC65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6.98050E+000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26364C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0.183697</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5999ED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1.83697E+000</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BF1BF6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color w:val="FF0000"/>
                <w:sz w:val="21"/>
                <w:szCs w:val="21"/>
                <w:highlight w:val="none"/>
              </w:rPr>
              <w:t>17.918</w:t>
            </w:r>
          </w:p>
        </w:tc>
        <w:tc>
          <w:tcPr>
            <w:tcW w:w="119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5B85AA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color w:val="FF0000"/>
                <w:sz w:val="21"/>
                <w:szCs w:val="21"/>
                <w:highlight w:val="none"/>
              </w:rPr>
              <w:t>1.99089E+000</w:t>
            </w:r>
          </w:p>
        </w:tc>
      </w:tr>
      <w:tr w14:paraId="3F360E3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FF64D9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rPr>
              <w:t>9</w:t>
            </w:r>
          </w:p>
        </w:tc>
        <w:tc>
          <w:tcPr>
            <w:tcW w:w="96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B8351B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lang w:val="en-US" w:eastAsia="zh-CN"/>
              </w:rPr>
            </w:pPr>
            <w:r>
              <w:rPr>
                <w:rFonts w:hint="default" w:ascii="Times New Roman" w:hAnsi="Times New Roman" w:eastAsia="宋体" w:cs="Times New Roman"/>
                <w:i w:val="0"/>
                <w:iCs w:val="0"/>
                <w:color w:val="FF0000"/>
                <w:sz w:val="21"/>
                <w:szCs w:val="21"/>
                <w:highlight w:val="none"/>
                <w:lang w:val="en-US" w:eastAsia="zh-CN"/>
              </w:rPr>
              <w:t>568</w:t>
            </w:r>
          </w:p>
        </w:tc>
        <w:tc>
          <w:tcPr>
            <w:tcW w:w="11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90F929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7.8643</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B6447D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3.93215E+000</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55A186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color w:val="FF0000"/>
                <w:sz w:val="21"/>
                <w:szCs w:val="21"/>
                <w:highlight w:val="none"/>
              </w:rPr>
              <w:t>0.110376</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FFA001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lang w:eastAsia="zh-CN"/>
              </w:rPr>
            </w:pPr>
            <w:r>
              <w:rPr>
                <w:rFonts w:hint="default" w:ascii="Times New Roman" w:hAnsi="Times New Roman" w:eastAsia="宋体" w:cs="Times New Roman"/>
                <w:color w:val="FF0000"/>
                <w:sz w:val="21"/>
                <w:szCs w:val="21"/>
                <w:highlight w:val="none"/>
              </w:rPr>
              <w:t>1.10376E+000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DBD9AE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lang w:val="en-US" w:eastAsia="zh-CN"/>
              </w:rPr>
              <w:t>/</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BC84CE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lang w:val="en-US" w:eastAsia="zh-CN"/>
              </w:rPr>
              <w:t>/</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D74C2E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lang w:val="en-US" w:eastAsia="zh-CN"/>
              </w:rPr>
              <w:t>/</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B1DAC9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lang w:val="en-US" w:eastAsia="zh-CN"/>
              </w:rPr>
              <w:t>/</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FA3C56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lang w:val="en-US" w:eastAsia="zh-CN"/>
              </w:rPr>
              <w:t>/</w:t>
            </w:r>
          </w:p>
        </w:tc>
        <w:tc>
          <w:tcPr>
            <w:tcW w:w="119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2596A5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lang w:val="en-US" w:eastAsia="zh-CN"/>
              </w:rPr>
              <w:t>/</w:t>
            </w:r>
          </w:p>
        </w:tc>
      </w:tr>
      <w:tr w14:paraId="70630FC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86D940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rPr>
              <w:t>10</w:t>
            </w:r>
          </w:p>
        </w:tc>
        <w:tc>
          <w:tcPr>
            <w:tcW w:w="96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A952F8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lang w:val="en-US" w:eastAsia="zh-CN"/>
              </w:rPr>
              <w:t>6</w:t>
            </w:r>
            <w:r>
              <w:rPr>
                <w:rFonts w:hint="default" w:ascii="Times New Roman" w:hAnsi="Times New Roman" w:eastAsia="宋体" w:cs="Times New Roman"/>
                <w:i w:val="0"/>
                <w:iCs w:val="0"/>
                <w:color w:val="FF0000"/>
                <w:sz w:val="21"/>
                <w:szCs w:val="21"/>
                <w:highlight w:val="none"/>
              </w:rPr>
              <w:t>00</w:t>
            </w:r>
          </w:p>
        </w:tc>
        <w:tc>
          <w:tcPr>
            <w:tcW w:w="11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FD14D0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7.8516</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B24EE7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3.92580E+000</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A6B334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0.110198</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EEFFCB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1.10198E+000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364804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12.477</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3C641F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6.23850E+000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7BB558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0.164171</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71E2CA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1.64171E+000</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5DAC61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color w:val="FF0000"/>
                <w:sz w:val="21"/>
                <w:szCs w:val="21"/>
                <w:highlight w:val="none"/>
              </w:rPr>
              <w:t>15.761</w:t>
            </w:r>
          </w:p>
        </w:tc>
        <w:tc>
          <w:tcPr>
            <w:tcW w:w="119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B64053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color w:val="FF0000"/>
                <w:sz w:val="21"/>
                <w:szCs w:val="21"/>
                <w:highlight w:val="none"/>
              </w:rPr>
              <w:t>1.75122E+000</w:t>
            </w:r>
          </w:p>
        </w:tc>
      </w:tr>
      <w:tr w14:paraId="15E323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B9C60C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rPr>
              <w:t>11</w:t>
            </w:r>
          </w:p>
        </w:tc>
        <w:tc>
          <w:tcPr>
            <w:tcW w:w="96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820CA8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rPr>
              <w:t>700</w:t>
            </w:r>
          </w:p>
        </w:tc>
        <w:tc>
          <w:tcPr>
            <w:tcW w:w="11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BD5B2B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7.7063</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0C18A2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3.85315E+000</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763EC7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0.108159</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6445A6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1.08159E+000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95BF72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11.176</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CB0638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5.58800E+000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F9BE5B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0.147053</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2A2BBB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1.47053E+000</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6AED3F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14.142</w:t>
            </w:r>
          </w:p>
        </w:tc>
        <w:tc>
          <w:tcPr>
            <w:tcW w:w="119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3DE5F7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1.57133E+000</w:t>
            </w:r>
          </w:p>
        </w:tc>
      </w:tr>
      <w:tr w14:paraId="5D3D67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4B1D4D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rPr>
              <w:t>12</w:t>
            </w:r>
          </w:p>
        </w:tc>
        <w:tc>
          <w:tcPr>
            <w:tcW w:w="96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95F34C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lang w:val="en-US" w:eastAsia="zh-CN"/>
              </w:rPr>
              <w:t>8</w:t>
            </w:r>
            <w:r>
              <w:rPr>
                <w:rFonts w:hint="default" w:ascii="Times New Roman" w:hAnsi="Times New Roman" w:eastAsia="宋体" w:cs="Times New Roman"/>
                <w:i w:val="0"/>
                <w:iCs w:val="0"/>
                <w:color w:val="FF0000"/>
                <w:sz w:val="21"/>
                <w:szCs w:val="21"/>
                <w:highlight w:val="none"/>
              </w:rPr>
              <w:t>00</w:t>
            </w:r>
          </w:p>
        </w:tc>
        <w:tc>
          <w:tcPr>
            <w:tcW w:w="11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4EF921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7.468</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0E7EF6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3.73400E+000</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B68D6D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0.104814</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0C5510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1.04814E+000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E6DAAC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10.155</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22599C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5.07750E+000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4024A1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0.133618</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889D23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1.33618E+000</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35EADD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12.875</w:t>
            </w:r>
          </w:p>
        </w:tc>
        <w:tc>
          <w:tcPr>
            <w:tcW w:w="119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045A84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1.43056E+000</w:t>
            </w:r>
          </w:p>
        </w:tc>
      </w:tr>
      <w:tr w14:paraId="280F4A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6F1916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lang w:val="en-US" w:eastAsia="zh-CN"/>
              </w:rPr>
              <w:t>13</w:t>
            </w:r>
          </w:p>
        </w:tc>
        <w:tc>
          <w:tcPr>
            <w:tcW w:w="96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520F22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lang w:val="en-US" w:eastAsia="zh-CN"/>
              </w:rPr>
              <w:t>900</w:t>
            </w:r>
          </w:p>
        </w:tc>
        <w:tc>
          <w:tcPr>
            <w:tcW w:w="11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9DA66B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7.1941</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A35EBA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3.59705E+000</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BCE881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0.10097</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4FF366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1.00970E+000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A0438C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9.3137</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142A18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4.65685E+000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4E108F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0.122549</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280E31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1.22549E+000</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014BAA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11.853</w:t>
            </w:r>
          </w:p>
        </w:tc>
        <w:tc>
          <w:tcPr>
            <w:tcW w:w="119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FEA92B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1.31700E+000</w:t>
            </w:r>
          </w:p>
        </w:tc>
      </w:tr>
      <w:tr w14:paraId="165B12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76A962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lang w:val="en-US" w:eastAsia="zh-CN"/>
              </w:rPr>
              <w:t>14</w:t>
            </w:r>
          </w:p>
        </w:tc>
        <w:tc>
          <w:tcPr>
            <w:tcW w:w="96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4C7462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lang w:val="en-US" w:eastAsia="zh-CN"/>
              </w:rPr>
              <w:t>1000</w:t>
            </w:r>
          </w:p>
        </w:tc>
        <w:tc>
          <w:tcPr>
            <w:tcW w:w="11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703E1A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6.9433</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3FE0C3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3.47165E+000</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2C12A2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0.0974498</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7983E7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9.74498E-001</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5124DC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8.6067</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1AC226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4.30335E+000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6B096F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0.113246</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AF144B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1.13246E+000</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D92748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11.008</w:t>
            </w:r>
          </w:p>
        </w:tc>
        <w:tc>
          <w:tcPr>
            <w:tcW w:w="119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92F5CA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1.22311E+000</w:t>
            </w:r>
          </w:p>
        </w:tc>
      </w:tr>
      <w:tr w14:paraId="22B010F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jc w:val="center"/>
        </w:trPr>
        <w:tc>
          <w:tcPr>
            <w:tcW w:w="57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39BA2D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sz w:val="21"/>
                <w:szCs w:val="21"/>
                <w:highlight w:val="none"/>
                <w:lang w:val="en-US" w:eastAsia="zh-CN"/>
              </w:rPr>
              <w:t>15</w:t>
            </w:r>
          </w:p>
        </w:tc>
        <w:tc>
          <w:tcPr>
            <w:tcW w:w="96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118593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lang w:val="en-US" w:eastAsia="zh-CN"/>
              </w:rPr>
            </w:pPr>
            <w:r>
              <w:rPr>
                <w:rFonts w:hint="default" w:ascii="Times New Roman" w:hAnsi="Times New Roman" w:eastAsia="宋体" w:cs="Times New Roman"/>
                <w:i w:val="0"/>
                <w:iCs w:val="0"/>
                <w:color w:val="FF0000"/>
                <w:sz w:val="21"/>
                <w:szCs w:val="21"/>
                <w:highlight w:val="none"/>
                <w:lang w:val="en-US" w:eastAsia="zh-CN"/>
              </w:rPr>
              <w:t>2000</w:t>
            </w:r>
          </w:p>
        </w:tc>
        <w:tc>
          <w:tcPr>
            <w:tcW w:w="11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617842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5.3028</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3A9C1D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2.65140E+000</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61BF72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0.0744253</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93BC4D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7.44253E-001</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837B57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5.1675</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1AEC7E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2.58375E+000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DEB3B2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0.0679934</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9CEAB4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6.79934E-001</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3C0DCC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8.1445</w:t>
            </w:r>
          </w:p>
        </w:tc>
        <w:tc>
          <w:tcPr>
            <w:tcW w:w="119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F42E29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9.04944E-001</w:t>
            </w:r>
          </w:p>
        </w:tc>
      </w:tr>
      <w:tr w14:paraId="0AEC598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7E845E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lang w:val="en-US" w:eastAsia="zh-CN"/>
              </w:rPr>
            </w:pPr>
            <w:r>
              <w:rPr>
                <w:rFonts w:hint="default" w:ascii="Times New Roman" w:hAnsi="Times New Roman" w:eastAsia="宋体" w:cs="Times New Roman"/>
                <w:i w:val="0"/>
                <w:iCs w:val="0"/>
                <w:color w:val="FF0000"/>
                <w:kern w:val="2"/>
                <w:sz w:val="21"/>
                <w:szCs w:val="21"/>
                <w:highlight w:val="none"/>
                <w:lang w:val="en-US" w:eastAsia="zh-CN" w:bidi="ar-SA"/>
              </w:rPr>
              <w:t>16</w:t>
            </w:r>
          </w:p>
        </w:tc>
        <w:tc>
          <w:tcPr>
            <w:tcW w:w="96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71982E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lang w:val="en-US" w:eastAsia="zh-CN"/>
              </w:rPr>
            </w:pPr>
            <w:r>
              <w:rPr>
                <w:rFonts w:hint="default" w:ascii="Times New Roman" w:hAnsi="Times New Roman" w:eastAsia="宋体" w:cs="Times New Roman"/>
                <w:i w:val="0"/>
                <w:iCs w:val="0"/>
                <w:color w:val="FF0000"/>
                <w:sz w:val="21"/>
                <w:szCs w:val="21"/>
                <w:highlight w:val="none"/>
                <w:lang w:val="en-US" w:eastAsia="zh-CN"/>
              </w:rPr>
              <w:t>2400</w:t>
            </w:r>
          </w:p>
        </w:tc>
        <w:tc>
          <w:tcPr>
            <w:tcW w:w="11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F0C7A1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4.9171</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1BFE2F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2.45855E+000</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53C4C1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0.0690119</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297F9E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6.90119E-001</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400CE3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4.4789</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6C1F6E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2.23945E+000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D83D1D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0.0589329</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F73C25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5.89329E-001</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D4D9B3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7.4067</w:t>
            </w:r>
          </w:p>
        </w:tc>
        <w:tc>
          <w:tcPr>
            <w:tcW w:w="119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6D76F9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8.22967E-001</w:t>
            </w:r>
          </w:p>
        </w:tc>
      </w:tr>
      <w:tr w14:paraId="02D1BA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40AB3B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i w:val="0"/>
                <w:iCs w:val="0"/>
                <w:color w:val="FF0000"/>
                <w:kern w:val="2"/>
                <w:sz w:val="21"/>
                <w:szCs w:val="21"/>
                <w:highlight w:val="none"/>
                <w:lang w:val="en-US" w:eastAsia="zh-CN" w:bidi="ar-SA"/>
              </w:rPr>
              <w:t>17</w:t>
            </w:r>
          </w:p>
        </w:tc>
        <w:tc>
          <w:tcPr>
            <w:tcW w:w="96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88B7EE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lang w:val="en-US" w:eastAsia="zh-CN"/>
              </w:rPr>
            </w:pPr>
            <w:r>
              <w:rPr>
                <w:rFonts w:hint="default" w:ascii="Times New Roman" w:hAnsi="Times New Roman" w:eastAsia="宋体" w:cs="Times New Roman"/>
                <w:i w:val="0"/>
                <w:iCs w:val="0"/>
                <w:color w:val="FF0000"/>
                <w:sz w:val="21"/>
                <w:szCs w:val="21"/>
                <w:highlight w:val="none"/>
              </w:rPr>
              <w:t>2</w:t>
            </w:r>
            <w:r>
              <w:rPr>
                <w:rFonts w:hint="default" w:ascii="Times New Roman" w:hAnsi="Times New Roman" w:eastAsia="宋体" w:cs="Times New Roman"/>
                <w:i w:val="0"/>
                <w:iCs w:val="0"/>
                <w:color w:val="FF0000"/>
                <w:sz w:val="21"/>
                <w:szCs w:val="21"/>
                <w:highlight w:val="none"/>
                <w:lang w:val="en-US" w:eastAsia="zh-CN"/>
              </w:rPr>
              <w:t>500</w:t>
            </w:r>
          </w:p>
        </w:tc>
        <w:tc>
          <w:tcPr>
            <w:tcW w:w="11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6C945C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4.8159</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8D4092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2.40795E+000</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B94A4B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0.0675916</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12D4F8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6.75916E-001</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72A7FB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4.3312</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91664C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2.16560E+000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058C6F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0.0569895</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526C07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5.69895E-001</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0AAEDE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7.2293</w:t>
            </w:r>
          </w:p>
        </w:tc>
        <w:tc>
          <w:tcPr>
            <w:tcW w:w="119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ADA0A9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8.03256E-001</w:t>
            </w:r>
          </w:p>
        </w:tc>
      </w:tr>
      <w:tr w14:paraId="43E4154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35"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35459D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kern w:val="0"/>
                <w:sz w:val="21"/>
                <w:szCs w:val="21"/>
                <w:highlight w:val="none"/>
                <w:lang w:bidi="ar"/>
              </w:rPr>
              <w:t>下风向最大质量浓度及占标率%</w:t>
            </w:r>
          </w:p>
        </w:tc>
        <w:tc>
          <w:tcPr>
            <w:tcW w:w="11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9F8519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7.8643</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300CEE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3.93215E+000</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1C1E69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0.110376</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3165B0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1.10376E+000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08E065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16.621</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69538B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8.31050E+000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FE28E4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0.218697</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DF52A8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2.18697E+000</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FDBEE5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76.91</w:t>
            </w:r>
          </w:p>
        </w:tc>
        <w:tc>
          <w:tcPr>
            <w:tcW w:w="119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2803C2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8.54556E+000</w:t>
            </w:r>
          </w:p>
        </w:tc>
      </w:tr>
      <w:tr w14:paraId="730715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35"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15A168B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kern w:val="0"/>
                <w:sz w:val="21"/>
                <w:szCs w:val="21"/>
                <w:highlight w:val="none"/>
                <w:lang w:bidi="ar"/>
              </w:rPr>
            </w:pPr>
            <w:r>
              <w:rPr>
                <w:rFonts w:hint="default" w:ascii="Times New Roman" w:hAnsi="Times New Roman" w:eastAsia="宋体" w:cs="Times New Roman"/>
                <w:i w:val="0"/>
                <w:iCs w:val="0"/>
                <w:color w:val="FF0000"/>
                <w:kern w:val="0"/>
                <w:sz w:val="21"/>
                <w:szCs w:val="21"/>
                <w:highlight w:val="none"/>
                <w:lang w:bidi="ar"/>
              </w:rPr>
              <w:t>下风向最大浓度落地距离</w:t>
            </w:r>
          </w:p>
        </w:tc>
        <w:tc>
          <w:tcPr>
            <w:tcW w:w="4763" w:type="dxa"/>
            <w:gridSpan w:val="4"/>
            <w:tcBorders>
              <w:top w:val="single" w:color="auto" w:sz="4" w:space="0"/>
              <w:left w:val="single" w:color="auto" w:sz="4" w:space="0"/>
              <w:bottom w:val="single" w:color="auto" w:sz="4" w:space="0"/>
              <w:right w:val="single" w:color="auto" w:sz="4" w:space="0"/>
            </w:tcBorders>
            <w:shd w:val="clear" w:color="auto" w:fill="auto"/>
            <w:noWrap/>
            <w:vAlign w:val="center"/>
          </w:tcPr>
          <w:p w14:paraId="28B5818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i w:val="0"/>
                <w:iCs w:val="0"/>
                <w:color w:val="FF0000"/>
                <w:sz w:val="21"/>
                <w:szCs w:val="21"/>
                <w:highlight w:val="none"/>
                <w:lang w:val="en-US" w:eastAsia="zh-CN"/>
              </w:rPr>
            </w:pPr>
            <w:r>
              <w:rPr>
                <w:rFonts w:hint="default" w:ascii="Times New Roman" w:hAnsi="Times New Roman" w:eastAsia="宋体" w:cs="Times New Roman"/>
                <w:b/>
                <w:bCs/>
                <w:i w:val="0"/>
                <w:iCs w:val="0"/>
                <w:color w:val="FF0000"/>
                <w:sz w:val="21"/>
                <w:szCs w:val="21"/>
                <w:highlight w:val="none"/>
                <w:lang w:val="en-US" w:eastAsia="zh-CN"/>
              </w:rPr>
              <w:t>568</w:t>
            </w:r>
          </w:p>
        </w:tc>
        <w:tc>
          <w:tcPr>
            <w:tcW w:w="4769" w:type="dxa"/>
            <w:gridSpan w:val="4"/>
            <w:tcBorders>
              <w:top w:val="single" w:color="auto" w:sz="4" w:space="0"/>
              <w:left w:val="single" w:color="auto" w:sz="4" w:space="0"/>
              <w:bottom w:val="single" w:color="auto" w:sz="4" w:space="0"/>
              <w:right w:val="single" w:color="auto" w:sz="4" w:space="0"/>
            </w:tcBorders>
            <w:shd w:val="clear" w:color="auto" w:fill="auto"/>
            <w:noWrap/>
            <w:vAlign w:val="center"/>
          </w:tcPr>
          <w:p w14:paraId="3ACA137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bCs/>
                <w:i w:val="0"/>
                <w:iCs w:val="0"/>
                <w:color w:val="FF0000"/>
                <w:sz w:val="21"/>
                <w:szCs w:val="21"/>
                <w:highlight w:val="none"/>
                <w:lang w:val="en-US" w:eastAsia="zh-CN"/>
              </w:rPr>
            </w:pPr>
            <w:r>
              <w:rPr>
                <w:rFonts w:hint="default" w:ascii="Times New Roman" w:hAnsi="Times New Roman" w:eastAsia="宋体" w:cs="Times New Roman"/>
                <w:b/>
                <w:bCs/>
                <w:i w:val="0"/>
                <w:iCs w:val="0"/>
                <w:color w:val="FF0000"/>
                <w:sz w:val="21"/>
                <w:szCs w:val="21"/>
                <w:highlight w:val="none"/>
                <w:lang w:val="en-US" w:eastAsia="zh-CN"/>
              </w:rPr>
              <w:t>283</w:t>
            </w:r>
          </w:p>
        </w:tc>
        <w:tc>
          <w:tcPr>
            <w:tcW w:w="2387"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351C6D7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i w:val="0"/>
                <w:iCs w:val="0"/>
                <w:color w:val="FF0000"/>
                <w:sz w:val="21"/>
                <w:szCs w:val="21"/>
                <w:highlight w:val="none"/>
                <w:lang w:val="en-US" w:eastAsia="zh-CN"/>
              </w:rPr>
            </w:pPr>
            <w:r>
              <w:rPr>
                <w:rFonts w:hint="default" w:ascii="Times New Roman" w:hAnsi="Times New Roman" w:eastAsia="宋体" w:cs="Times New Roman"/>
                <w:b/>
                <w:i w:val="0"/>
                <w:iCs w:val="0"/>
                <w:color w:val="FF0000"/>
                <w:sz w:val="21"/>
                <w:szCs w:val="21"/>
                <w:highlight w:val="none"/>
                <w:lang w:val="en-US" w:eastAsia="zh-CN"/>
              </w:rPr>
              <w:t>61</w:t>
            </w:r>
          </w:p>
        </w:tc>
      </w:tr>
      <w:tr w14:paraId="2FCE84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535"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3F2954A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D10%最远距离/m</w:t>
            </w:r>
          </w:p>
        </w:tc>
        <w:tc>
          <w:tcPr>
            <w:tcW w:w="11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2A072E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0</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471245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0</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4DE7B6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0</w:t>
            </w:r>
          </w:p>
        </w:tc>
        <w:tc>
          <w:tcPr>
            <w:tcW w:w="119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42DFEE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797ADE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57720E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0</w:t>
            </w:r>
          </w:p>
        </w:tc>
        <w:tc>
          <w:tcPr>
            <w:tcW w:w="11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3C153A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0</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6088C0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0</w:t>
            </w:r>
          </w:p>
        </w:tc>
        <w:tc>
          <w:tcPr>
            <w:tcW w:w="119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EC2878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0</w:t>
            </w:r>
          </w:p>
        </w:tc>
        <w:tc>
          <w:tcPr>
            <w:tcW w:w="119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D48222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FF0000"/>
                <w:sz w:val="21"/>
                <w:szCs w:val="21"/>
                <w:highlight w:val="none"/>
              </w:rPr>
            </w:pPr>
            <w:r>
              <w:rPr>
                <w:rFonts w:hint="default" w:ascii="Times New Roman" w:hAnsi="Times New Roman" w:eastAsia="宋体" w:cs="Times New Roman"/>
                <w:i w:val="0"/>
                <w:iCs w:val="0"/>
                <w:color w:val="FF0000"/>
                <w:sz w:val="21"/>
                <w:szCs w:val="21"/>
                <w:highlight w:val="none"/>
              </w:rPr>
              <w:t>0</w:t>
            </w:r>
          </w:p>
        </w:tc>
      </w:tr>
    </w:tbl>
    <w:p w14:paraId="61C582F7">
      <w:pPr>
        <w:pStyle w:val="7"/>
        <w:pageBreakBefore w:val="0"/>
        <w:widowControl w:val="0"/>
        <w:kinsoku/>
        <w:wordWrap/>
        <w:overflowPunct/>
        <w:topLinePunct/>
        <w:autoSpaceDE w:val="0"/>
        <w:autoSpaceDN/>
        <w:bidi w:val="0"/>
        <w:adjustRightInd/>
        <w:snapToGrid w:val="0"/>
        <w:spacing w:line="360" w:lineRule="auto"/>
        <w:ind w:left="0" w:leftChars="0" w:right="0" w:rightChars="0" w:firstLine="480" w:firstLineChars="200"/>
        <w:jc w:val="left"/>
        <w:textAlignment w:val="auto"/>
        <w:rPr>
          <w:rFonts w:hint="default" w:ascii="Times New Roman" w:hAnsi="Times New Roman" w:eastAsia="宋体" w:cs="Times New Roman"/>
          <w:b w:val="0"/>
          <w:bCs w:val="0"/>
          <w:color w:val="00B050"/>
          <w:highlight w:val="none"/>
          <w:lang w:eastAsia="zh-CN"/>
        </w:rPr>
      </w:pPr>
      <w:r>
        <w:rPr>
          <w:rFonts w:hint="default" w:ascii="Times New Roman" w:hAnsi="Times New Roman" w:eastAsia="宋体" w:cs="Times New Roman"/>
          <w:b w:val="0"/>
          <w:bCs w:val="0"/>
          <w:color w:val="00B050"/>
          <w:sz w:val="24"/>
          <w:szCs w:val="24"/>
          <w:highlight w:val="none"/>
        </w:rPr>
        <w:t>据估算模式计算结果可知，牛舍及运动场无组织排放的NH</w:t>
      </w:r>
      <w:r>
        <w:rPr>
          <w:rFonts w:hint="default" w:ascii="Times New Roman" w:hAnsi="Times New Roman" w:eastAsia="宋体" w:cs="Times New Roman"/>
          <w:b w:val="0"/>
          <w:bCs w:val="0"/>
          <w:color w:val="00B050"/>
          <w:sz w:val="24"/>
          <w:szCs w:val="24"/>
          <w:highlight w:val="none"/>
          <w:vertAlign w:val="subscript"/>
        </w:rPr>
        <w:t>3</w:t>
      </w:r>
      <w:r>
        <w:rPr>
          <w:rFonts w:hint="default" w:ascii="Times New Roman" w:hAnsi="Times New Roman" w:eastAsia="宋体" w:cs="Times New Roman"/>
          <w:b w:val="0"/>
          <w:bCs w:val="0"/>
          <w:color w:val="00B050"/>
          <w:sz w:val="24"/>
          <w:szCs w:val="24"/>
          <w:highlight w:val="none"/>
          <w:lang w:val="en-US" w:eastAsia="zh-CN"/>
        </w:rPr>
        <w:t>最大质量浓度为7.86</w:t>
      </w:r>
      <w:r>
        <w:rPr>
          <w:rFonts w:hint="default" w:ascii="Times New Roman" w:hAnsi="Times New Roman" w:eastAsia="宋体" w:cs="Times New Roman"/>
          <w:b w:val="0"/>
          <w:bCs w:val="0"/>
          <w:snapToGrid w:val="0"/>
          <w:color w:val="00B050"/>
          <w:sz w:val="24"/>
          <w:szCs w:val="24"/>
          <w:highlight w:val="none"/>
        </w:rPr>
        <w:t>μg/m</w:t>
      </w:r>
      <w:r>
        <w:rPr>
          <w:rFonts w:hint="default" w:ascii="Times New Roman" w:hAnsi="Times New Roman" w:eastAsia="宋体" w:cs="Times New Roman"/>
          <w:b w:val="0"/>
          <w:bCs w:val="0"/>
          <w:snapToGrid w:val="0"/>
          <w:color w:val="00B050"/>
          <w:sz w:val="24"/>
          <w:szCs w:val="24"/>
          <w:highlight w:val="none"/>
          <w:vertAlign w:val="superscript"/>
        </w:rPr>
        <w:t>3</w:t>
      </w:r>
      <w:r>
        <w:rPr>
          <w:rFonts w:hint="default" w:ascii="Times New Roman" w:hAnsi="Times New Roman" w:eastAsia="宋体" w:cs="Times New Roman"/>
          <w:b w:val="0"/>
          <w:bCs w:val="0"/>
          <w:color w:val="00B050"/>
          <w:sz w:val="24"/>
          <w:szCs w:val="24"/>
          <w:highlight w:val="none"/>
          <w:lang w:eastAsia="zh-CN"/>
        </w:rPr>
        <w:t>、最大质量浓度占标率3.93%，H</w:t>
      </w:r>
      <w:r>
        <w:rPr>
          <w:rFonts w:hint="default" w:ascii="Times New Roman" w:hAnsi="Times New Roman" w:eastAsia="宋体" w:cs="Times New Roman"/>
          <w:b w:val="0"/>
          <w:bCs w:val="0"/>
          <w:color w:val="00B050"/>
          <w:sz w:val="24"/>
          <w:szCs w:val="24"/>
          <w:highlight w:val="none"/>
          <w:vertAlign w:val="subscript"/>
          <w:lang w:eastAsia="zh-CN"/>
        </w:rPr>
        <w:t>2</w:t>
      </w:r>
      <w:r>
        <w:rPr>
          <w:rFonts w:hint="default" w:ascii="Times New Roman" w:hAnsi="Times New Roman" w:eastAsia="宋体" w:cs="Times New Roman"/>
          <w:b w:val="0"/>
          <w:bCs w:val="0"/>
          <w:color w:val="00B050"/>
          <w:sz w:val="24"/>
          <w:szCs w:val="24"/>
          <w:highlight w:val="none"/>
          <w:lang w:eastAsia="zh-CN"/>
        </w:rPr>
        <w:t>S</w:t>
      </w:r>
      <w:r>
        <w:rPr>
          <w:rFonts w:hint="default" w:ascii="Times New Roman" w:hAnsi="Times New Roman" w:eastAsia="宋体" w:cs="Times New Roman"/>
          <w:b w:val="0"/>
          <w:bCs w:val="0"/>
          <w:color w:val="00B050"/>
          <w:sz w:val="24"/>
          <w:szCs w:val="24"/>
          <w:highlight w:val="none"/>
          <w:lang w:val="en-US" w:eastAsia="zh-CN"/>
        </w:rPr>
        <w:t>最大质量浓度为</w:t>
      </w:r>
      <w:r>
        <w:rPr>
          <w:rFonts w:hint="default" w:ascii="Times New Roman" w:hAnsi="Times New Roman" w:eastAsia="宋体" w:cs="Times New Roman"/>
          <w:b w:val="0"/>
          <w:bCs w:val="0"/>
          <w:i w:val="0"/>
          <w:iCs w:val="0"/>
          <w:color w:val="00B050"/>
          <w:kern w:val="2"/>
          <w:sz w:val="24"/>
          <w:szCs w:val="24"/>
          <w:highlight w:val="none"/>
          <w:lang w:val="en-US" w:eastAsia="zh-CN" w:bidi="ar-SA"/>
        </w:rPr>
        <w:t>0.11</w:t>
      </w:r>
      <w:r>
        <w:rPr>
          <w:rFonts w:hint="default" w:ascii="Times New Roman" w:hAnsi="Times New Roman" w:eastAsia="宋体" w:cs="Times New Roman"/>
          <w:b w:val="0"/>
          <w:bCs w:val="0"/>
          <w:snapToGrid w:val="0"/>
          <w:color w:val="00B050"/>
          <w:sz w:val="24"/>
          <w:szCs w:val="24"/>
          <w:highlight w:val="none"/>
        </w:rPr>
        <w:t>μg/m</w:t>
      </w:r>
      <w:r>
        <w:rPr>
          <w:rFonts w:hint="default" w:ascii="Times New Roman" w:hAnsi="Times New Roman" w:eastAsia="宋体" w:cs="Times New Roman"/>
          <w:b w:val="0"/>
          <w:bCs w:val="0"/>
          <w:snapToGrid w:val="0"/>
          <w:color w:val="00B050"/>
          <w:sz w:val="24"/>
          <w:szCs w:val="24"/>
          <w:highlight w:val="none"/>
          <w:vertAlign w:val="superscript"/>
        </w:rPr>
        <w:t>3</w:t>
      </w:r>
      <w:r>
        <w:rPr>
          <w:rFonts w:hint="default" w:ascii="Times New Roman" w:hAnsi="Times New Roman" w:eastAsia="宋体" w:cs="Times New Roman"/>
          <w:b w:val="0"/>
          <w:bCs w:val="0"/>
          <w:color w:val="00B050"/>
          <w:sz w:val="24"/>
          <w:szCs w:val="24"/>
          <w:highlight w:val="none"/>
          <w:lang w:eastAsia="zh-CN"/>
        </w:rPr>
        <w:t>、最大质量浓度占标率</w:t>
      </w:r>
      <w:r>
        <w:rPr>
          <w:rFonts w:hint="default" w:ascii="Times New Roman" w:hAnsi="Times New Roman" w:eastAsia="宋体" w:cs="Times New Roman"/>
          <w:b w:val="0"/>
          <w:bCs w:val="0"/>
          <w:i w:val="0"/>
          <w:iCs w:val="0"/>
          <w:color w:val="00B050"/>
          <w:kern w:val="2"/>
          <w:sz w:val="24"/>
          <w:szCs w:val="24"/>
          <w:highlight w:val="none"/>
          <w:lang w:val="en-US" w:eastAsia="zh-CN" w:bidi="ar-SA"/>
        </w:rPr>
        <w:t>1.10</w:t>
      </w:r>
      <w:r>
        <w:rPr>
          <w:rFonts w:hint="default" w:ascii="Times New Roman" w:hAnsi="Times New Roman" w:eastAsia="宋体" w:cs="Times New Roman"/>
          <w:b w:val="0"/>
          <w:bCs w:val="0"/>
          <w:color w:val="00B050"/>
          <w:sz w:val="24"/>
          <w:szCs w:val="24"/>
          <w:highlight w:val="none"/>
          <w:lang w:eastAsia="zh-CN"/>
        </w:rPr>
        <w:t>%；</w:t>
      </w:r>
      <w:r>
        <w:rPr>
          <w:rFonts w:hint="default" w:ascii="Times New Roman" w:hAnsi="Times New Roman" w:eastAsia="宋体" w:cs="Times New Roman"/>
          <w:b w:val="0"/>
          <w:bCs w:val="0"/>
          <w:color w:val="00B050"/>
          <w:sz w:val="24"/>
          <w:szCs w:val="24"/>
          <w:highlight w:val="none"/>
        </w:rPr>
        <w:t>粪污处理池无组织排放的NH</w:t>
      </w:r>
      <w:r>
        <w:rPr>
          <w:rFonts w:hint="default" w:ascii="Times New Roman" w:hAnsi="Times New Roman" w:eastAsia="宋体" w:cs="Times New Roman"/>
          <w:b w:val="0"/>
          <w:bCs w:val="0"/>
          <w:color w:val="00B050"/>
          <w:sz w:val="24"/>
          <w:szCs w:val="24"/>
          <w:highlight w:val="none"/>
          <w:vertAlign w:val="subscript"/>
        </w:rPr>
        <w:t>3</w:t>
      </w:r>
      <w:r>
        <w:rPr>
          <w:rFonts w:hint="default" w:ascii="Times New Roman" w:hAnsi="Times New Roman" w:eastAsia="宋体" w:cs="Times New Roman"/>
          <w:b w:val="0"/>
          <w:bCs w:val="0"/>
          <w:color w:val="00B050"/>
          <w:sz w:val="24"/>
          <w:szCs w:val="24"/>
          <w:highlight w:val="none"/>
          <w:lang w:val="en-US" w:eastAsia="zh-CN"/>
        </w:rPr>
        <w:t>最大质量浓度为</w:t>
      </w:r>
      <w:r>
        <w:rPr>
          <w:rFonts w:hint="default" w:ascii="Times New Roman" w:hAnsi="Times New Roman" w:eastAsia="宋体" w:cs="Times New Roman"/>
          <w:b w:val="0"/>
          <w:bCs w:val="0"/>
          <w:i w:val="0"/>
          <w:iCs w:val="0"/>
          <w:color w:val="00B050"/>
          <w:kern w:val="2"/>
          <w:sz w:val="24"/>
          <w:szCs w:val="24"/>
          <w:highlight w:val="none"/>
          <w:lang w:val="en-US" w:eastAsia="zh-CN" w:bidi="ar-SA"/>
        </w:rPr>
        <w:t>16.62</w:t>
      </w:r>
      <w:r>
        <w:rPr>
          <w:rFonts w:hint="default" w:ascii="Times New Roman" w:hAnsi="Times New Roman" w:eastAsia="宋体" w:cs="Times New Roman"/>
          <w:b w:val="0"/>
          <w:bCs w:val="0"/>
          <w:snapToGrid w:val="0"/>
          <w:color w:val="00B050"/>
          <w:sz w:val="24"/>
          <w:szCs w:val="24"/>
          <w:highlight w:val="none"/>
        </w:rPr>
        <w:t>μg/m</w:t>
      </w:r>
      <w:r>
        <w:rPr>
          <w:rFonts w:hint="default" w:ascii="Times New Roman" w:hAnsi="Times New Roman" w:eastAsia="宋体" w:cs="Times New Roman"/>
          <w:b w:val="0"/>
          <w:bCs w:val="0"/>
          <w:snapToGrid w:val="0"/>
          <w:color w:val="00B050"/>
          <w:sz w:val="24"/>
          <w:szCs w:val="24"/>
          <w:highlight w:val="none"/>
          <w:vertAlign w:val="superscript"/>
        </w:rPr>
        <w:t>3</w:t>
      </w:r>
      <w:r>
        <w:rPr>
          <w:rFonts w:hint="default" w:ascii="Times New Roman" w:hAnsi="Times New Roman" w:eastAsia="宋体" w:cs="Times New Roman"/>
          <w:b w:val="0"/>
          <w:bCs w:val="0"/>
          <w:color w:val="00B050"/>
          <w:sz w:val="24"/>
          <w:szCs w:val="24"/>
          <w:highlight w:val="none"/>
          <w:lang w:eastAsia="zh-CN"/>
        </w:rPr>
        <w:t>、最大质量浓度占标率</w:t>
      </w:r>
      <w:r>
        <w:rPr>
          <w:rFonts w:hint="default" w:ascii="Times New Roman" w:hAnsi="Times New Roman" w:eastAsia="宋体" w:cs="Times New Roman"/>
          <w:b w:val="0"/>
          <w:bCs w:val="0"/>
          <w:i w:val="0"/>
          <w:iCs w:val="0"/>
          <w:color w:val="00B050"/>
          <w:kern w:val="2"/>
          <w:sz w:val="24"/>
          <w:szCs w:val="24"/>
          <w:highlight w:val="none"/>
          <w:lang w:val="en-US" w:eastAsia="zh-CN" w:bidi="ar-SA"/>
        </w:rPr>
        <w:t>8.31</w:t>
      </w:r>
      <w:r>
        <w:rPr>
          <w:rFonts w:hint="default" w:ascii="Times New Roman" w:hAnsi="Times New Roman" w:eastAsia="宋体" w:cs="Times New Roman"/>
          <w:b w:val="0"/>
          <w:bCs w:val="0"/>
          <w:color w:val="00B050"/>
          <w:sz w:val="24"/>
          <w:szCs w:val="24"/>
          <w:highlight w:val="none"/>
          <w:lang w:eastAsia="zh-CN"/>
        </w:rPr>
        <w:t>%，H</w:t>
      </w:r>
      <w:r>
        <w:rPr>
          <w:rFonts w:hint="default" w:ascii="Times New Roman" w:hAnsi="Times New Roman" w:eastAsia="宋体" w:cs="Times New Roman"/>
          <w:b w:val="0"/>
          <w:bCs w:val="0"/>
          <w:color w:val="00B050"/>
          <w:sz w:val="24"/>
          <w:szCs w:val="24"/>
          <w:highlight w:val="none"/>
          <w:vertAlign w:val="subscript"/>
          <w:lang w:eastAsia="zh-CN"/>
        </w:rPr>
        <w:t>2</w:t>
      </w:r>
      <w:r>
        <w:rPr>
          <w:rFonts w:hint="default" w:ascii="Times New Roman" w:hAnsi="Times New Roman" w:eastAsia="宋体" w:cs="Times New Roman"/>
          <w:b w:val="0"/>
          <w:bCs w:val="0"/>
          <w:color w:val="00B050"/>
          <w:sz w:val="24"/>
          <w:szCs w:val="24"/>
          <w:highlight w:val="none"/>
          <w:lang w:eastAsia="zh-CN"/>
        </w:rPr>
        <w:t>S</w:t>
      </w:r>
      <w:r>
        <w:rPr>
          <w:rFonts w:hint="default" w:ascii="Times New Roman" w:hAnsi="Times New Roman" w:eastAsia="宋体" w:cs="Times New Roman"/>
          <w:b w:val="0"/>
          <w:bCs w:val="0"/>
          <w:color w:val="00B050"/>
          <w:sz w:val="24"/>
          <w:szCs w:val="24"/>
          <w:highlight w:val="none"/>
          <w:lang w:val="en-US" w:eastAsia="zh-CN"/>
        </w:rPr>
        <w:t>最大质量浓度为</w:t>
      </w:r>
      <w:r>
        <w:rPr>
          <w:rFonts w:hint="default" w:ascii="Times New Roman" w:hAnsi="Times New Roman" w:eastAsia="宋体" w:cs="Times New Roman"/>
          <w:b w:val="0"/>
          <w:bCs w:val="0"/>
          <w:i w:val="0"/>
          <w:iCs w:val="0"/>
          <w:color w:val="00B050"/>
          <w:kern w:val="2"/>
          <w:sz w:val="24"/>
          <w:szCs w:val="24"/>
          <w:highlight w:val="none"/>
          <w:lang w:val="en-US" w:eastAsia="zh-CN" w:bidi="ar-SA"/>
        </w:rPr>
        <w:t>0.22</w:t>
      </w:r>
      <w:r>
        <w:rPr>
          <w:rFonts w:hint="default" w:ascii="Times New Roman" w:hAnsi="Times New Roman" w:eastAsia="宋体" w:cs="Times New Roman"/>
          <w:b w:val="0"/>
          <w:bCs w:val="0"/>
          <w:snapToGrid w:val="0"/>
          <w:color w:val="00B050"/>
          <w:sz w:val="24"/>
          <w:szCs w:val="24"/>
          <w:highlight w:val="none"/>
        </w:rPr>
        <w:t>μg/m</w:t>
      </w:r>
      <w:r>
        <w:rPr>
          <w:rFonts w:hint="default" w:ascii="Times New Roman" w:hAnsi="Times New Roman" w:eastAsia="宋体" w:cs="Times New Roman"/>
          <w:b w:val="0"/>
          <w:bCs w:val="0"/>
          <w:snapToGrid w:val="0"/>
          <w:color w:val="00B050"/>
          <w:sz w:val="24"/>
          <w:szCs w:val="24"/>
          <w:highlight w:val="none"/>
          <w:vertAlign w:val="superscript"/>
        </w:rPr>
        <w:t>3</w:t>
      </w:r>
      <w:r>
        <w:rPr>
          <w:rFonts w:hint="default" w:ascii="Times New Roman" w:hAnsi="Times New Roman" w:eastAsia="宋体" w:cs="Times New Roman"/>
          <w:b w:val="0"/>
          <w:bCs w:val="0"/>
          <w:color w:val="00B050"/>
          <w:sz w:val="24"/>
          <w:szCs w:val="24"/>
          <w:highlight w:val="none"/>
          <w:lang w:eastAsia="zh-CN"/>
        </w:rPr>
        <w:t>、最大质量浓度占标率</w:t>
      </w:r>
      <w:r>
        <w:rPr>
          <w:rFonts w:hint="default" w:ascii="Times New Roman" w:hAnsi="Times New Roman" w:eastAsia="宋体" w:cs="Times New Roman"/>
          <w:b w:val="0"/>
          <w:bCs w:val="0"/>
          <w:i w:val="0"/>
          <w:iCs w:val="0"/>
          <w:color w:val="00B050"/>
          <w:kern w:val="2"/>
          <w:sz w:val="24"/>
          <w:szCs w:val="24"/>
          <w:highlight w:val="none"/>
          <w:lang w:val="en-US" w:eastAsia="zh-CN" w:bidi="ar-SA"/>
        </w:rPr>
        <w:t>2.19</w:t>
      </w:r>
      <w:r>
        <w:rPr>
          <w:rFonts w:hint="default" w:ascii="Times New Roman" w:hAnsi="Times New Roman" w:eastAsia="宋体" w:cs="Times New Roman"/>
          <w:b w:val="0"/>
          <w:bCs w:val="0"/>
          <w:color w:val="00B050"/>
          <w:sz w:val="24"/>
          <w:szCs w:val="24"/>
          <w:highlight w:val="none"/>
          <w:lang w:eastAsia="zh-CN"/>
        </w:rPr>
        <w:t>%；TMR车间</w:t>
      </w:r>
      <w:r>
        <w:rPr>
          <w:rFonts w:hint="default" w:ascii="Times New Roman" w:hAnsi="Times New Roman" w:eastAsia="宋体" w:cs="Times New Roman"/>
          <w:b w:val="0"/>
          <w:bCs w:val="0"/>
          <w:color w:val="00B050"/>
          <w:sz w:val="24"/>
          <w:szCs w:val="24"/>
          <w:highlight w:val="none"/>
        </w:rPr>
        <w:t>无组织排放的TSP</w:t>
      </w:r>
      <w:r>
        <w:rPr>
          <w:rFonts w:hint="default" w:ascii="Times New Roman" w:hAnsi="Times New Roman" w:eastAsia="宋体" w:cs="Times New Roman"/>
          <w:b w:val="0"/>
          <w:bCs w:val="0"/>
          <w:color w:val="00B050"/>
          <w:sz w:val="24"/>
          <w:szCs w:val="24"/>
          <w:highlight w:val="none"/>
          <w:lang w:val="en-US" w:eastAsia="zh-CN"/>
        </w:rPr>
        <w:t>最大质量浓度为76.91</w:t>
      </w:r>
      <w:r>
        <w:rPr>
          <w:rFonts w:hint="default" w:ascii="Times New Roman" w:hAnsi="Times New Roman" w:eastAsia="宋体" w:cs="Times New Roman"/>
          <w:b w:val="0"/>
          <w:bCs w:val="0"/>
          <w:snapToGrid w:val="0"/>
          <w:color w:val="00B050"/>
          <w:sz w:val="24"/>
          <w:szCs w:val="24"/>
          <w:highlight w:val="none"/>
        </w:rPr>
        <w:t>μg/m</w:t>
      </w:r>
      <w:r>
        <w:rPr>
          <w:rFonts w:hint="default" w:ascii="Times New Roman" w:hAnsi="Times New Roman" w:eastAsia="宋体" w:cs="Times New Roman"/>
          <w:b w:val="0"/>
          <w:bCs w:val="0"/>
          <w:snapToGrid w:val="0"/>
          <w:color w:val="00B050"/>
          <w:sz w:val="24"/>
          <w:szCs w:val="24"/>
          <w:highlight w:val="none"/>
          <w:vertAlign w:val="superscript"/>
        </w:rPr>
        <w:t>3</w:t>
      </w:r>
      <w:r>
        <w:rPr>
          <w:rFonts w:hint="default" w:ascii="Times New Roman" w:hAnsi="Times New Roman" w:eastAsia="宋体" w:cs="Times New Roman"/>
          <w:b w:val="0"/>
          <w:bCs w:val="0"/>
          <w:color w:val="00B050"/>
          <w:sz w:val="24"/>
          <w:szCs w:val="24"/>
          <w:highlight w:val="none"/>
          <w:lang w:eastAsia="zh-CN"/>
        </w:rPr>
        <w:t>、最大质量浓度占标率8.55%。</w:t>
      </w:r>
      <w:r>
        <w:rPr>
          <w:rFonts w:hint="default" w:ascii="Times New Roman" w:hAnsi="Times New Roman" w:eastAsia="宋体" w:cs="Times New Roman"/>
          <w:b w:val="0"/>
          <w:bCs w:val="0"/>
          <w:color w:val="00B050"/>
          <w:sz w:val="24"/>
          <w:szCs w:val="24"/>
          <w:highlight w:val="none"/>
          <w:lang w:val="en-US" w:eastAsia="zh-CN"/>
        </w:rPr>
        <w:t>本项目</w:t>
      </w:r>
      <w:r>
        <w:rPr>
          <w:rFonts w:hint="default" w:ascii="Times New Roman" w:hAnsi="Times New Roman" w:eastAsia="宋体" w:cs="Times New Roman"/>
          <w:b w:val="0"/>
          <w:bCs w:val="0"/>
          <w:color w:val="00B050"/>
          <w:sz w:val="24"/>
          <w:szCs w:val="24"/>
          <w:highlight w:val="none"/>
        </w:rPr>
        <w:t>污染物最大地面浓度占标率1%≤Pmax</w:t>
      </w:r>
      <w:r>
        <w:rPr>
          <w:rFonts w:hint="default" w:ascii="Times New Roman" w:hAnsi="Times New Roman" w:eastAsia="宋体" w:cs="Times New Roman"/>
          <w:b w:val="0"/>
          <w:bCs w:val="0"/>
          <w:color w:val="00B050"/>
          <w:sz w:val="24"/>
          <w:szCs w:val="24"/>
          <w:highlight w:val="none"/>
          <w:lang w:val="en-US" w:eastAsia="zh-CN"/>
        </w:rPr>
        <w:t>=8.55%</w:t>
      </w:r>
      <w:r>
        <w:rPr>
          <w:rFonts w:hint="default" w:ascii="Times New Roman" w:hAnsi="Times New Roman" w:eastAsia="宋体" w:cs="Times New Roman"/>
          <w:b w:val="0"/>
          <w:bCs w:val="0"/>
          <w:color w:val="00B050"/>
          <w:sz w:val="24"/>
          <w:szCs w:val="24"/>
          <w:highlight w:val="none"/>
        </w:rPr>
        <w:t>＜10%，确定本项目的大气环境评价工作等级为二级</w:t>
      </w:r>
      <w:r>
        <w:rPr>
          <w:rFonts w:hint="default" w:ascii="Times New Roman" w:hAnsi="Times New Roman" w:eastAsia="宋体" w:cs="Times New Roman"/>
          <w:b w:val="0"/>
          <w:bCs w:val="0"/>
          <w:color w:val="00B050"/>
          <w:sz w:val="24"/>
          <w:szCs w:val="24"/>
          <w:highlight w:val="none"/>
          <w:lang w:eastAsia="zh-CN"/>
        </w:rPr>
        <w:t>。</w:t>
      </w:r>
    </w:p>
    <w:p w14:paraId="5A8D1279">
      <w:pPr>
        <w:pageBreakBefore w:val="0"/>
        <w:widowControl w:val="0"/>
        <w:kinsoku/>
        <w:wordWrap/>
        <w:overflowPunct/>
        <w:topLinePunct/>
        <w:autoSpaceDE w:val="0"/>
        <w:autoSpaceDN/>
        <w:bidi w:val="0"/>
        <w:adjustRightInd/>
        <w:snapToGrid w:val="0"/>
        <w:spacing w:line="360" w:lineRule="auto"/>
        <w:ind w:left="0" w:leftChars="0" w:right="0" w:rightChars="0" w:firstLine="480" w:firstLineChars="200"/>
        <w:jc w:val="left"/>
        <w:textAlignment w:val="auto"/>
        <w:rPr>
          <w:rFonts w:hint="default" w:ascii="Times New Roman" w:hAnsi="Times New Roman" w:eastAsia="宋体" w:cs="Times New Roman"/>
          <w:b w:val="0"/>
          <w:bCs w:val="0"/>
          <w:color w:val="auto"/>
          <w:highlight w:val="none"/>
          <w:lang w:eastAsia="zh-CN"/>
        </w:rPr>
      </w:pPr>
      <w:r>
        <w:rPr>
          <w:rFonts w:hint="default" w:ascii="Times New Roman" w:hAnsi="Times New Roman" w:eastAsia="宋体" w:cs="Times New Roman"/>
          <w:b w:val="0"/>
          <w:bCs w:val="0"/>
          <w:color w:val="auto"/>
          <w:highlight w:val="none"/>
        </w:rPr>
        <w:t>本次评价大气环境为二级评价，根据《</w:t>
      </w:r>
      <w:r>
        <w:rPr>
          <w:rFonts w:hint="default" w:ascii="Times New Roman" w:hAnsi="Times New Roman" w:eastAsia="宋体" w:cs="Times New Roman"/>
          <w:b w:val="0"/>
          <w:bCs w:val="0"/>
          <w:color w:val="auto"/>
          <w:highlight w:val="none"/>
          <w:lang w:eastAsia="zh-CN"/>
        </w:rPr>
        <w:t>环境影响评价技术导则</w:t>
      </w:r>
      <w:r>
        <w:rPr>
          <w:rFonts w:hint="default" w:ascii="Times New Roman" w:hAnsi="Times New Roman" w:eastAsia="宋体" w:cs="Times New Roman"/>
          <w:b w:val="0"/>
          <w:bCs w:val="0"/>
          <w:color w:val="auto"/>
          <w:highlight w:val="none"/>
        </w:rPr>
        <w:t>大气环境》（HJ2.2-2018），二级评价项目不进行进一步预测与评价，本次评价对污染物排放量进行核算</w:t>
      </w:r>
      <w:r>
        <w:rPr>
          <w:rFonts w:hint="default" w:ascii="Times New Roman" w:hAnsi="Times New Roman" w:eastAsia="宋体" w:cs="Times New Roman"/>
          <w:b w:val="0"/>
          <w:bCs w:val="0"/>
          <w:color w:val="auto"/>
          <w:highlight w:val="none"/>
          <w:lang w:eastAsia="zh-CN"/>
        </w:rPr>
        <w:t>。</w:t>
      </w:r>
    </w:p>
    <w:p w14:paraId="6AB2F93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p>
    <w:p w14:paraId="2AFCC91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p>
    <w:p w14:paraId="7E54CEC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sectPr>
          <w:pgSz w:w="16838" w:h="11906" w:orient="landscape"/>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26" w:charSpace="0"/>
        </w:sectPr>
      </w:pPr>
    </w:p>
    <w:p w14:paraId="4F08903C">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5.2.2.</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污染物排放量核算</w:t>
      </w:r>
    </w:p>
    <w:p w14:paraId="6B0E6FB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项目无有组织排口，本次评价核算无组织排放量，项目无组织排放量见下表。</w:t>
      </w:r>
    </w:p>
    <w:p w14:paraId="4FFF1064">
      <w:pPr>
        <w:keepNext/>
        <w:keepLines/>
        <w:pageBreakBefore w:val="0"/>
        <w:widowControl w:val="0"/>
        <w:kinsoku/>
        <w:wordWrap/>
        <w:overflowPunct/>
        <w:topLinePunct/>
        <w:autoSpaceDE w:val="0"/>
        <w:autoSpaceDN/>
        <w:bidi w:val="0"/>
        <w:adjustRightInd/>
        <w:snapToGrid w:val="0"/>
        <w:spacing w:line="360" w:lineRule="auto"/>
        <w:ind w:left="0" w:leftChars="0" w:right="0" w:rightChars="0" w:firstLine="0" w:firstLineChars="0"/>
        <w:jc w:val="center"/>
        <w:textAlignment w:val="auto"/>
        <w:outlineLvl w:val="4"/>
        <w:rPr>
          <w:rFonts w:hint="default" w:ascii="Times New Roman" w:hAnsi="Times New Roman" w:eastAsia="宋体" w:cs="Times New Roman"/>
          <w:b/>
          <w:bCs/>
          <w:color w:val="auto"/>
          <w:szCs w:val="28"/>
          <w:highlight w:val="none"/>
        </w:rPr>
      </w:pPr>
      <w:r>
        <w:rPr>
          <w:rFonts w:hint="default" w:ascii="Times New Roman" w:hAnsi="Times New Roman" w:eastAsia="宋体" w:cs="Times New Roman"/>
          <w:b/>
          <w:bCs/>
          <w:color w:val="auto"/>
          <w:szCs w:val="28"/>
          <w:highlight w:val="none"/>
        </w:rPr>
        <w:t>表5.2-</w:t>
      </w:r>
      <w:r>
        <w:rPr>
          <w:rFonts w:hint="default" w:ascii="Times New Roman" w:hAnsi="Times New Roman" w:eastAsia="宋体" w:cs="Times New Roman"/>
          <w:b/>
          <w:bCs/>
          <w:color w:val="auto"/>
          <w:szCs w:val="28"/>
          <w:highlight w:val="none"/>
          <w:lang w:val="en-US" w:eastAsia="zh-CN"/>
        </w:rPr>
        <w:t>7</w:t>
      </w:r>
      <w:r>
        <w:rPr>
          <w:rFonts w:hint="default" w:ascii="Times New Roman" w:hAnsi="Times New Roman" w:eastAsia="宋体" w:cs="Times New Roman"/>
          <w:b/>
          <w:bCs/>
          <w:color w:val="auto"/>
          <w:szCs w:val="28"/>
          <w:highlight w:val="none"/>
        </w:rPr>
        <w:t>大气污染物无组织排放量核算表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25"/>
        <w:gridCol w:w="609"/>
        <w:gridCol w:w="100"/>
        <w:gridCol w:w="598"/>
        <w:gridCol w:w="785"/>
        <w:gridCol w:w="3113"/>
        <w:gridCol w:w="1399"/>
        <w:gridCol w:w="697"/>
        <w:gridCol w:w="896"/>
      </w:tblGrid>
      <w:tr w14:paraId="495B5EE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3"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6B8C517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637"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63F3C83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排放口编号</w:t>
            </w:r>
          </w:p>
        </w:tc>
        <w:tc>
          <w:tcPr>
            <w:tcW w:w="732" w:type="dxa"/>
            <w:gridSpan w:val="2"/>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FF1F37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产污环节</w:t>
            </w:r>
          </w:p>
        </w:tc>
        <w:tc>
          <w:tcPr>
            <w:tcW w:w="825"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71AF094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3318"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C2A122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主要污染</w:t>
            </w:r>
          </w:p>
          <w:p w14:paraId="0BB9BC2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防治措施</w:t>
            </w:r>
          </w:p>
        </w:tc>
        <w:tc>
          <w:tcPr>
            <w:tcW w:w="221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1290477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国家或地方污染物排放标准</w:t>
            </w:r>
          </w:p>
        </w:tc>
        <w:tc>
          <w:tcPr>
            <w:tcW w:w="94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AF51AF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年排放量</w:t>
            </w:r>
          </w:p>
          <w:p w14:paraId="5BC982A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（t/a）</w:t>
            </w:r>
          </w:p>
        </w:tc>
      </w:tr>
      <w:tr w14:paraId="6E8AFA6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3"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79B1063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63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49EAF2C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732" w:type="dxa"/>
            <w:gridSpan w:val="2"/>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5D8ABF1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825"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658AB17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3318"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01C7DD2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48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1E729D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标准名称</w:t>
            </w:r>
          </w:p>
        </w:tc>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586023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浓度限值</w:t>
            </w:r>
          </w:p>
          <w:p w14:paraId="6CF44D1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（µg/m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94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B769AF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6537179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3"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B31928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63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A36785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732"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28ECC0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牛舍及运动场</w:t>
            </w:r>
          </w:p>
        </w:tc>
        <w:tc>
          <w:tcPr>
            <w:tcW w:w="82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3BCCBF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3318"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60F061C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通过日粮设计，</w:t>
            </w:r>
            <w:r>
              <w:rPr>
                <w:rFonts w:hint="default" w:ascii="Times New Roman" w:hAnsi="Times New Roman" w:eastAsia="宋体" w:cs="Times New Roman"/>
                <w:color w:val="auto"/>
                <w:sz w:val="21"/>
                <w:szCs w:val="21"/>
                <w:highlight w:val="none"/>
              </w:rPr>
              <w:t>饲料添加EM复合微生物制剂，</w:t>
            </w:r>
            <w:r>
              <w:rPr>
                <w:rFonts w:hint="default" w:ascii="Times New Roman" w:hAnsi="Times New Roman" w:eastAsia="宋体" w:cs="Times New Roman"/>
                <w:color w:val="auto"/>
                <w:kern w:val="0"/>
                <w:sz w:val="21"/>
                <w:szCs w:val="21"/>
                <w:highlight w:val="none"/>
              </w:rPr>
              <w:t>牛舍采用及时清理粪尿，加强牛舍通风（除冬季封闭保暖外，均为敞开式通风）</w:t>
            </w:r>
          </w:p>
        </w:tc>
        <w:tc>
          <w:tcPr>
            <w:tcW w:w="1483"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13BDC67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《恶臭污染物排放标准》（GB14554-93）表1恶臭污染物厂界标准值中“二级、新扩改建”标准要求</w:t>
            </w:r>
          </w:p>
        </w:tc>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60CA72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1500</w:t>
            </w:r>
          </w:p>
        </w:tc>
        <w:tc>
          <w:tcPr>
            <w:tcW w:w="94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EBD52E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0.1822</w:t>
            </w:r>
          </w:p>
        </w:tc>
      </w:tr>
      <w:tr w14:paraId="305E46B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3"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23EA7C3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63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4B81B2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732" w:type="dxa"/>
            <w:gridSpan w:val="2"/>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8CF47B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82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1DEA92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3318"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05BEE04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483"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28486D5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059E01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94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0C1D38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0.0026</w:t>
            </w:r>
          </w:p>
        </w:tc>
      </w:tr>
      <w:tr w14:paraId="3CB3BAF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3"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3E792E3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63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DC18FC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732"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0CCD3A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粪污处理池</w:t>
            </w:r>
          </w:p>
        </w:tc>
        <w:tc>
          <w:tcPr>
            <w:tcW w:w="82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09B991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3318"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721F599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牛粪便</w:t>
            </w:r>
            <w:r>
              <w:rPr>
                <w:rFonts w:hint="default" w:ascii="Times New Roman" w:hAnsi="Times New Roman" w:eastAsia="宋体" w:cs="Times New Roman"/>
                <w:color w:val="auto"/>
                <w:sz w:val="21"/>
                <w:szCs w:val="21"/>
                <w:highlight w:val="none"/>
                <w:lang w:val="en-US" w:eastAsia="zh-CN"/>
              </w:rPr>
              <w:t>清运至</w:t>
            </w:r>
            <w:r>
              <w:rPr>
                <w:rFonts w:hint="default" w:ascii="Times New Roman" w:hAnsi="Times New Roman" w:eastAsia="宋体" w:cs="Times New Roman"/>
                <w:color w:val="auto"/>
                <w:sz w:val="21"/>
                <w:szCs w:val="21"/>
                <w:highlight w:val="none"/>
                <w:lang w:eastAsia="zh-CN"/>
              </w:rPr>
              <w:t>粪污处理池储存并堆肥，</w:t>
            </w:r>
            <w:r>
              <w:rPr>
                <w:rFonts w:hint="default" w:ascii="Times New Roman" w:hAnsi="Times New Roman" w:eastAsia="宋体" w:cs="Times New Roman"/>
                <w:color w:val="auto"/>
                <w:sz w:val="21"/>
                <w:szCs w:val="21"/>
                <w:highlight w:val="none"/>
                <w:lang w:val="en-US" w:eastAsia="zh-CN"/>
              </w:rPr>
              <w:t>采取</w:t>
            </w:r>
            <w:r>
              <w:rPr>
                <w:rFonts w:hint="default" w:ascii="Times New Roman" w:hAnsi="Times New Roman" w:eastAsia="宋体" w:cs="Times New Roman"/>
                <w:color w:val="auto"/>
                <w:kern w:val="0"/>
                <w:sz w:val="21"/>
                <w:szCs w:val="21"/>
                <w:highlight w:val="none"/>
              </w:rPr>
              <w:t>定期喷洒</w:t>
            </w:r>
            <w:r>
              <w:rPr>
                <w:rFonts w:hint="default" w:ascii="Times New Roman" w:hAnsi="Times New Roman" w:eastAsia="宋体" w:cs="Times New Roman"/>
                <w:color w:val="auto"/>
                <w:sz w:val="21"/>
                <w:szCs w:val="21"/>
                <w:highlight w:val="none"/>
              </w:rPr>
              <w:t>减少氨释放和保氮的复合菌剂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同时场区内加强绿化</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kern w:val="0"/>
                <w:sz w:val="21"/>
                <w:szCs w:val="21"/>
                <w:highlight w:val="none"/>
              </w:rPr>
              <w:t>可减少臭气的产生</w:t>
            </w:r>
          </w:p>
        </w:tc>
        <w:tc>
          <w:tcPr>
            <w:tcW w:w="1483"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3AE8218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F65FA8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1500</w:t>
            </w:r>
          </w:p>
        </w:tc>
        <w:tc>
          <w:tcPr>
            <w:tcW w:w="94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FCE6BF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0.1218</w:t>
            </w:r>
          </w:p>
        </w:tc>
      </w:tr>
      <w:tr w14:paraId="2B5E1C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3"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6611119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63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79ABC1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732" w:type="dxa"/>
            <w:gridSpan w:val="2"/>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0305E4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82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B1ACAE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3318"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6D8DC09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483"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6169C24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B76179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94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A5F1BB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0.0018</w:t>
            </w:r>
          </w:p>
        </w:tc>
      </w:tr>
      <w:tr w14:paraId="34C444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394258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637" w:type="dxa"/>
            <w:tcBorders>
              <w:top w:val="single" w:color="auto" w:sz="4" w:space="0"/>
              <w:left w:val="single" w:color="auto" w:sz="4" w:space="0"/>
              <w:bottom w:val="single" w:color="auto" w:sz="4" w:space="0"/>
              <w:right w:val="single" w:color="auto" w:sz="4" w:space="0"/>
            </w:tcBorders>
            <w:shd w:val="clear" w:color="auto" w:fill="auto"/>
            <w:vAlign w:val="center"/>
          </w:tcPr>
          <w:p w14:paraId="5D7405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73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42205FE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TMR车间</w:t>
            </w:r>
          </w:p>
        </w:tc>
        <w:tc>
          <w:tcPr>
            <w:tcW w:w="82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F493E5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331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2510AE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全封闭TMR车间</w:t>
            </w:r>
          </w:p>
        </w:tc>
        <w:tc>
          <w:tcPr>
            <w:tcW w:w="148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38F5A1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《大气污染物综合排放标准》（GB16297-199</w:t>
            </w:r>
            <w:r>
              <w:rPr>
                <w:rFonts w:hint="default" w:ascii="Times New Roman" w:hAnsi="Times New Roman" w:eastAsia="宋体" w:cs="Times New Roman"/>
                <w:color w:val="auto"/>
                <w:kern w:val="2"/>
                <w:sz w:val="21"/>
                <w:szCs w:val="21"/>
                <w:highlight w:val="none"/>
                <w:lang w:val="en-US" w:eastAsia="zh-CN" w:bidi="ar-SA"/>
              </w:rPr>
              <w:t>6）表2新污染源大气污染物排放限值中无组织排放监控浓度限值</w:t>
            </w:r>
          </w:p>
        </w:tc>
        <w:tc>
          <w:tcPr>
            <w:tcW w:w="731"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4D62CF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1000</w:t>
            </w:r>
          </w:p>
        </w:tc>
        <w:tc>
          <w:tcPr>
            <w:tcW w:w="94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0874DB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0.086</w:t>
            </w:r>
          </w:p>
        </w:tc>
      </w:tr>
      <w:tr w14:paraId="388B37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03" w:type="dxa"/>
            <w:gridSpan w:val="9"/>
            <w:tcBorders>
              <w:top w:val="single" w:color="auto" w:sz="4" w:space="0"/>
              <w:left w:val="single" w:color="auto" w:sz="4" w:space="0"/>
              <w:bottom w:val="single" w:color="auto" w:sz="4" w:space="0"/>
              <w:right w:val="single" w:color="auto" w:sz="4" w:space="0"/>
            </w:tcBorders>
            <w:shd w:val="clear" w:color="auto" w:fill="auto"/>
            <w:noWrap/>
            <w:vAlign w:val="center"/>
          </w:tcPr>
          <w:p w14:paraId="6EE4D6E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无组织排放总计</w:t>
            </w:r>
          </w:p>
        </w:tc>
      </w:tr>
      <w:tr w14:paraId="3EB055B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75" w:type="dxa"/>
            <w:gridSpan w:val="3"/>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33C5438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无组织排放总计</w:t>
            </w:r>
          </w:p>
        </w:tc>
        <w:tc>
          <w:tcPr>
            <w:tcW w:w="6984" w:type="dxa"/>
            <w:gridSpan w:val="5"/>
            <w:tcBorders>
              <w:top w:val="single" w:color="auto" w:sz="4" w:space="0"/>
              <w:left w:val="single" w:color="auto" w:sz="4" w:space="0"/>
              <w:bottom w:val="single" w:color="auto" w:sz="4" w:space="0"/>
              <w:right w:val="single" w:color="auto" w:sz="4" w:space="0"/>
            </w:tcBorders>
            <w:shd w:val="clear" w:color="auto" w:fill="auto"/>
            <w:noWrap/>
            <w:vAlign w:val="center"/>
          </w:tcPr>
          <w:p w14:paraId="49C9610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w:t>
            </w:r>
          </w:p>
        </w:tc>
        <w:tc>
          <w:tcPr>
            <w:tcW w:w="94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E67653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0.304</w:t>
            </w:r>
          </w:p>
        </w:tc>
      </w:tr>
      <w:tr w14:paraId="1D49902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75" w:type="dxa"/>
            <w:gridSpan w:val="3"/>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6A5E962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6984" w:type="dxa"/>
            <w:gridSpan w:val="5"/>
            <w:tcBorders>
              <w:top w:val="single" w:color="auto" w:sz="4" w:space="0"/>
              <w:left w:val="single" w:color="auto" w:sz="4" w:space="0"/>
              <w:bottom w:val="single" w:color="auto" w:sz="4" w:space="0"/>
              <w:right w:val="single" w:color="auto" w:sz="4" w:space="0"/>
            </w:tcBorders>
            <w:shd w:val="clear" w:color="auto" w:fill="auto"/>
            <w:noWrap/>
            <w:vAlign w:val="center"/>
          </w:tcPr>
          <w:p w14:paraId="6F19117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硫化氢（H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94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DA8755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0.0044</w:t>
            </w:r>
          </w:p>
        </w:tc>
      </w:tr>
      <w:tr w14:paraId="172799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75" w:type="dxa"/>
            <w:gridSpan w:val="3"/>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1F7932E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6984" w:type="dxa"/>
            <w:gridSpan w:val="5"/>
            <w:tcBorders>
              <w:top w:val="single" w:color="auto" w:sz="4" w:space="0"/>
              <w:left w:val="single" w:color="auto" w:sz="4" w:space="0"/>
              <w:bottom w:val="single" w:color="auto" w:sz="4" w:space="0"/>
              <w:right w:val="single" w:color="auto" w:sz="4" w:space="0"/>
            </w:tcBorders>
            <w:shd w:val="clear" w:color="auto" w:fill="auto"/>
            <w:noWrap/>
            <w:vAlign w:val="center"/>
          </w:tcPr>
          <w:p w14:paraId="4C45D7E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944"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B4493E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0.086</w:t>
            </w:r>
          </w:p>
        </w:tc>
      </w:tr>
    </w:tbl>
    <w:p w14:paraId="3F232FD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项目大气污染物年排放量核算见下表。</w:t>
      </w:r>
    </w:p>
    <w:p w14:paraId="221E420B">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表5.2-</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rPr>
        <w:t>大气污染物年排放量核算表</w:t>
      </w:r>
    </w:p>
    <w:tbl>
      <w:tblPr>
        <w:tblStyle w:val="40"/>
        <w:tblW w:w="8277"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15" w:type="dxa"/>
          <w:left w:w="108" w:type="dxa"/>
          <w:bottom w:w="15" w:type="dxa"/>
          <w:right w:w="108" w:type="dxa"/>
        </w:tblCellMar>
      </w:tblPr>
      <w:tblGrid>
        <w:gridCol w:w="2140"/>
        <w:gridCol w:w="3338"/>
        <w:gridCol w:w="2799"/>
      </w:tblGrid>
      <w:tr w14:paraId="3D97FD3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2323" w:type="dxa"/>
            <w:tcBorders>
              <w:top w:val="single" w:color="auto" w:sz="4" w:space="0"/>
              <w:left w:val="single" w:color="auto" w:sz="4" w:space="0"/>
              <w:bottom w:val="single" w:color="auto" w:sz="4" w:space="0"/>
              <w:right w:val="single" w:color="auto" w:sz="4" w:space="0"/>
            </w:tcBorders>
            <w:vAlign w:val="center"/>
          </w:tcPr>
          <w:p w14:paraId="25AA2B7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3635" w:type="dxa"/>
            <w:tcBorders>
              <w:top w:val="single" w:color="auto" w:sz="4" w:space="0"/>
              <w:left w:val="single" w:color="auto" w:sz="4" w:space="0"/>
              <w:bottom w:val="single" w:color="auto" w:sz="4" w:space="0"/>
              <w:right w:val="single" w:color="auto" w:sz="4" w:space="0"/>
            </w:tcBorders>
            <w:vAlign w:val="center"/>
          </w:tcPr>
          <w:p w14:paraId="454B362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3045" w:type="dxa"/>
            <w:tcBorders>
              <w:top w:val="single" w:color="auto" w:sz="4" w:space="0"/>
              <w:left w:val="single" w:color="auto" w:sz="4" w:space="0"/>
              <w:bottom w:val="single" w:color="auto" w:sz="4" w:space="0"/>
              <w:right w:val="single" w:color="auto" w:sz="4" w:space="0"/>
            </w:tcBorders>
            <w:vAlign w:val="center"/>
          </w:tcPr>
          <w:p w14:paraId="2EC9570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年排放量/（t/a）</w:t>
            </w:r>
          </w:p>
        </w:tc>
      </w:tr>
      <w:tr w14:paraId="0605706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2323" w:type="dxa"/>
            <w:tcBorders>
              <w:top w:val="single" w:color="auto" w:sz="4" w:space="0"/>
              <w:left w:val="single" w:color="auto" w:sz="4" w:space="0"/>
              <w:bottom w:val="single" w:color="auto" w:sz="4" w:space="0"/>
              <w:right w:val="single" w:color="auto" w:sz="4" w:space="0"/>
            </w:tcBorders>
            <w:vAlign w:val="center"/>
          </w:tcPr>
          <w:p w14:paraId="461FF59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3635" w:type="dxa"/>
            <w:tcBorders>
              <w:top w:val="single" w:color="auto" w:sz="4" w:space="0"/>
              <w:left w:val="single" w:color="auto" w:sz="4" w:space="0"/>
              <w:bottom w:val="single" w:color="auto" w:sz="4" w:space="0"/>
              <w:right w:val="single" w:color="auto" w:sz="4" w:space="0"/>
            </w:tcBorders>
            <w:vAlign w:val="center"/>
          </w:tcPr>
          <w:p w14:paraId="7CCF268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w:t>
            </w:r>
          </w:p>
        </w:tc>
        <w:tc>
          <w:tcPr>
            <w:tcW w:w="3045" w:type="dxa"/>
            <w:tcBorders>
              <w:top w:val="single" w:color="auto" w:sz="4" w:space="0"/>
              <w:left w:val="single" w:color="auto" w:sz="4" w:space="0"/>
              <w:bottom w:val="single" w:color="auto" w:sz="4" w:space="0"/>
              <w:right w:val="single" w:color="auto" w:sz="4" w:space="0"/>
            </w:tcBorders>
            <w:vAlign w:val="center"/>
          </w:tcPr>
          <w:p w14:paraId="58ED19C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0.304</w:t>
            </w:r>
          </w:p>
        </w:tc>
      </w:tr>
      <w:tr w14:paraId="7FE55B2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2323" w:type="dxa"/>
            <w:tcBorders>
              <w:top w:val="single" w:color="auto" w:sz="4" w:space="0"/>
              <w:left w:val="single" w:color="auto" w:sz="4" w:space="0"/>
              <w:bottom w:val="single" w:color="auto" w:sz="4" w:space="0"/>
              <w:right w:val="single" w:color="auto" w:sz="4" w:space="0"/>
            </w:tcBorders>
            <w:vAlign w:val="center"/>
          </w:tcPr>
          <w:p w14:paraId="711ACCD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3635" w:type="dxa"/>
            <w:tcBorders>
              <w:top w:val="single" w:color="auto" w:sz="4" w:space="0"/>
              <w:left w:val="single" w:color="auto" w:sz="4" w:space="0"/>
              <w:bottom w:val="single" w:color="auto" w:sz="4" w:space="0"/>
              <w:right w:val="single" w:color="auto" w:sz="4" w:space="0"/>
            </w:tcBorders>
            <w:vAlign w:val="center"/>
          </w:tcPr>
          <w:p w14:paraId="4BADA22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硫化氢（H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3045" w:type="dxa"/>
            <w:tcBorders>
              <w:top w:val="single" w:color="auto" w:sz="4" w:space="0"/>
              <w:left w:val="single" w:color="auto" w:sz="4" w:space="0"/>
              <w:bottom w:val="single" w:color="auto" w:sz="4" w:space="0"/>
              <w:right w:val="single" w:color="auto" w:sz="4" w:space="0"/>
            </w:tcBorders>
            <w:vAlign w:val="center"/>
          </w:tcPr>
          <w:p w14:paraId="3B4C6DC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0.0044</w:t>
            </w:r>
          </w:p>
        </w:tc>
      </w:tr>
      <w:tr w14:paraId="7E04150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2323" w:type="dxa"/>
            <w:tcBorders>
              <w:top w:val="single" w:color="auto" w:sz="4" w:space="0"/>
              <w:left w:val="single" w:color="auto" w:sz="4" w:space="0"/>
              <w:bottom w:val="single" w:color="auto" w:sz="4" w:space="0"/>
              <w:right w:val="single" w:color="auto" w:sz="4" w:space="0"/>
            </w:tcBorders>
            <w:vAlign w:val="center"/>
          </w:tcPr>
          <w:p w14:paraId="5B6A75B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3635" w:type="dxa"/>
            <w:tcBorders>
              <w:top w:val="single" w:color="auto" w:sz="4" w:space="0"/>
              <w:left w:val="single" w:color="auto" w:sz="4" w:space="0"/>
              <w:bottom w:val="single" w:color="auto" w:sz="4" w:space="0"/>
              <w:right w:val="single" w:color="auto" w:sz="4" w:space="0"/>
            </w:tcBorders>
            <w:vAlign w:val="center"/>
          </w:tcPr>
          <w:p w14:paraId="7700BBC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3045" w:type="dxa"/>
            <w:tcBorders>
              <w:top w:val="single" w:color="auto" w:sz="4" w:space="0"/>
              <w:left w:val="single" w:color="auto" w:sz="4" w:space="0"/>
              <w:bottom w:val="single" w:color="auto" w:sz="4" w:space="0"/>
              <w:right w:val="single" w:color="auto" w:sz="4" w:space="0"/>
            </w:tcBorders>
            <w:vAlign w:val="center"/>
          </w:tcPr>
          <w:p w14:paraId="23EBEB7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0.086</w:t>
            </w:r>
          </w:p>
        </w:tc>
      </w:tr>
    </w:tbl>
    <w:p w14:paraId="4366A4C5">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5.2.2.</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大气环境防护距离</w:t>
      </w:r>
    </w:p>
    <w:p w14:paraId="448932E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本项目场区通过在饲料中加入EM添加剂以及添加除臭剂，减少粪便中氨氮的排放、减轻恶臭；牛舍设置通风口，同时用</w:t>
      </w:r>
      <w:r>
        <w:rPr>
          <w:rFonts w:hint="default" w:ascii="Times New Roman" w:hAnsi="Times New Roman" w:eastAsia="宋体" w:cs="Times New Roman"/>
          <w:color w:val="auto"/>
          <w:highlight w:val="none"/>
          <w:lang w:eastAsia="zh-CN"/>
        </w:rPr>
        <w:t>生物除臭剂</w:t>
      </w:r>
      <w:r>
        <w:rPr>
          <w:rFonts w:hint="default" w:ascii="Times New Roman" w:hAnsi="Times New Roman" w:eastAsia="宋体" w:cs="Times New Roman"/>
          <w:color w:val="auto"/>
          <w:highlight w:val="none"/>
        </w:rPr>
        <w:t>喷洒牛舍、</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等除臭；根据估算模式预测结果，大气环境影响评价等级为二级，厂界外无超标点，且敏感点预测值能够满足环境功能区划要求，因此无需设置大气环境防护距离</w:t>
      </w:r>
      <w:r>
        <w:rPr>
          <w:rFonts w:hint="default" w:ascii="Times New Roman" w:hAnsi="Times New Roman" w:eastAsia="宋体" w:cs="Times New Roman"/>
          <w:color w:val="auto"/>
          <w:highlight w:val="none"/>
          <w:lang w:eastAsia="zh-CN"/>
        </w:rPr>
        <w:t>。</w:t>
      </w:r>
    </w:p>
    <w:p w14:paraId="7006D1E5">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409" w:name="_Toc46421133"/>
      <w:bookmarkStart w:id="410" w:name="_Toc17602"/>
      <w:r>
        <w:rPr>
          <w:rFonts w:hint="default" w:ascii="Times New Roman" w:hAnsi="Times New Roman" w:eastAsia="宋体" w:cs="Times New Roman"/>
          <w:color w:val="auto"/>
          <w:highlight w:val="none"/>
        </w:rPr>
        <w:t>5.2.3大气环境影响评价结论与建议</w:t>
      </w:r>
      <w:bookmarkEnd w:id="409"/>
      <w:bookmarkEnd w:id="410"/>
    </w:p>
    <w:p w14:paraId="38EB8C9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（1）达标区环境可接受性</w:t>
      </w:r>
    </w:p>
    <w:p w14:paraId="6CC01DF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采取的污染防治措施有效、可行，排放的大气污染物对环境影响较小，根据估算模式预测结果，大气环境影响评价等级为二级，厂界外无超标点，且敏感点预测值能够满足环境功能区划要求。项目正常情况排放的大气污染物对大气环境影响可接受。</w:t>
      </w:r>
    </w:p>
    <w:p w14:paraId="0FA3D38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）大气环境影响评价自查</w:t>
      </w:r>
    </w:p>
    <w:p w14:paraId="67F615F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本次评价对大气环境影响评价主要内容与结论进行自查，自查结果见下表</w:t>
      </w:r>
      <w:r>
        <w:rPr>
          <w:rFonts w:hint="default" w:ascii="Times New Roman" w:hAnsi="Times New Roman" w:eastAsia="宋体" w:cs="Times New Roman"/>
          <w:color w:val="auto"/>
          <w:highlight w:val="none"/>
          <w:lang w:eastAsia="zh-CN"/>
        </w:rPr>
        <w:t>。</w:t>
      </w:r>
    </w:p>
    <w:p w14:paraId="5A496C0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p>
    <w:p w14:paraId="6875C34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p>
    <w:p w14:paraId="28AFFCB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p>
    <w:p w14:paraId="3D05894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sectPr>
          <w:pgSz w:w="11906" w:h="16838"/>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26" w:charSpace="0"/>
        </w:sectPr>
      </w:pPr>
    </w:p>
    <w:p w14:paraId="723CC975">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表5.2-</w:t>
      </w:r>
      <w:r>
        <w:rPr>
          <w:rFonts w:hint="default"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建设项目大气环境影响评价自查表</w:t>
      </w:r>
    </w:p>
    <w:tbl>
      <w:tblPr>
        <w:tblStyle w:val="40"/>
        <w:tblW w:w="13606"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15" w:type="dxa"/>
          <w:left w:w="108" w:type="dxa"/>
          <w:bottom w:w="15" w:type="dxa"/>
          <w:right w:w="108" w:type="dxa"/>
        </w:tblCellMar>
      </w:tblPr>
      <w:tblGrid>
        <w:gridCol w:w="1155"/>
        <w:gridCol w:w="2029"/>
        <w:gridCol w:w="1234"/>
        <w:gridCol w:w="1049"/>
        <w:gridCol w:w="975"/>
        <w:gridCol w:w="673"/>
        <w:gridCol w:w="1602"/>
        <w:gridCol w:w="1931"/>
        <w:gridCol w:w="1187"/>
        <w:gridCol w:w="1771"/>
      </w:tblGrid>
      <w:tr w14:paraId="54D6024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3369" w:type="dxa"/>
            <w:gridSpan w:val="2"/>
            <w:tcBorders>
              <w:top w:val="single" w:color="auto" w:sz="4" w:space="0"/>
              <w:left w:val="single" w:color="auto" w:sz="4" w:space="0"/>
              <w:bottom w:val="single" w:color="auto" w:sz="4" w:space="0"/>
              <w:right w:val="single" w:color="auto" w:sz="4" w:space="0"/>
            </w:tcBorders>
            <w:vAlign w:val="center"/>
          </w:tcPr>
          <w:p w14:paraId="42DF167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工作内容</w:t>
            </w:r>
          </w:p>
        </w:tc>
        <w:tc>
          <w:tcPr>
            <w:tcW w:w="11020" w:type="dxa"/>
            <w:gridSpan w:val="8"/>
            <w:tcBorders>
              <w:top w:val="single" w:color="auto" w:sz="4" w:space="0"/>
              <w:left w:val="single" w:color="auto" w:sz="4" w:space="0"/>
              <w:bottom w:val="single" w:color="auto" w:sz="4" w:space="0"/>
              <w:right w:val="single" w:color="auto" w:sz="4" w:space="0"/>
            </w:tcBorders>
            <w:vAlign w:val="center"/>
          </w:tcPr>
          <w:p w14:paraId="09BEC2A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自查项目</w:t>
            </w:r>
          </w:p>
        </w:tc>
      </w:tr>
      <w:tr w14:paraId="1F6F960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218" w:type="dxa"/>
            <w:vMerge w:val="restart"/>
            <w:tcBorders>
              <w:top w:val="single" w:color="auto" w:sz="4" w:space="0"/>
              <w:left w:val="single" w:color="auto" w:sz="4" w:space="0"/>
              <w:bottom w:val="single" w:color="auto" w:sz="4" w:space="0"/>
              <w:right w:val="single" w:color="auto" w:sz="4" w:space="0"/>
            </w:tcBorders>
            <w:vAlign w:val="center"/>
          </w:tcPr>
          <w:p w14:paraId="0537DF9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评价等级与范围</w:t>
            </w:r>
          </w:p>
        </w:tc>
        <w:tc>
          <w:tcPr>
            <w:tcW w:w="2151" w:type="dxa"/>
            <w:tcBorders>
              <w:top w:val="single" w:color="auto" w:sz="4" w:space="0"/>
              <w:left w:val="single" w:color="auto" w:sz="4" w:space="0"/>
              <w:bottom w:val="single" w:color="auto" w:sz="4" w:space="0"/>
              <w:right w:val="single" w:color="auto" w:sz="4" w:space="0"/>
            </w:tcBorders>
            <w:vAlign w:val="center"/>
          </w:tcPr>
          <w:p w14:paraId="722046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评价等级</w:t>
            </w:r>
          </w:p>
        </w:tc>
        <w:tc>
          <w:tcPr>
            <w:tcW w:w="4151" w:type="dxa"/>
            <w:gridSpan w:val="4"/>
            <w:tcBorders>
              <w:top w:val="single" w:color="auto" w:sz="4" w:space="0"/>
              <w:left w:val="single" w:color="auto" w:sz="4" w:space="0"/>
              <w:bottom w:val="single" w:color="auto" w:sz="4" w:space="0"/>
              <w:right w:val="single" w:color="auto" w:sz="4" w:space="0"/>
            </w:tcBorders>
            <w:vAlign w:val="center"/>
          </w:tcPr>
          <w:p w14:paraId="38F4533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p>
        </w:tc>
        <w:tc>
          <w:tcPr>
            <w:tcW w:w="3741" w:type="dxa"/>
            <w:gridSpan w:val="2"/>
            <w:tcBorders>
              <w:top w:val="single" w:color="auto" w:sz="4" w:space="0"/>
              <w:left w:val="single" w:color="auto" w:sz="4" w:space="0"/>
              <w:bottom w:val="single" w:color="auto" w:sz="4" w:space="0"/>
              <w:right w:val="single" w:color="auto" w:sz="4" w:space="0"/>
            </w:tcBorders>
            <w:vAlign w:val="center"/>
          </w:tcPr>
          <w:p w14:paraId="7609B77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2"/>
                <w:sz w:val="21"/>
                <w:szCs w:val="21"/>
                <w:highlight w:val="none"/>
              </w:rPr>
              <w:instrText xml:space="preserve">√</w:instrText>
            </w:r>
            <w:r>
              <w:rPr>
                <w:rFonts w:hint="default" w:ascii="Times New Roman" w:hAnsi="Times New Roman" w:eastAsia="宋体" w:cs="Times New Roman"/>
                <w:color w:val="auto"/>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p>
        </w:tc>
        <w:tc>
          <w:tcPr>
            <w:tcW w:w="3128" w:type="dxa"/>
            <w:gridSpan w:val="2"/>
            <w:tcBorders>
              <w:top w:val="single" w:color="auto" w:sz="4" w:space="0"/>
              <w:left w:val="single" w:color="auto" w:sz="4" w:space="0"/>
              <w:bottom w:val="single" w:color="auto" w:sz="4" w:space="0"/>
              <w:right w:val="single" w:color="auto" w:sz="4" w:space="0"/>
            </w:tcBorders>
            <w:vAlign w:val="center"/>
          </w:tcPr>
          <w:p w14:paraId="5123BDE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r>
      <w:tr w14:paraId="0176F5E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218" w:type="dxa"/>
            <w:vMerge w:val="continue"/>
            <w:tcBorders>
              <w:top w:val="single" w:color="auto" w:sz="4" w:space="0"/>
              <w:left w:val="single" w:color="auto" w:sz="4" w:space="0"/>
              <w:bottom w:val="single" w:color="auto" w:sz="4" w:space="0"/>
              <w:right w:val="single" w:color="auto" w:sz="4" w:space="0"/>
            </w:tcBorders>
            <w:vAlign w:val="center"/>
          </w:tcPr>
          <w:p w14:paraId="3CDD8FB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2151" w:type="dxa"/>
            <w:tcBorders>
              <w:top w:val="single" w:color="auto" w:sz="4" w:space="0"/>
              <w:left w:val="single" w:color="auto" w:sz="4" w:space="0"/>
              <w:bottom w:val="single" w:color="auto" w:sz="4" w:space="0"/>
              <w:right w:val="single" w:color="auto" w:sz="4" w:space="0"/>
            </w:tcBorders>
            <w:vAlign w:val="center"/>
          </w:tcPr>
          <w:p w14:paraId="1A1CC0F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评价范围</w:t>
            </w:r>
          </w:p>
        </w:tc>
        <w:tc>
          <w:tcPr>
            <w:tcW w:w="4151" w:type="dxa"/>
            <w:gridSpan w:val="4"/>
            <w:tcBorders>
              <w:top w:val="single" w:color="auto" w:sz="4" w:space="0"/>
              <w:left w:val="single" w:color="auto" w:sz="4" w:space="0"/>
              <w:bottom w:val="single" w:color="auto" w:sz="4" w:space="0"/>
              <w:right w:val="single" w:color="auto" w:sz="4" w:space="0"/>
            </w:tcBorders>
            <w:vAlign w:val="center"/>
          </w:tcPr>
          <w:p w14:paraId="53452FA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边长=50km□</w:t>
            </w:r>
          </w:p>
        </w:tc>
        <w:tc>
          <w:tcPr>
            <w:tcW w:w="3741" w:type="dxa"/>
            <w:gridSpan w:val="2"/>
            <w:tcBorders>
              <w:top w:val="single" w:color="auto" w:sz="4" w:space="0"/>
              <w:left w:val="single" w:color="auto" w:sz="4" w:space="0"/>
              <w:bottom w:val="single" w:color="auto" w:sz="4" w:space="0"/>
              <w:right w:val="single" w:color="auto" w:sz="4" w:space="0"/>
            </w:tcBorders>
            <w:vAlign w:val="center"/>
          </w:tcPr>
          <w:p w14:paraId="27C1F6E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边长=5</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50km□</w:t>
            </w:r>
          </w:p>
        </w:tc>
        <w:tc>
          <w:tcPr>
            <w:tcW w:w="3128" w:type="dxa"/>
            <w:gridSpan w:val="2"/>
            <w:tcBorders>
              <w:top w:val="single" w:color="auto" w:sz="4" w:space="0"/>
              <w:left w:val="single" w:color="auto" w:sz="4" w:space="0"/>
              <w:bottom w:val="single" w:color="auto" w:sz="4" w:space="0"/>
              <w:right w:val="single" w:color="auto" w:sz="4" w:space="0"/>
            </w:tcBorders>
            <w:vAlign w:val="center"/>
          </w:tcPr>
          <w:p w14:paraId="6E4D174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边长=5km</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2"/>
                <w:sz w:val="21"/>
                <w:szCs w:val="21"/>
                <w:highlight w:val="none"/>
              </w:rPr>
              <w:instrText xml:space="preserve">√</w:instrText>
            </w:r>
            <w:r>
              <w:rPr>
                <w:rFonts w:hint="default" w:ascii="Times New Roman" w:hAnsi="Times New Roman" w:eastAsia="宋体" w:cs="Times New Roman"/>
                <w:color w:val="auto"/>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p>
        </w:tc>
      </w:tr>
      <w:tr w14:paraId="378516A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218" w:type="dxa"/>
            <w:vMerge w:val="restart"/>
            <w:tcBorders>
              <w:top w:val="single" w:color="auto" w:sz="4" w:space="0"/>
              <w:left w:val="single" w:color="auto" w:sz="4" w:space="0"/>
              <w:bottom w:val="single" w:color="auto" w:sz="4" w:space="0"/>
              <w:right w:val="single" w:color="auto" w:sz="4" w:space="0"/>
            </w:tcBorders>
            <w:vAlign w:val="center"/>
          </w:tcPr>
          <w:p w14:paraId="44DB1C3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评价因子</w:t>
            </w:r>
          </w:p>
        </w:tc>
        <w:tc>
          <w:tcPr>
            <w:tcW w:w="2151" w:type="dxa"/>
            <w:tcBorders>
              <w:top w:val="single" w:color="auto" w:sz="4" w:space="0"/>
              <w:left w:val="single" w:color="auto" w:sz="4" w:space="0"/>
              <w:bottom w:val="single" w:color="auto" w:sz="4" w:space="0"/>
              <w:right w:val="single" w:color="auto" w:sz="4" w:space="0"/>
            </w:tcBorders>
            <w:vAlign w:val="center"/>
          </w:tcPr>
          <w:p w14:paraId="5D48142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+NOx排放量</w:t>
            </w:r>
          </w:p>
        </w:tc>
        <w:tc>
          <w:tcPr>
            <w:tcW w:w="2407" w:type="dxa"/>
            <w:gridSpan w:val="2"/>
            <w:tcBorders>
              <w:top w:val="single" w:color="auto" w:sz="4" w:space="0"/>
              <w:left w:val="single" w:color="auto" w:sz="4" w:space="0"/>
              <w:bottom w:val="single" w:color="auto" w:sz="4" w:space="0"/>
              <w:right w:val="single" w:color="auto" w:sz="4" w:space="0"/>
            </w:tcBorders>
            <w:vAlign w:val="center"/>
          </w:tcPr>
          <w:p w14:paraId="442D02F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≥2000t/a□</w:t>
            </w:r>
          </w:p>
        </w:tc>
        <w:tc>
          <w:tcPr>
            <w:tcW w:w="3439" w:type="dxa"/>
            <w:gridSpan w:val="3"/>
            <w:tcBorders>
              <w:top w:val="single" w:color="auto" w:sz="4" w:space="0"/>
              <w:left w:val="single" w:color="auto" w:sz="4" w:space="0"/>
              <w:bottom w:val="single" w:color="auto" w:sz="4" w:space="0"/>
              <w:right w:val="single" w:color="auto" w:sz="4" w:space="0"/>
            </w:tcBorders>
            <w:vAlign w:val="center"/>
          </w:tcPr>
          <w:p w14:paraId="57456D0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2000t/a□</w:t>
            </w:r>
          </w:p>
        </w:tc>
        <w:tc>
          <w:tcPr>
            <w:tcW w:w="5174" w:type="dxa"/>
            <w:gridSpan w:val="3"/>
            <w:tcBorders>
              <w:top w:val="single" w:color="auto" w:sz="4" w:space="0"/>
              <w:left w:val="single" w:color="auto" w:sz="4" w:space="0"/>
              <w:bottom w:val="single" w:color="auto" w:sz="4" w:space="0"/>
              <w:right w:val="single" w:color="auto" w:sz="4" w:space="0"/>
            </w:tcBorders>
            <w:vAlign w:val="center"/>
          </w:tcPr>
          <w:p w14:paraId="1F9AC14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&lt;500t/a</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2"/>
                <w:sz w:val="21"/>
                <w:szCs w:val="21"/>
                <w:highlight w:val="none"/>
              </w:rPr>
              <w:instrText xml:space="preserve">√</w:instrText>
            </w:r>
            <w:r>
              <w:rPr>
                <w:rFonts w:hint="default" w:ascii="Times New Roman" w:hAnsi="Times New Roman" w:eastAsia="宋体" w:cs="Times New Roman"/>
                <w:color w:val="auto"/>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p>
        </w:tc>
      </w:tr>
      <w:tr w14:paraId="1590690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218" w:type="dxa"/>
            <w:vMerge w:val="continue"/>
            <w:tcBorders>
              <w:top w:val="single" w:color="auto" w:sz="4" w:space="0"/>
              <w:left w:val="single" w:color="auto" w:sz="4" w:space="0"/>
              <w:bottom w:val="single" w:color="auto" w:sz="4" w:space="0"/>
              <w:right w:val="single" w:color="auto" w:sz="4" w:space="0"/>
            </w:tcBorders>
            <w:vAlign w:val="center"/>
          </w:tcPr>
          <w:p w14:paraId="6E63CE3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2151" w:type="dxa"/>
            <w:tcBorders>
              <w:top w:val="single" w:color="auto" w:sz="4" w:space="0"/>
              <w:left w:val="single" w:color="auto" w:sz="4" w:space="0"/>
              <w:bottom w:val="single" w:color="auto" w:sz="4" w:space="0"/>
              <w:right w:val="single" w:color="auto" w:sz="4" w:space="0"/>
            </w:tcBorders>
            <w:vAlign w:val="center"/>
          </w:tcPr>
          <w:p w14:paraId="257A245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评价因子</w:t>
            </w:r>
          </w:p>
        </w:tc>
        <w:tc>
          <w:tcPr>
            <w:tcW w:w="5846" w:type="dxa"/>
            <w:gridSpan w:val="5"/>
            <w:tcBorders>
              <w:top w:val="single" w:color="auto" w:sz="4" w:space="0"/>
              <w:left w:val="single" w:color="auto" w:sz="4" w:space="0"/>
              <w:bottom w:val="single" w:color="auto" w:sz="4" w:space="0"/>
              <w:right w:val="single" w:color="auto" w:sz="4" w:space="0"/>
            </w:tcBorders>
            <w:vAlign w:val="center"/>
          </w:tcPr>
          <w:p w14:paraId="2F7E349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基本污染物（SO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X</w:t>
            </w:r>
            <w:r>
              <w:rPr>
                <w:rFonts w:hint="default" w:ascii="Times New Roman" w:hAnsi="Times New Roman" w:eastAsia="宋体" w:cs="Times New Roman"/>
                <w:color w:val="auto"/>
                <w:sz w:val="21"/>
                <w:szCs w:val="21"/>
                <w:highlight w:val="none"/>
              </w:rPr>
              <w:t>、O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、CO、PM</w:t>
            </w:r>
            <w:r>
              <w:rPr>
                <w:rFonts w:hint="default" w:ascii="Times New Roman" w:hAnsi="Times New Roman" w:eastAsia="宋体" w:cs="Times New Roman"/>
                <w:color w:val="auto"/>
                <w:sz w:val="21"/>
                <w:szCs w:val="21"/>
                <w:highlight w:val="none"/>
                <w:vertAlign w:val="subscript"/>
              </w:rPr>
              <w:t>10</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r>
              <w:rPr>
                <w:rFonts w:hint="default" w:ascii="Times New Roman" w:hAnsi="Times New Roman" w:eastAsia="宋体" w:cs="Times New Roman"/>
                <w:color w:val="auto"/>
                <w:sz w:val="21"/>
                <w:szCs w:val="21"/>
                <w:highlight w:val="none"/>
              </w:rPr>
              <w:t>）</w:t>
            </w:r>
          </w:p>
          <w:p w14:paraId="0C9C2AD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其他污染物（氨、硫化氢、</w:t>
            </w:r>
            <w:r>
              <w:rPr>
                <w:rFonts w:hint="default" w:ascii="Times New Roman" w:hAnsi="Times New Roman" w:eastAsia="宋体" w:cs="Times New Roman"/>
                <w:color w:val="auto"/>
                <w:sz w:val="21"/>
                <w:szCs w:val="21"/>
                <w:highlight w:val="none"/>
                <w:lang w:val="en-US" w:eastAsia="zh-CN"/>
              </w:rPr>
              <w:t>TSP</w:t>
            </w:r>
            <w:r>
              <w:rPr>
                <w:rFonts w:hint="default" w:ascii="Times New Roman" w:hAnsi="Times New Roman" w:eastAsia="宋体" w:cs="Times New Roman"/>
                <w:color w:val="auto"/>
                <w:sz w:val="21"/>
                <w:szCs w:val="21"/>
                <w:highlight w:val="none"/>
              </w:rPr>
              <w:t>）</w:t>
            </w:r>
          </w:p>
        </w:tc>
        <w:tc>
          <w:tcPr>
            <w:tcW w:w="5174" w:type="dxa"/>
            <w:gridSpan w:val="3"/>
            <w:tcBorders>
              <w:top w:val="single" w:color="auto" w:sz="4" w:space="0"/>
              <w:left w:val="single" w:color="auto" w:sz="4" w:space="0"/>
              <w:bottom w:val="single" w:color="auto" w:sz="4" w:space="0"/>
              <w:right w:val="single" w:color="auto" w:sz="4" w:space="0"/>
            </w:tcBorders>
            <w:vAlign w:val="center"/>
          </w:tcPr>
          <w:p w14:paraId="723ACE5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包括二次PM2.5□</w:t>
            </w:r>
          </w:p>
          <w:p w14:paraId="70AAA7E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不包括二次PM2.5</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2"/>
                <w:sz w:val="21"/>
                <w:szCs w:val="21"/>
                <w:highlight w:val="none"/>
              </w:rPr>
              <w:instrText xml:space="preserve">√</w:instrText>
            </w:r>
            <w:r>
              <w:rPr>
                <w:rFonts w:hint="default" w:ascii="Times New Roman" w:hAnsi="Times New Roman" w:eastAsia="宋体" w:cs="Times New Roman"/>
                <w:color w:val="auto"/>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p>
        </w:tc>
      </w:tr>
      <w:tr w14:paraId="716D36A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218" w:type="dxa"/>
            <w:tcBorders>
              <w:top w:val="single" w:color="auto" w:sz="4" w:space="0"/>
              <w:left w:val="single" w:color="auto" w:sz="4" w:space="0"/>
              <w:bottom w:val="single" w:color="auto" w:sz="4" w:space="0"/>
              <w:right w:val="single" w:color="auto" w:sz="4" w:space="0"/>
            </w:tcBorders>
            <w:vAlign w:val="center"/>
          </w:tcPr>
          <w:p w14:paraId="585B92F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评价标准</w:t>
            </w:r>
          </w:p>
        </w:tc>
        <w:tc>
          <w:tcPr>
            <w:tcW w:w="2151" w:type="dxa"/>
            <w:tcBorders>
              <w:top w:val="single" w:color="auto" w:sz="4" w:space="0"/>
              <w:left w:val="single" w:color="auto" w:sz="4" w:space="0"/>
              <w:bottom w:val="single" w:color="auto" w:sz="4" w:space="0"/>
              <w:right w:val="single" w:color="auto" w:sz="4" w:space="0"/>
            </w:tcBorders>
            <w:vAlign w:val="center"/>
          </w:tcPr>
          <w:p w14:paraId="1CD2509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评价标准</w:t>
            </w:r>
          </w:p>
        </w:tc>
        <w:tc>
          <w:tcPr>
            <w:tcW w:w="3437" w:type="dxa"/>
            <w:gridSpan w:val="3"/>
            <w:tcBorders>
              <w:top w:val="single" w:color="auto" w:sz="4" w:space="0"/>
              <w:left w:val="single" w:color="auto" w:sz="4" w:space="0"/>
              <w:bottom w:val="single" w:color="auto" w:sz="4" w:space="0"/>
              <w:right w:val="single" w:color="auto" w:sz="4" w:space="0"/>
            </w:tcBorders>
            <w:vAlign w:val="center"/>
          </w:tcPr>
          <w:p w14:paraId="13BAF2C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国家标准</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2"/>
                <w:sz w:val="21"/>
                <w:szCs w:val="21"/>
                <w:highlight w:val="none"/>
              </w:rPr>
              <w:instrText xml:space="preserve">√</w:instrText>
            </w:r>
            <w:r>
              <w:rPr>
                <w:rFonts w:hint="default" w:ascii="Times New Roman" w:hAnsi="Times New Roman" w:eastAsia="宋体" w:cs="Times New Roman"/>
                <w:color w:val="auto"/>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p>
        </w:tc>
        <w:tc>
          <w:tcPr>
            <w:tcW w:w="2409" w:type="dxa"/>
            <w:gridSpan w:val="2"/>
            <w:tcBorders>
              <w:top w:val="single" w:color="auto" w:sz="4" w:space="0"/>
              <w:left w:val="single" w:color="auto" w:sz="4" w:space="0"/>
              <w:bottom w:val="single" w:color="auto" w:sz="4" w:space="0"/>
              <w:right w:val="single" w:color="auto" w:sz="4" w:space="0"/>
            </w:tcBorders>
            <w:vAlign w:val="center"/>
          </w:tcPr>
          <w:p w14:paraId="6E2CB69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地方标准□</w:t>
            </w:r>
          </w:p>
        </w:tc>
        <w:tc>
          <w:tcPr>
            <w:tcW w:w="2046" w:type="dxa"/>
            <w:tcBorders>
              <w:top w:val="single" w:color="auto" w:sz="4" w:space="0"/>
              <w:left w:val="single" w:color="auto" w:sz="4" w:space="0"/>
              <w:bottom w:val="single" w:color="auto" w:sz="4" w:space="0"/>
              <w:right w:val="single" w:color="auto" w:sz="4" w:space="0"/>
            </w:tcBorders>
            <w:vAlign w:val="center"/>
          </w:tcPr>
          <w:p w14:paraId="7732810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附录D</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2"/>
                <w:sz w:val="21"/>
                <w:szCs w:val="21"/>
                <w:highlight w:val="none"/>
              </w:rPr>
              <w:instrText xml:space="preserve">√</w:instrText>
            </w:r>
            <w:r>
              <w:rPr>
                <w:rFonts w:hint="default" w:ascii="Times New Roman" w:hAnsi="Times New Roman" w:eastAsia="宋体" w:cs="Times New Roman"/>
                <w:color w:val="auto"/>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p>
        </w:tc>
        <w:tc>
          <w:tcPr>
            <w:tcW w:w="3128" w:type="dxa"/>
            <w:gridSpan w:val="2"/>
            <w:tcBorders>
              <w:top w:val="single" w:color="auto" w:sz="4" w:space="0"/>
              <w:left w:val="single" w:color="auto" w:sz="4" w:space="0"/>
              <w:bottom w:val="single" w:color="auto" w:sz="4" w:space="0"/>
              <w:right w:val="single" w:color="auto" w:sz="4" w:space="0"/>
            </w:tcBorders>
            <w:vAlign w:val="center"/>
          </w:tcPr>
          <w:p w14:paraId="365FC72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其他标准</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2"/>
                <w:sz w:val="21"/>
                <w:szCs w:val="21"/>
                <w:highlight w:val="none"/>
              </w:rPr>
              <w:instrText xml:space="preserve">√</w:instrText>
            </w:r>
            <w:r>
              <w:rPr>
                <w:rFonts w:hint="default" w:ascii="Times New Roman" w:hAnsi="Times New Roman" w:eastAsia="宋体" w:cs="Times New Roman"/>
                <w:color w:val="auto"/>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p>
        </w:tc>
      </w:tr>
      <w:tr w14:paraId="6C2D6EC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218" w:type="dxa"/>
            <w:vMerge w:val="restart"/>
            <w:tcBorders>
              <w:top w:val="single" w:color="auto" w:sz="4" w:space="0"/>
              <w:left w:val="single" w:color="auto" w:sz="4" w:space="0"/>
              <w:bottom w:val="single" w:color="auto" w:sz="4" w:space="0"/>
              <w:right w:val="single" w:color="auto" w:sz="4" w:space="0"/>
            </w:tcBorders>
            <w:vAlign w:val="center"/>
          </w:tcPr>
          <w:p w14:paraId="77DF8E0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2151" w:type="dxa"/>
            <w:tcBorders>
              <w:top w:val="single" w:color="auto" w:sz="4" w:space="0"/>
              <w:left w:val="single" w:color="auto" w:sz="4" w:space="0"/>
              <w:bottom w:val="single" w:color="auto" w:sz="4" w:space="0"/>
              <w:right w:val="single" w:color="auto" w:sz="4" w:space="0"/>
            </w:tcBorders>
            <w:vAlign w:val="center"/>
          </w:tcPr>
          <w:p w14:paraId="7D94B49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评价功能区</w:t>
            </w:r>
          </w:p>
        </w:tc>
        <w:tc>
          <w:tcPr>
            <w:tcW w:w="4151" w:type="dxa"/>
            <w:gridSpan w:val="4"/>
            <w:tcBorders>
              <w:top w:val="single" w:color="auto" w:sz="4" w:space="0"/>
              <w:left w:val="single" w:color="auto" w:sz="4" w:space="0"/>
              <w:bottom w:val="single" w:color="auto" w:sz="4" w:space="0"/>
              <w:right w:val="single" w:color="auto" w:sz="4" w:space="0"/>
            </w:tcBorders>
            <w:vAlign w:val="center"/>
          </w:tcPr>
          <w:p w14:paraId="4C29D65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一类区□</w:t>
            </w:r>
          </w:p>
        </w:tc>
        <w:tc>
          <w:tcPr>
            <w:tcW w:w="3741" w:type="dxa"/>
            <w:gridSpan w:val="2"/>
            <w:tcBorders>
              <w:top w:val="single" w:color="auto" w:sz="4" w:space="0"/>
              <w:left w:val="single" w:color="auto" w:sz="4" w:space="0"/>
              <w:bottom w:val="single" w:color="auto" w:sz="4" w:space="0"/>
              <w:right w:val="single" w:color="auto" w:sz="4" w:space="0"/>
            </w:tcBorders>
            <w:vAlign w:val="center"/>
          </w:tcPr>
          <w:p w14:paraId="7877CD8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二类区</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2"/>
                <w:sz w:val="21"/>
                <w:szCs w:val="21"/>
                <w:highlight w:val="none"/>
              </w:rPr>
              <w:instrText xml:space="preserve">√</w:instrText>
            </w:r>
            <w:r>
              <w:rPr>
                <w:rFonts w:hint="default" w:ascii="Times New Roman" w:hAnsi="Times New Roman" w:eastAsia="宋体" w:cs="Times New Roman"/>
                <w:color w:val="auto"/>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p>
        </w:tc>
        <w:tc>
          <w:tcPr>
            <w:tcW w:w="3128" w:type="dxa"/>
            <w:gridSpan w:val="2"/>
            <w:tcBorders>
              <w:top w:val="single" w:color="auto" w:sz="4" w:space="0"/>
              <w:left w:val="single" w:color="auto" w:sz="4" w:space="0"/>
              <w:bottom w:val="single" w:color="auto" w:sz="4" w:space="0"/>
              <w:right w:val="single" w:color="auto" w:sz="4" w:space="0"/>
            </w:tcBorders>
            <w:vAlign w:val="center"/>
          </w:tcPr>
          <w:p w14:paraId="2BCC77D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一类区和二类区□</w:t>
            </w:r>
          </w:p>
        </w:tc>
      </w:tr>
      <w:tr w14:paraId="1957178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218" w:type="dxa"/>
            <w:vMerge w:val="continue"/>
            <w:tcBorders>
              <w:top w:val="single" w:color="auto" w:sz="4" w:space="0"/>
              <w:left w:val="single" w:color="auto" w:sz="4" w:space="0"/>
              <w:bottom w:val="single" w:color="auto" w:sz="4" w:space="0"/>
              <w:right w:val="single" w:color="auto" w:sz="4" w:space="0"/>
            </w:tcBorders>
            <w:vAlign w:val="center"/>
          </w:tcPr>
          <w:p w14:paraId="5AAC516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2151" w:type="dxa"/>
            <w:tcBorders>
              <w:top w:val="single" w:color="auto" w:sz="4" w:space="0"/>
              <w:left w:val="single" w:color="auto" w:sz="4" w:space="0"/>
              <w:bottom w:val="single" w:color="auto" w:sz="4" w:space="0"/>
              <w:right w:val="single" w:color="auto" w:sz="4" w:space="0"/>
            </w:tcBorders>
            <w:vAlign w:val="center"/>
          </w:tcPr>
          <w:p w14:paraId="6882E21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评价基准年</w:t>
            </w:r>
          </w:p>
        </w:tc>
        <w:tc>
          <w:tcPr>
            <w:tcW w:w="11020" w:type="dxa"/>
            <w:gridSpan w:val="8"/>
            <w:tcBorders>
              <w:top w:val="single" w:color="auto" w:sz="4" w:space="0"/>
              <w:left w:val="single" w:color="auto" w:sz="4" w:space="0"/>
              <w:bottom w:val="single" w:color="auto" w:sz="4" w:space="0"/>
              <w:right w:val="single" w:color="auto" w:sz="4" w:space="0"/>
            </w:tcBorders>
            <w:vAlign w:val="center"/>
          </w:tcPr>
          <w:p w14:paraId="7CA6460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（20</w:t>
            </w:r>
            <w:r>
              <w:rPr>
                <w:rFonts w:hint="default" w:ascii="Times New Roman" w:hAnsi="Times New Roman" w:eastAsia="宋体" w:cs="Times New Roman"/>
                <w:color w:val="FF0000"/>
                <w:sz w:val="21"/>
                <w:szCs w:val="21"/>
                <w:highlight w:val="none"/>
                <w:lang w:val="en-US" w:eastAsia="zh-CN"/>
              </w:rPr>
              <w:t>2</w:t>
            </w:r>
            <w:r>
              <w:rPr>
                <w:rFonts w:hint="default" w:ascii="Times New Roman" w:hAnsi="Times New Roman" w:eastAsia="宋体" w:cs="Times New Roman"/>
                <w:color w:val="FF0000"/>
                <w:sz w:val="21"/>
                <w:szCs w:val="21"/>
                <w:highlight w:val="none"/>
                <w:lang w:val="en-US" w:eastAsia="zh-CN"/>
              </w:rPr>
              <w:t>2</w:t>
            </w:r>
            <w:r>
              <w:rPr>
                <w:rFonts w:hint="default" w:ascii="Times New Roman" w:hAnsi="Times New Roman" w:eastAsia="宋体" w:cs="Times New Roman"/>
                <w:color w:val="FF0000"/>
                <w:sz w:val="21"/>
                <w:szCs w:val="21"/>
                <w:highlight w:val="none"/>
              </w:rPr>
              <w:t>）年</w:t>
            </w:r>
          </w:p>
        </w:tc>
      </w:tr>
      <w:tr w14:paraId="750F08B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218" w:type="dxa"/>
            <w:vMerge w:val="continue"/>
            <w:tcBorders>
              <w:top w:val="single" w:color="auto" w:sz="4" w:space="0"/>
              <w:left w:val="single" w:color="auto" w:sz="4" w:space="0"/>
              <w:bottom w:val="single" w:color="auto" w:sz="4" w:space="0"/>
              <w:right w:val="single" w:color="auto" w:sz="4" w:space="0"/>
            </w:tcBorders>
            <w:vAlign w:val="center"/>
          </w:tcPr>
          <w:p w14:paraId="426D9ED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2151" w:type="dxa"/>
            <w:tcBorders>
              <w:top w:val="single" w:color="auto" w:sz="4" w:space="0"/>
              <w:left w:val="single" w:color="auto" w:sz="4" w:space="0"/>
              <w:bottom w:val="single" w:color="auto" w:sz="4" w:space="0"/>
              <w:right w:val="single" w:color="auto" w:sz="4" w:space="0"/>
            </w:tcBorders>
            <w:vAlign w:val="center"/>
          </w:tcPr>
          <w:p w14:paraId="66B7013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环境空气质量现状调查数据来源</w:t>
            </w:r>
          </w:p>
        </w:tc>
        <w:tc>
          <w:tcPr>
            <w:tcW w:w="4151" w:type="dxa"/>
            <w:gridSpan w:val="4"/>
            <w:tcBorders>
              <w:top w:val="single" w:color="auto" w:sz="4" w:space="0"/>
              <w:left w:val="single" w:color="auto" w:sz="4" w:space="0"/>
              <w:bottom w:val="single" w:color="auto" w:sz="4" w:space="0"/>
              <w:right w:val="single" w:color="auto" w:sz="4" w:space="0"/>
            </w:tcBorders>
            <w:vAlign w:val="center"/>
          </w:tcPr>
          <w:p w14:paraId="084313D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长期例行监测数据□</w:t>
            </w:r>
          </w:p>
        </w:tc>
        <w:tc>
          <w:tcPr>
            <w:tcW w:w="3741" w:type="dxa"/>
            <w:gridSpan w:val="2"/>
            <w:tcBorders>
              <w:top w:val="single" w:color="auto" w:sz="4" w:space="0"/>
              <w:left w:val="single" w:color="auto" w:sz="4" w:space="0"/>
              <w:bottom w:val="single" w:color="auto" w:sz="4" w:space="0"/>
              <w:right w:val="single" w:color="auto" w:sz="4" w:space="0"/>
            </w:tcBorders>
            <w:vAlign w:val="center"/>
          </w:tcPr>
          <w:p w14:paraId="4E97E08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主管部门发布的数据□</w:t>
            </w:r>
          </w:p>
        </w:tc>
        <w:tc>
          <w:tcPr>
            <w:tcW w:w="3128" w:type="dxa"/>
            <w:gridSpan w:val="2"/>
            <w:tcBorders>
              <w:top w:val="single" w:color="auto" w:sz="4" w:space="0"/>
              <w:left w:val="single" w:color="auto" w:sz="4" w:space="0"/>
              <w:bottom w:val="single" w:color="auto" w:sz="4" w:space="0"/>
              <w:right w:val="single" w:color="auto" w:sz="4" w:space="0"/>
            </w:tcBorders>
            <w:vAlign w:val="center"/>
          </w:tcPr>
          <w:p w14:paraId="7D54633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现状补充监测</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2"/>
                <w:sz w:val="21"/>
                <w:szCs w:val="21"/>
                <w:highlight w:val="none"/>
              </w:rPr>
              <w:instrText xml:space="preserve">√</w:instrText>
            </w:r>
            <w:r>
              <w:rPr>
                <w:rFonts w:hint="default" w:ascii="Times New Roman" w:hAnsi="Times New Roman" w:eastAsia="宋体" w:cs="Times New Roman"/>
                <w:color w:val="auto"/>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p>
        </w:tc>
      </w:tr>
      <w:tr w14:paraId="4ED1AE1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218" w:type="dxa"/>
            <w:vMerge w:val="continue"/>
            <w:tcBorders>
              <w:top w:val="single" w:color="auto" w:sz="4" w:space="0"/>
              <w:left w:val="single" w:color="auto" w:sz="4" w:space="0"/>
              <w:bottom w:val="single" w:color="auto" w:sz="4" w:space="0"/>
              <w:right w:val="single" w:color="auto" w:sz="4" w:space="0"/>
            </w:tcBorders>
            <w:vAlign w:val="center"/>
          </w:tcPr>
          <w:p w14:paraId="2CD87DB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2151" w:type="dxa"/>
            <w:tcBorders>
              <w:top w:val="single" w:color="auto" w:sz="4" w:space="0"/>
              <w:left w:val="single" w:color="auto" w:sz="4" w:space="0"/>
              <w:bottom w:val="single" w:color="auto" w:sz="4" w:space="0"/>
              <w:right w:val="single" w:color="auto" w:sz="4" w:space="0"/>
            </w:tcBorders>
            <w:vAlign w:val="center"/>
          </w:tcPr>
          <w:p w14:paraId="4B5227E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5846" w:type="dxa"/>
            <w:gridSpan w:val="5"/>
            <w:tcBorders>
              <w:top w:val="single" w:color="auto" w:sz="4" w:space="0"/>
              <w:left w:val="single" w:color="auto" w:sz="4" w:space="0"/>
              <w:bottom w:val="single" w:color="auto" w:sz="4" w:space="0"/>
              <w:right w:val="single" w:color="auto" w:sz="4" w:space="0"/>
            </w:tcBorders>
            <w:vAlign w:val="center"/>
          </w:tcPr>
          <w:p w14:paraId="36E60B5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达标区</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sz w:val="21"/>
                <w:szCs w:val="21"/>
                <w:highlight w:val="none"/>
                <w:lang w:eastAsia="zh-CN"/>
              </w:rPr>
              <w:instrText xml:space="preserve">,</w:instrText>
            </w:r>
            <w:r>
              <w:rPr>
                <w:rFonts w:hint="default" w:ascii="Times New Roman" w:hAnsi="Times New Roman" w:eastAsia="宋体" w:cs="Times New Roman"/>
                <w:color w:val="auto"/>
                <w:position w:val="2"/>
                <w:sz w:val="21"/>
                <w:szCs w:val="21"/>
                <w:highlight w:val="none"/>
                <w:lang w:eastAsia="zh-CN"/>
              </w:rPr>
              <w:instrText xml:space="preserve">√</w:instrText>
            </w:r>
            <w:r>
              <w:rPr>
                <w:rFonts w:hint="default" w:ascii="Times New Roman" w:hAnsi="Times New Roman" w:eastAsia="宋体" w:cs="Times New Roman"/>
                <w:color w:val="auto"/>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p>
        </w:tc>
        <w:tc>
          <w:tcPr>
            <w:tcW w:w="5174" w:type="dxa"/>
            <w:gridSpan w:val="3"/>
            <w:tcBorders>
              <w:top w:val="single" w:color="auto" w:sz="4" w:space="0"/>
              <w:left w:val="single" w:color="auto" w:sz="4" w:space="0"/>
              <w:bottom w:val="single" w:color="auto" w:sz="4" w:space="0"/>
              <w:right w:val="single" w:color="auto" w:sz="4" w:space="0"/>
            </w:tcBorders>
            <w:vAlign w:val="center"/>
          </w:tcPr>
          <w:p w14:paraId="0C27617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不达标区□</w:t>
            </w:r>
          </w:p>
        </w:tc>
      </w:tr>
      <w:tr w14:paraId="75BADB1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218" w:type="dxa"/>
            <w:tcBorders>
              <w:top w:val="single" w:color="auto" w:sz="4" w:space="0"/>
              <w:left w:val="single" w:color="auto" w:sz="4" w:space="0"/>
              <w:bottom w:val="single" w:color="auto" w:sz="4" w:space="0"/>
              <w:right w:val="single" w:color="auto" w:sz="4" w:space="0"/>
            </w:tcBorders>
            <w:vAlign w:val="center"/>
          </w:tcPr>
          <w:p w14:paraId="6061B25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污染源调查</w:t>
            </w:r>
          </w:p>
        </w:tc>
        <w:tc>
          <w:tcPr>
            <w:tcW w:w="2151" w:type="dxa"/>
            <w:tcBorders>
              <w:top w:val="single" w:color="auto" w:sz="4" w:space="0"/>
              <w:left w:val="single" w:color="auto" w:sz="4" w:space="0"/>
              <w:bottom w:val="single" w:color="auto" w:sz="4" w:space="0"/>
              <w:right w:val="single" w:color="auto" w:sz="4" w:space="0"/>
            </w:tcBorders>
            <w:vAlign w:val="center"/>
          </w:tcPr>
          <w:p w14:paraId="727B371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调查内容</w:t>
            </w:r>
          </w:p>
        </w:tc>
        <w:tc>
          <w:tcPr>
            <w:tcW w:w="3437" w:type="dxa"/>
            <w:gridSpan w:val="3"/>
            <w:tcBorders>
              <w:top w:val="single" w:color="auto" w:sz="4" w:space="0"/>
              <w:left w:val="single" w:color="auto" w:sz="4" w:space="0"/>
              <w:bottom w:val="single" w:color="auto" w:sz="4" w:space="0"/>
              <w:right w:val="single" w:color="auto" w:sz="4" w:space="0"/>
            </w:tcBorders>
            <w:vAlign w:val="center"/>
          </w:tcPr>
          <w:p w14:paraId="0080918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本项目正常排放源</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2"/>
                <w:sz w:val="21"/>
                <w:szCs w:val="21"/>
                <w:highlight w:val="none"/>
              </w:rPr>
              <w:instrText xml:space="preserve">√</w:instrText>
            </w:r>
            <w:r>
              <w:rPr>
                <w:rFonts w:hint="default" w:ascii="Times New Roman" w:hAnsi="Times New Roman" w:eastAsia="宋体" w:cs="Times New Roman"/>
                <w:color w:val="auto"/>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p>
          <w:p w14:paraId="558296A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本项目非正常排放源□</w:t>
            </w:r>
          </w:p>
          <w:p w14:paraId="35AF06B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原批复污染源□</w:t>
            </w:r>
          </w:p>
        </w:tc>
        <w:tc>
          <w:tcPr>
            <w:tcW w:w="2409" w:type="dxa"/>
            <w:gridSpan w:val="2"/>
            <w:tcBorders>
              <w:top w:val="single" w:color="auto" w:sz="4" w:space="0"/>
              <w:left w:val="single" w:color="auto" w:sz="4" w:space="0"/>
              <w:bottom w:val="single" w:color="auto" w:sz="4" w:space="0"/>
              <w:right w:val="single" w:color="auto" w:sz="4" w:space="0"/>
            </w:tcBorders>
            <w:vAlign w:val="center"/>
          </w:tcPr>
          <w:p w14:paraId="022F15B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拟替代的污染源□</w:t>
            </w:r>
          </w:p>
        </w:tc>
        <w:tc>
          <w:tcPr>
            <w:tcW w:w="2046" w:type="dxa"/>
            <w:tcBorders>
              <w:top w:val="single" w:color="auto" w:sz="4" w:space="0"/>
              <w:left w:val="single" w:color="auto" w:sz="4" w:space="0"/>
              <w:bottom w:val="single" w:color="auto" w:sz="4" w:space="0"/>
              <w:right w:val="single" w:color="auto" w:sz="4" w:space="0"/>
            </w:tcBorders>
            <w:vAlign w:val="center"/>
          </w:tcPr>
          <w:p w14:paraId="008F500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其他在建、拟建项目污染源□</w:t>
            </w:r>
          </w:p>
        </w:tc>
        <w:tc>
          <w:tcPr>
            <w:tcW w:w="3128" w:type="dxa"/>
            <w:gridSpan w:val="2"/>
            <w:tcBorders>
              <w:top w:val="single" w:color="auto" w:sz="4" w:space="0"/>
              <w:left w:val="single" w:color="auto" w:sz="4" w:space="0"/>
              <w:bottom w:val="single" w:color="auto" w:sz="4" w:space="0"/>
              <w:right w:val="single" w:color="auto" w:sz="4" w:space="0"/>
            </w:tcBorders>
            <w:vAlign w:val="center"/>
          </w:tcPr>
          <w:p w14:paraId="2FCC635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区域污染源□</w:t>
            </w:r>
          </w:p>
        </w:tc>
      </w:tr>
      <w:tr w14:paraId="6E2E4DE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218" w:type="dxa"/>
            <w:vMerge w:val="restart"/>
            <w:tcBorders>
              <w:top w:val="single" w:color="auto" w:sz="4" w:space="0"/>
              <w:left w:val="single" w:color="auto" w:sz="4" w:space="0"/>
              <w:bottom w:val="single" w:color="auto" w:sz="4" w:space="0"/>
              <w:right w:val="single" w:color="auto" w:sz="4" w:space="0"/>
            </w:tcBorders>
            <w:vAlign w:val="center"/>
          </w:tcPr>
          <w:p w14:paraId="2F69CFB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大气环境影响预测与评价</w:t>
            </w:r>
          </w:p>
        </w:tc>
        <w:tc>
          <w:tcPr>
            <w:tcW w:w="2151" w:type="dxa"/>
            <w:tcBorders>
              <w:top w:val="single" w:color="auto" w:sz="4" w:space="0"/>
              <w:left w:val="single" w:color="auto" w:sz="4" w:space="0"/>
              <w:bottom w:val="single" w:color="auto" w:sz="4" w:space="0"/>
              <w:right w:val="single" w:color="auto" w:sz="4" w:space="0"/>
            </w:tcBorders>
            <w:vAlign w:val="center"/>
          </w:tcPr>
          <w:p w14:paraId="223A3CC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预测模型</w:t>
            </w:r>
          </w:p>
        </w:tc>
        <w:tc>
          <w:tcPr>
            <w:tcW w:w="1302" w:type="dxa"/>
            <w:tcBorders>
              <w:top w:val="single" w:color="auto" w:sz="4" w:space="0"/>
              <w:left w:val="single" w:color="auto" w:sz="4" w:space="0"/>
              <w:bottom w:val="single" w:color="auto" w:sz="4" w:space="0"/>
              <w:right w:val="single" w:color="auto" w:sz="4" w:space="0"/>
            </w:tcBorders>
            <w:vAlign w:val="center"/>
          </w:tcPr>
          <w:p w14:paraId="5887405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AERMOD</w:t>
            </w:r>
          </w:p>
          <w:p w14:paraId="7C9CF57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05" w:type="dxa"/>
            <w:tcBorders>
              <w:top w:val="single" w:color="auto" w:sz="4" w:space="0"/>
              <w:left w:val="single" w:color="auto" w:sz="4" w:space="0"/>
              <w:bottom w:val="single" w:color="auto" w:sz="4" w:space="0"/>
              <w:right w:val="single" w:color="auto" w:sz="4" w:space="0"/>
            </w:tcBorders>
            <w:vAlign w:val="center"/>
          </w:tcPr>
          <w:p w14:paraId="2EDBF23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ADMS</w:t>
            </w:r>
          </w:p>
          <w:p w14:paraId="1CFBE11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744" w:type="dxa"/>
            <w:gridSpan w:val="2"/>
            <w:tcBorders>
              <w:top w:val="single" w:color="auto" w:sz="4" w:space="0"/>
              <w:left w:val="single" w:color="auto" w:sz="4" w:space="0"/>
              <w:bottom w:val="single" w:color="auto" w:sz="4" w:space="0"/>
              <w:right w:val="single" w:color="auto" w:sz="4" w:space="0"/>
            </w:tcBorders>
            <w:vAlign w:val="center"/>
          </w:tcPr>
          <w:p w14:paraId="0814366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AUSTAL2000</w:t>
            </w:r>
          </w:p>
          <w:p w14:paraId="427A6AB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695" w:type="dxa"/>
            <w:tcBorders>
              <w:top w:val="single" w:color="auto" w:sz="4" w:space="0"/>
              <w:left w:val="single" w:color="auto" w:sz="4" w:space="0"/>
              <w:bottom w:val="single" w:color="auto" w:sz="4" w:space="0"/>
              <w:right w:val="single" w:color="auto" w:sz="4" w:space="0"/>
            </w:tcBorders>
            <w:vAlign w:val="center"/>
          </w:tcPr>
          <w:p w14:paraId="74CA8C1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EDMS/AEDT</w:t>
            </w:r>
          </w:p>
          <w:p w14:paraId="684292B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046" w:type="dxa"/>
            <w:tcBorders>
              <w:top w:val="single" w:color="auto" w:sz="4" w:space="0"/>
              <w:left w:val="single" w:color="auto" w:sz="4" w:space="0"/>
              <w:bottom w:val="single" w:color="auto" w:sz="4" w:space="0"/>
              <w:right w:val="single" w:color="auto" w:sz="4" w:space="0"/>
            </w:tcBorders>
            <w:vAlign w:val="center"/>
          </w:tcPr>
          <w:p w14:paraId="372AA6C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CALPUFF</w:t>
            </w:r>
          </w:p>
          <w:p w14:paraId="127A8BD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252" w:type="dxa"/>
            <w:tcBorders>
              <w:top w:val="single" w:color="auto" w:sz="4" w:space="0"/>
              <w:left w:val="single" w:color="auto" w:sz="4" w:space="0"/>
              <w:bottom w:val="single" w:color="auto" w:sz="4" w:space="0"/>
              <w:right w:val="single" w:color="auto" w:sz="4" w:space="0"/>
            </w:tcBorders>
            <w:vAlign w:val="center"/>
          </w:tcPr>
          <w:p w14:paraId="7C8C9DF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网格模型</w:t>
            </w:r>
          </w:p>
          <w:p w14:paraId="2E42B7F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876" w:type="dxa"/>
            <w:tcBorders>
              <w:top w:val="single" w:color="auto" w:sz="4" w:space="0"/>
              <w:left w:val="single" w:color="auto" w:sz="4" w:space="0"/>
              <w:bottom w:val="single" w:color="auto" w:sz="4" w:space="0"/>
              <w:right w:val="single" w:color="auto" w:sz="4" w:space="0"/>
            </w:tcBorders>
            <w:vAlign w:val="center"/>
          </w:tcPr>
          <w:p w14:paraId="62E0537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w:t>
            </w:r>
          </w:p>
          <w:p w14:paraId="5A250D5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0CCF83B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218" w:type="dxa"/>
            <w:vMerge w:val="continue"/>
            <w:tcBorders>
              <w:top w:val="single" w:color="auto" w:sz="4" w:space="0"/>
              <w:left w:val="single" w:color="auto" w:sz="4" w:space="0"/>
              <w:bottom w:val="single" w:color="auto" w:sz="4" w:space="0"/>
              <w:right w:val="single" w:color="auto" w:sz="4" w:space="0"/>
            </w:tcBorders>
            <w:vAlign w:val="center"/>
          </w:tcPr>
          <w:p w14:paraId="3699A41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2151" w:type="dxa"/>
            <w:tcBorders>
              <w:top w:val="single" w:color="auto" w:sz="4" w:space="0"/>
              <w:left w:val="single" w:color="auto" w:sz="4" w:space="0"/>
              <w:bottom w:val="single" w:color="auto" w:sz="4" w:space="0"/>
              <w:right w:val="single" w:color="auto" w:sz="4" w:space="0"/>
            </w:tcBorders>
            <w:vAlign w:val="center"/>
          </w:tcPr>
          <w:p w14:paraId="0073308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预测范围</w:t>
            </w:r>
          </w:p>
        </w:tc>
        <w:tc>
          <w:tcPr>
            <w:tcW w:w="4151" w:type="dxa"/>
            <w:gridSpan w:val="4"/>
            <w:tcBorders>
              <w:top w:val="single" w:color="auto" w:sz="4" w:space="0"/>
              <w:left w:val="single" w:color="auto" w:sz="4" w:space="0"/>
              <w:bottom w:val="single" w:color="auto" w:sz="4" w:space="0"/>
              <w:right w:val="single" w:color="auto" w:sz="4" w:space="0"/>
            </w:tcBorders>
            <w:vAlign w:val="center"/>
          </w:tcPr>
          <w:p w14:paraId="02C22C9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边长≥50km□</w:t>
            </w:r>
          </w:p>
        </w:tc>
        <w:tc>
          <w:tcPr>
            <w:tcW w:w="3741" w:type="dxa"/>
            <w:gridSpan w:val="2"/>
            <w:tcBorders>
              <w:top w:val="single" w:color="auto" w:sz="4" w:space="0"/>
              <w:left w:val="single" w:color="auto" w:sz="4" w:space="0"/>
              <w:bottom w:val="single" w:color="auto" w:sz="4" w:space="0"/>
              <w:right w:val="single" w:color="auto" w:sz="4" w:space="0"/>
            </w:tcBorders>
            <w:vAlign w:val="center"/>
          </w:tcPr>
          <w:p w14:paraId="690DC60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边长5</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50km□</w:t>
            </w:r>
          </w:p>
        </w:tc>
        <w:tc>
          <w:tcPr>
            <w:tcW w:w="3128" w:type="dxa"/>
            <w:gridSpan w:val="2"/>
            <w:tcBorders>
              <w:top w:val="single" w:color="auto" w:sz="4" w:space="0"/>
              <w:left w:val="single" w:color="auto" w:sz="4" w:space="0"/>
              <w:bottom w:val="single" w:color="auto" w:sz="4" w:space="0"/>
              <w:right w:val="single" w:color="auto" w:sz="4" w:space="0"/>
            </w:tcBorders>
            <w:vAlign w:val="center"/>
          </w:tcPr>
          <w:p w14:paraId="1BDC4B6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边长=5km</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2"/>
                <w:sz w:val="21"/>
                <w:szCs w:val="21"/>
                <w:highlight w:val="none"/>
              </w:rPr>
              <w:instrText xml:space="preserve">√</w:instrText>
            </w:r>
            <w:r>
              <w:rPr>
                <w:rFonts w:hint="default" w:ascii="Times New Roman" w:hAnsi="Times New Roman" w:eastAsia="宋体" w:cs="Times New Roman"/>
                <w:color w:val="auto"/>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p>
        </w:tc>
      </w:tr>
      <w:tr w14:paraId="0EEF224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218" w:type="dxa"/>
            <w:vMerge w:val="continue"/>
            <w:tcBorders>
              <w:top w:val="single" w:color="auto" w:sz="4" w:space="0"/>
              <w:left w:val="single" w:color="auto" w:sz="4" w:space="0"/>
              <w:bottom w:val="single" w:color="auto" w:sz="4" w:space="0"/>
              <w:right w:val="single" w:color="auto" w:sz="4" w:space="0"/>
            </w:tcBorders>
            <w:vAlign w:val="center"/>
          </w:tcPr>
          <w:p w14:paraId="75988E6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2151" w:type="dxa"/>
            <w:tcBorders>
              <w:top w:val="single" w:color="auto" w:sz="4" w:space="0"/>
              <w:left w:val="single" w:color="auto" w:sz="4" w:space="0"/>
              <w:bottom w:val="single" w:color="auto" w:sz="4" w:space="0"/>
              <w:right w:val="single" w:color="auto" w:sz="4" w:space="0"/>
            </w:tcBorders>
            <w:vAlign w:val="center"/>
          </w:tcPr>
          <w:p w14:paraId="1CC7E7A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预测因子</w:t>
            </w:r>
          </w:p>
        </w:tc>
        <w:tc>
          <w:tcPr>
            <w:tcW w:w="5846" w:type="dxa"/>
            <w:gridSpan w:val="5"/>
            <w:tcBorders>
              <w:top w:val="single" w:color="auto" w:sz="4" w:space="0"/>
              <w:left w:val="single" w:color="auto" w:sz="4" w:space="0"/>
              <w:bottom w:val="single" w:color="auto" w:sz="4" w:space="0"/>
              <w:right w:val="single" w:color="auto" w:sz="4" w:space="0"/>
            </w:tcBorders>
            <w:vAlign w:val="center"/>
          </w:tcPr>
          <w:p w14:paraId="500D8D5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预测因子（氨、硫化氢、颗粒物）</w:t>
            </w:r>
          </w:p>
        </w:tc>
        <w:tc>
          <w:tcPr>
            <w:tcW w:w="5174" w:type="dxa"/>
            <w:gridSpan w:val="3"/>
            <w:tcBorders>
              <w:top w:val="single" w:color="auto" w:sz="4" w:space="0"/>
              <w:left w:val="single" w:color="auto" w:sz="4" w:space="0"/>
              <w:bottom w:val="single" w:color="auto" w:sz="4" w:space="0"/>
              <w:right w:val="single" w:color="auto" w:sz="4" w:space="0"/>
            </w:tcBorders>
            <w:vAlign w:val="center"/>
          </w:tcPr>
          <w:p w14:paraId="4A2F1F2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包括二次PM</w:t>
            </w:r>
            <w:r>
              <w:rPr>
                <w:rFonts w:hint="default" w:ascii="Times New Roman" w:hAnsi="Times New Roman" w:eastAsia="宋体" w:cs="Times New Roman"/>
                <w:color w:val="auto"/>
                <w:sz w:val="21"/>
                <w:szCs w:val="21"/>
                <w:highlight w:val="none"/>
                <w:vertAlign w:val="subscript"/>
              </w:rPr>
              <w:t>2.5</w:t>
            </w:r>
            <w:r>
              <w:rPr>
                <w:rFonts w:hint="default" w:ascii="Times New Roman" w:hAnsi="Times New Roman" w:eastAsia="宋体" w:cs="Times New Roman"/>
                <w:color w:val="auto"/>
                <w:sz w:val="21"/>
                <w:szCs w:val="21"/>
                <w:highlight w:val="none"/>
              </w:rPr>
              <w:t>□</w:t>
            </w:r>
          </w:p>
          <w:p w14:paraId="0ABCDCC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不包括二次PM</w:t>
            </w:r>
            <w:r>
              <w:rPr>
                <w:rFonts w:hint="default" w:ascii="Times New Roman" w:hAnsi="Times New Roman" w:eastAsia="宋体" w:cs="Times New Roman"/>
                <w:color w:val="auto"/>
                <w:sz w:val="21"/>
                <w:szCs w:val="21"/>
                <w:highlight w:val="none"/>
                <w:vertAlign w:val="subscript"/>
              </w:rPr>
              <w:t>2.5</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2"/>
                <w:sz w:val="21"/>
                <w:szCs w:val="21"/>
                <w:highlight w:val="none"/>
              </w:rPr>
              <w:instrText xml:space="preserve">√</w:instrText>
            </w:r>
            <w:r>
              <w:rPr>
                <w:rFonts w:hint="default" w:ascii="Times New Roman" w:hAnsi="Times New Roman" w:eastAsia="宋体" w:cs="Times New Roman"/>
                <w:color w:val="auto"/>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p>
        </w:tc>
      </w:tr>
      <w:tr w14:paraId="5145513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218" w:type="dxa"/>
            <w:vMerge w:val="continue"/>
            <w:tcBorders>
              <w:top w:val="single" w:color="auto" w:sz="4" w:space="0"/>
              <w:left w:val="single" w:color="auto" w:sz="4" w:space="0"/>
              <w:bottom w:val="single" w:color="auto" w:sz="4" w:space="0"/>
              <w:right w:val="single" w:color="auto" w:sz="4" w:space="0"/>
            </w:tcBorders>
            <w:vAlign w:val="center"/>
          </w:tcPr>
          <w:p w14:paraId="61E86FB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2151" w:type="dxa"/>
            <w:tcBorders>
              <w:top w:val="single" w:color="auto" w:sz="4" w:space="0"/>
              <w:left w:val="single" w:color="auto" w:sz="4" w:space="0"/>
              <w:bottom w:val="single" w:color="auto" w:sz="4" w:space="0"/>
              <w:right w:val="single" w:color="auto" w:sz="4" w:space="0"/>
            </w:tcBorders>
            <w:vAlign w:val="center"/>
          </w:tcPr>
          <w:p w14:paraId="107AB75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正常排放短期浓度贡献值</w:t>
            </w:r>
          </w:p>
        </w:tc>
        <w:tc>
          <w:tcPr>
            <w:tcW w:w="5846" w:type="dxa"/>
            <w:gridSpan w:val="5"/>
            <w:tcBorders>
              <w:top w:val="single" w:color="auto" w:sz="4" w:space="0"/>
              <w:left w:val="single" w:color="auto" w:sz="4" w:space="0"/>
              <w:bottom w:val="single" w:color="auto" w:sz="4" w:space="0"/>
              <w:right w:val="single" w:color="auto" w:sz="4" w:space="0"/>
            </w:tcBorders>
            <w:vAlign w:val="center"/>
          </w:tcPr>
          <w:p w14:paraId="18E1369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C本项目最大占标率≤100%□</w:t>
            </w:r>
          </w:p>
        </w:tc>
        <w:tc>
          <w:tcPr>
            <w:tcW w:w="5174" w:type="dxa"/>
            <w:gridSpan w:val="3"/>
            <w:tcBorders>
              <w:top w:val="single" w:color="auto" w:sz="4" w:space="0"/>
              <w:left w:val="single" w:color="auto" w:sz="4" w:space="0"/>
              <w:bottom w:val="single" w:color="auto" w:sz="4" w:space="0"/>
              <w:right w:val="single" w:color="auto" w:sz="4" w:space="0"/>
            </w:tcBorders>
            <w:vAlign w:val="center"/>
          </w:tcPr>
          <w:p w14:paraId="19D33B7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C本项目最大占标率</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100%□</w:t>
            </w:r>
          </w:p>
        </w:tc>
      </w:tr>
      <w:tr w14:paraId="56A600D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218" w:type="dxa"/>
            <w:vMerge w:val="continue"/>
            <w:tcBorders>
              <w:top w:val="single" w:color="auto" w:sz="4" w:space="0"/>
              <w:left w:val="single" w:color="auto" w:sz="4" w:space="0"/>
              <w:bottom w:val="single" w:color="auto" w:sz="4" w:space="0"/>
              <w:right w:val="single" w:color="auto" w:sz="4" w:space="0"/>
            </w:tcBorders>
            <w:vAlign w:val="center"/>
          </w:tcPr>
          <w:p w14:paraId="37FF761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2151" w:type="dxa"/>
            <w:vMerge w:val="restart"/>
            <w:tcBorders>
              <w:top w:val="single" w:color="auto" w:sz="4" w:space="0"/>
              <w:left w:val="single" w:color="auto" w:sz="4" w:space="0"/>
              <w:bottom w:val="single" w:color="auto" w:sz="4" w:space="0"/>
              <w:right w:val="single" w:color="auto" w:sz="4" w:space="0"/>
            </w:tcBorders>
            <w:vAlign w:val="center"/>
          </w:tcPr>
          <w:p w14:paraId="4F6B9CD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正常排放年均浓度贡献值</w:t>
            </w:r>
          </w:p>
        </w:tc>
        <w:tc>
          <w:tcPr>
            <w:tcW w:w="2407" w:type="dxa"/>
            <w:gridSpan w:val="2"/>
            <w:tcBorders>
              <w:top w:val="single" w:color="auto" w:sz="4" w:space="0"/>
              <w:left w:val="single" w:color="auto" w:sz="4" w:space="0"/>
              <w:bottom w:val="single" w:color="auto" w:sz="4" w:space="0"/>
              <w:right w:val="single" w:color="auto" w:sz="4" w:space="0"/>
            </w:tcBorders>
            <w:vAlign w:val="center"/>
          </w:tcPr>
          <w:p w14:paraId="4B509DF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一类区</w:t>
            </w:r>
          </w:p>
        </w:tc>
        <w:tc>
          <w:tcPr>
            <w:tcW w:w="3439" w:type="dxa"/>
            <w:gridSpan w:val="3"/>
            <w:tcBorders>
              <w:top w:val="single" w:color="auto" w:sz="4" w:space="0"/>
              <w:left w:val="single" w:color="auto" w:sz="4" w:space="0"/>
              <w:bottom w:val="single" w:color="auto" w:sz="4" w:space="0"/>
              <w:right w:val="single" w:color="auto" w:sz="4" w:space="0"/>
            </w:tcBorders>
            <w:vAlign w:val="center"/>
          </w:tcPr>
          <w:p w14:paraId="49A2627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w:t>
            </w:r>
            <w:r>
              <w:rPr>
                <w:rFonts w:hint="default" w:ascii="Times New Roman" w:hAnsi="Times New Roman" w:eastAsia="宋体" w:cs="Times New Roman"/>
                <w:color w:val="auto"/>
                <w:sz w:val="21"/>
                <w:szCs w:val="21"/>
                <w:highlight w:val="none"/>
                <w:vertAlign w:val="subscript"/>
              </w:rPr>
              <w:t>本项目</w:t>
            </w:r>
            <w:r>
              <w:rPr>
                <w:rFonts w:hint="default" w:ascii="Times New Roman" w:hAnsi="Times New Roman" w:eastAsia="宋体" w:cs="Times New Roman"/>
                <w:color w:val="auto"/>
                <w:sz w:val="21"/>
                <w:szCs w:val="21"/>
                <w:highlight w:val="none"/>
              </w:rPr>
              <w:t>最大占标率≤10%□</w:t>
            </w:r>
          </w:p>
        </w:tc>
        <w:tc>
          <w:tcPr>
            <w:tcW w:w="5174" w:type="dxa"/>
            <w:gridSpan w:val="3"/>
            <w:tcBorders>
              <w:top w:val="single" w:color="auto" w:sz="4" w:space="0"/>
              <w:left w:val="single" w:color="auto" w:sz="4" w:space="0"/>
              <w:bottom w:val="single" w:color="auto" w:sz="4" w:space="0"/>
              <w:right w:val="single" w:color="auto" w:sz="4" w:space="0"/>
            </w:tcBorders>
            <w:vAlign w:val="center"/>
          </w:tcPr>
          <w:p w14:paraId="3E26E09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w:t>
            </w:r>
            <w:r>
              <w:rPr>
                <w:rFonts w:hint="default" w:ascii="Times New Roman" w:hAnsi="Times New Roman" w:eastAsia="宋体" w:cs="Times New Roman"/>
                <w:color w:val="auto"/>
                <w:sz w:val="21"/>
                <w:szCs w:val="21"/>
                <w:highlight w:val="none"/>
                <w:vertAlign w:val="subscript"/>
              </w:rPr>
              <w:t>本项目</w:t>
            </w:r>
            <w:r>
              <w:rPr>
                <w:rFonts w:hint="default" w:ascii="Times New Roman" w:hAnsi="Times New Roman" w:eastAsia="宋体" w:cs="Times New Roman"/>
                <w:color w:val="auto"/>
                <w:sz w:val="21"/>
                <w:szCs w:val="21"/>
                <w:highlight w:val="none"/>
              </w:rPr>
              <w:t>最大占标率</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10%□</w:t>
            </w:r>
          </w:p>
        </w:tc>
      </w:tr>
      <w:tr w14:paraId="2FEF91F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218" w:type="dxa"/>
            <w:vMerge w:val="continue"/>
            <w:tcBorders>
              <w:top w:val="single" w:color="auto" w:sz="4" w:space="0"/>
              <w:left w:val="single" w:color="auto" w:sz="4" w:space="0"/>
              <w:bottom w:val="single" w:color="auto" w:sz="4" w:space="0"/>
              <w:right w:val="single" w:color="auto" w:sz="4" w:space="0"/>
            </w:tcBorders>
            <w:vAlign w:val="center"/>
          </w:tcPr>
          <w:p w14:paraId="7914B11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2151" w:type="dxa"/>
            <w:vMerge w:val="continue"/>
            <w:tcBorders>
              <w:top w:val="single" w:color="auto" w:sz="4" w:space="0"/>
              <w:left w:val="single" w:color="auto" w:sz="4" w:space="0"/>
              <w:bottom w:val="single" w:color="auto" w:sz="4" w:space="0"/>
              <w:right w:val="single" w:color="auto" w:sz="4" w:space="0"/>
            </w:tcBorders>
            <w:vAlign w:val="center"/>
          </w:tcPr>
          <w:p w14:paraId="1CC723D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2407" w:type="dxa"/>
            <w:gridSpan w:val="2"/>
            <w:tcBorders>
              <w:top w:val="single" w:color="auto" w:sz="4" w:space="0"/>
              <w:left w:val="single" w:color="auto" w:sz="4" w:space="0"/>
              <w:bottom w:val="single" w:color="auto" w:sz="4" w:space="0"/>
              <w:right w:val="single" w:color="auto" w:sz="4" w:space="0"/>
            </w:tcBorders>
            <w:vAlign w:val="center"/>
          </w:tcPr>
          <w:p w14:paraId="08688E6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二类区</w:t>
            </w:r>
          </w:p>
        </w:tc>
        <w:tc>
          <w:tcPr>
            <w:tcW w:w="3439" w:type="dxa"/>
            <w:gridSpan w:val="3"/>
            <w:tcBorders>
              <w:top w:val="single" w:color="auto" w:sz="4" w:space="0"/>
              <w:left w:val="single" w:color="auto" w:sz="4" w:space="0"/>
              <w:bottom w:val="single" w:color="auto" w:sz="4" w:space="0"/>
              <w:right w:val="single" w:color="auto" w:sz="4" w:space="0"/>
            </w:tcBorders>
            <w:vAlign w:val="center"/>
          </w:tcPr>
          <w:p w14:paraId="3AFF9F2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w:t>
            </w:r>
            <w:r>
              <w:rPr>
                <w:rFonts w:hint="default" w:ascii="Times New Roman" w:hAnsi="Times New Roman" w:eastAsia="宋体" w:cs="Times New Roman"/>
                <w:color w:val="auto"/>
                <w:sz w:val="21"/>
                <w:szCs w:val="21"/>
                <w:highlight w:val="none"/>
                <w:vertAlign w:val="subscript"/>
              </w:rPr>
              <w:t>本项目</w:t>
            </w:r>
            <w:r>
              <w:rPr>
                <w:rFonts w:hint="default" w:ascii="Times New Roman" w:hAnsi="Times New Roman" w:eastAsia="宋体" w:cs="Times New Roman"/>
                <w:color w:val="auto"/>
                <w:sz w:val="21"/>
                <w:szCs w:val="21"/>
                <w:highlight w:val="none"/>
              </w:rPr>
              <w:t>最大占标率≤30%□</w:t>
            </w:r>
          </w:p>
        </w:tc>
        <w:tc>
          <w:tcPr>
            <w:tcW w:w="5174" w:type="dxa"/>
            <w:gridSpan w:val="3"/>
            <w:tcBorders>
              <w:top w:val="single" w:color="auto" w:sz="4" w:space="0"/>
              <w:left w:val="single" w:color="auto" w:sz="4" w:space="0"/>
              <w:bottom w:val="single" w:color="auto" w:sz="4" w:space="0"/>
              <w:right w:val="single" w:color="auto" w:sz="4" w:space="0"/>
            </w:tcBorders>
            <w:vAlign w:val="center"/>
          </w:tcPr>
          <w:p w14:paraId="4D42A32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w:t>
            </w:r>
            <w:r>
              <w:rPr>
                <w:rFonts w:hint="default" w:ascii="Times New Roman" w:hAnsi="Times New Roman" w:eastAsia="宋体" w:cs="Times New Roman"/>
                <w:color w:val="auto"/>
                <w:sz w:val="21"/>
                <w:szCs w:val="21"/>
                <w:highlight w:val="none"/>
                <w:vertAlign w:val="subscript"/>
              </w:rPr>
              <w:t>本项目</w:t>
            </w:r>
            <w:r>
              <w:rPr>
                <w:rFonts w:hint="default" w:ascii="Times New Roman" w:hAnsi="Times New Roman" w:eastAsia="宋体" w:cs="Times New Roman"/>
                <w:color w:val="auto"/>
                <w:sz w:val="21"/>
                <w:szCs w:val="21"/>
                <w:highlight w:val="none"/>
              </w:rPr>
              <w:t>最大占标率</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30%□</w:t>
            </w:r>
          </w:p>
        </w:tc>
      </w:tr>
      <w:tr w14:paraId="60F8CDC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218" w:type="dxa"/>
            <w:vMerge w:val="continue"/>
            <w:tcBorders>
              <w:top w:val="single" w:color="auto" w:sz="4" w:space="0"/>
              <w:left w:val="single" w:color="auto" w:sz="4" w:space="0"/>
              <w:bottom w:val="single" w:color="auto" w:sz="4" w:space="0"/>
              <w:right w:val="single" w:color="auto" w:sz="4" w:space="0"/>
            </w:tcBorders>
            <w:vAlign w:val="center"/>
          </w:tcPr>
          <w:p w14:paraId="71F4BD9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2151" w:type="dxa"/>
            <w:tcBorders>
              <w:top w:val="single" w:color="auto" w:sz="4" w:space="0"/>
              <w:left w:val="single" w:color="auto" w:sz="4" w:space="0"/>
              <w:bottom w:val="single" w:color="auto" w:sz="4" w:space="0"/>
              <w:right w:val="single" w:color="auto" w:sz="4" w:space="0"/>
            </w:tcBorders>
            <w:vAlign w:val="center"/>
          </w:tcPr>
          <w:p w14:paraId="6B30DE1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非正常1h浓度贡献值</w:t>
            </w:r>
          </w:p>
        </w:tc>
        <w:tc>
          <w:tcPr>
            <w:tcW w:w="3437" w:type="dxa"/>
            <w:gridSpan w:val="3"/>
            <w:tcBorders>
              <w:top w:val="single" w:color="auto" w:sz="4" w:space="0"/>
              <w:left w:val="single" w:color="auto" w:sz="4" w:space="0"/>
              <w:bottom w:val="single" w:color="auto" w:sz="4" w:space="0"/>
              <w:right w:val="single" w:color="auto" w:sz="4" w:space="0"/>
            </w:tcBorders>
            <w:vAlign w:val="center"/>
          </w:tcPr>
          <w:p w14:paraId="126CED6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非正常持续时长（）h</w:t>
            </w:r>
          </w:p>
        </w:tc>
        <w:tc>
          <w:tcPr>
            <w:tcW w:w="4455" w:type="dxa"/>
            <w:gridSpan w:val="3"/>
            <w:tcBorders>
              <w:top w:val="single" w:color="auto" w:sz="4" w:space="0"/>
              <w:left w:val="single" w:color="auto" w:sz="4" w:space="0"/>
              <w:bottom w:val="single" w:color="auto" w:sz="4" w:space="0"/>
              <w:right w:val="single" w:color="auto" w:sz="4" w:space="0"/>
            </w:tcBorders>
            <w:vAlign w:val="center"/>
          </w:tcPr>
          <w:p w14:paraId="42D8C3B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w:t>
            </w:r>
            <w:r>
              <w:rPr>
                <w:rFonts w:hint="default" w:ascii="Times New Roman" w:hAnsi="Times New Roman" w:eastAsia="宋体" w:cs="Times New Roman"/>
                <w:color w:val="auto"/>
                <w:sz w:val="21"/>
                <w:szCs w:val="21"/>
                <w:highlight w:val="none"/>
                <w:vertAlign w:val="subscript"/>
              </w:rPr>
              <w:t>非正常</w:t>
            </w:r>
            <w:r>
              <w:rPr>
                <w:rFonts w:hint="default" w:ascii="Times New Roman" w:hAnsi="Times New Roman" w:eastAsia="宋体" w:cs="Times New Roman"/>
                <w:color w:val="auto"/>
                <w:sz w:val="21"/>
                <w:szCs w:val="21"/>
                <w:highlight w:val="none"/>
              </w:rPr>
              <w:t>占标率≤100%□</w:t>
            </w:r>
          </w:p>
        </w:tc>
        <w:tc>
          <w:tcPr>
            <w:tcW w:w="3128" w:type="dxa"/>
            <w:gridSpan w:val="2"/>
            <w:tcBorders>
              <w:top w:val="single" w:color="auto" w:sz="4" w:space="0"/>
              <w:left w:val="single" w:color="auto" w:sz="4" w:space="0"/>
              <w:bottom w:val="single" w:color="auto" w:sz="4" w:space="0"/>
              <w:right w:val="single" w:color="auto" w:sz="4" w:space="0"/>
            </w:tcBorders>
            <w:vAlign w:val="center"/>
          </w:tcPr>
          <w:p w14:paraId="7F7AF64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w:t>
            </w:r>
            <w:r>
              <w:rPr>
                <w:rFonts w:hint="default" w:ascii="Times New Roman" w:hAnsi="Times New Roman" w:eastAsia="宋体" w:cs="Times New Roman"/>
                <w:color w:val="auto"/>
                <w:sz w:val="21"/>
                <w:szCs w:val="21"/>
                <w:highlight w:val="none"/>
                <w:vertAlign w:val="subscript"/>
              </w:rPr>
              <w:t>非正常</w:t>
            </w:r>
            <w:r>
              <w:rPr>
                <w:rFonts w:hint="default" w:ascii="Times New Roman" w:hAnsi="Times New Roman" w:eastAsia="宋体" w:cs="Times New Roman"/>
                <w:color w:val="auto"/>
                <w:sz w:val="21"/>
                <w:szCs w:val="21"/>
                <w:highlight w:val="none"/>
              </w:rPr>
              <w:t>占标率</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100%□</w:t>
            </w:r>
          </w:p>
        </w:tc>
      </w:tr>
      <w:tr w14:paraId="6BE6F6A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218" w:type="dxa"/>
            <w:vMerge w:val="continue"/>
            <w:tcBorders>
              <w:top w:val="single" w:color="auto" w:sz="4" w:space="0"/>
              <w:left w:val="single" w:color="auto" w:sz="4" w:space="0"/>
              <w:bottom w:val="single" w:color="auto" w:sz="4" w:space="0"/>
              <w:right w:val="single" w:color="auto" w:sz="4" w:space="0"/>
            </w:tcBorders>
            <w:vAlign w:val="center"/>
          </w:tcPr>
          <w:p w14:paraId="7D518A6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2151" w:type="dxa"/>
            <w:tcBorders>
              <w:top w:val="single" w:color="auto" w:sz="4" w:space="0"/>
              <w:left w:val="single" w:color="auto" w:sz="4" w:space="0"/>
              <w:bottom w:val="single" w:color="auto" w:sz="4" w:space="0"/>
              <w:right w:val="single" w:color="auto" w:sz="4" w:space="0"/>
            </w:tcBorders>
            <w:vAlign w:val="center"/>
          </w:tcPr>
          <w:p w14:paraId="0367E8F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保证率日平均浓度和年平均浓度叠加值</w:t>
            </w:r>
          </w:p>
        </w:tc>
        <w:tc>
          <w:tcPr>
            <w:tcW w:w="5846" w:type="dxa"/>
            <w:gridSpan w:val="5"/>
            <w:tcBorders>
              <w:top w:val="single" w:color="auto" w:sz="4" w:space="0"/>
              <w:left w:val="single" w:color="auto" w:sz="4" w:space="0"/>
              <w:bottom w:val="single" w:color="auto" w:sz="4" w:space="0"/>
              <w:right w:val="single" w:color="auto" w:sz="4" w:space="0"/>
            </w:tcBorders>
            <w:vAlign w:val="center"/>
          </w:tcPr>
          <w:p w14:paraId="52FD753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w:t>
            </w:r>
            <w:r>
              <w:rPr>
                <w:rFonts w:hint="default" w:ascii="Times New Roman" w:hAnsi="Times New Roman" w:eastAsia="宋体" w:cs="Times New Roman"/>
                <w:color w:val="auto"/>
                <w:sz w:val="21"/>
                <w:szCs w:val="21"/>
                <w:highlight w:val="none"/>
                <w:vertAlign w:val="subscript"/>
              </w:rPr>
              <w:t>叠加</w:t>
            </w:r>
            <w:r>
              <w:rPr>
                <w:rFonts w:hint="default" w:ascii="Times New Roman" w:hAnsi="Times New Roman" w:eastAsia="宋体" w:cs="Times New Roman"/>
                <w:color w:val="auto"/>
                <w:sz w:val="21"/>
                <w:szCs w:val="21"/>
                <w:highlight w:val="none"/>
              </w:rPr>
              <w:t>达标□</w:t>
            </w:r>
          </w:p>
        </w:tc>
        <w:tc>
          <w:tcPr>
            <w:tcW w:w="5174" w:type="dxa"/>
            <w:gridSpan w:val="3"/>
            <w:tcBorders>
              <w:top w:val="single" w:color="auto" w:sz="4" w:space="0"/>
              <w:left w:val="single" w:color="auto" w:sz="4" w:space="0"/>
              <w:bottom w:val="single" w:color="auto" w:sz="4" w:space="0"/>
              <w:right w:val="single" w:color="auto" w:sz="4" w:space="0"/>
            </w:tcBorders>
            <w:vAlign w:val="center"/>
          </w:tcPr>
          <w:p w14:paraId="44081F2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w:t>
            </w:r>
            <w:r>
              <w:rPr>
                <w:rFonts w:hint="default" w:ascii="Times New Roman" w:hAnsi="Times New Roman" w:eastAsia="宋体" w:cs="Times New Roman"/>
                <w:color w:val="auto"/>
                <w:sz w:val="21"/>
                <w:szCs w:val="21"/>
                <w:highlight w:val="none"/>
                <w:vertAlign w:val="subscript"/>
              </w:rPr>
              <w:t>叠加</w:t>
            </w:r>
            <w:r>
              <w:rPr>
                <w:rFonts w:hint="default" w:ascii="Times New Roman" w:hAnsi="Times New Roman" w:eastAsia="宋体" w:cs="Times New Roman"/>
                <w:color w:val="auto"/>
                <w:sz w:val="21"/>
                <w:szCs w:val="21"/>
                <w:highlight w:val="none"/>
              </w:rPr>
              <w:t>不达标□</w:t>
            </w:r>
          </w:p>
        </w:tc>
      </w:tr>
      <w:tr w14:paraId="0B2576E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218" w:type="dxa"/>
            <w:vMerge w:val="continue"/>
            <w:tcBorders>
              <w:top w:val="single" w:color="auto" w:sz="4" w:space="0"/>
              <w:left w:val="single" w:color="auto" w:sz="4" w:space="0"/>
              <w:bottom w:val="single" w:color="auto" w:sz="4" w:space="0"/>
              <w:right w:val="single" w:color="auto" w:sz="4" w:space="0"/>
            </w:tcBorders>
            <w:vAlign w:val="center"/>
          </w:tcPr>
          <w:p w14:paraId="1DE042F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2151" w:type="dxa"/>
            <w:tcBorders>
              <w:top w:val="single" w:color="auto" w:sz="4" w:space="0"/>
              <w:left w:val="single" w:color="auto" w:sz="4" w:space="0"/>
              <w:bottom w:val="single" w:color="auto" w:sz="4" w:space="0"/>
              <w:right w:val="single" w:color="auto" w:sz="4" w:space="0"/>
            </w:tcBorders>
            <w:vAlign w:val="center"/>
          </w:tcPr>
          <w:p w14:paraId="1F79E76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区域环境质量的整体变化情况</w:t>
            </w:r>
          </w:p>
        </w:tc>
        <w:tc>
          <w:tcPr>
            <w:tcW w:w="5846" w:type="dxa"/>
            <w:gridSpan w:val="5"/>
            <w:tcBorders>
              <w:top w:val="single" w:color="auto" w:sz="4" w:space="0"/>
              <w:left w:val="single" w:color="auto" w:sz="4" w:space="0"/>
              <w:bottom w:val="single" w:color="auto" w:sz="4" w:space="0"/>
              <w:right w:val="single" w:color="auto" w:sz="4" w:space="0"/>
            </w:tcBorders>
            <w:vAlign w:val="center"/>
          </w:tcPr>
          <w:p w14:paraId="7B63C48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k≤-20%□</w:t>
            </w:r>
          </w:p>
        </w:tc>
        <w:tc>
          <w:tcPr>
            <w:tcW w:w="5174" w:type="dxa"/>
            <w:gridSpan w:val="3"/>
            <w:tcBorders>
              <w:top w:val="single" w:color="auto" w:sz="4" w:space="0"/>
              <w:left w:val="single" w:color="auto" w:sz="4" w:space="0"/>
              <w:bottom w:val="single" w:color="auto" w:sz="4" w:space="0"/>
              <w:right w:val="single" w:color="auto" w:sz="4" w:space="0"/>
            </w:tcBorders>
            <w:vAlign w:val="center"/>
          </w:tcPr>
          <w:p w14:paraId="545841C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k&gt;-20%□</w:t>
            </w:r>
          </w:p>
        </w:tc>
      </w:tr>
      <w:tr w14:paraId="4882151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218" w:type="dxa"/>
            <w:vMerge w:val="restart"/>
            <w:tcBorders>
              <w:top w:val="single" w:color="auto" w:sz="4" w:space="0"/>
              <w:left w:val="single" w:color="auto" w:sz="4" w:space="0"/>
              <w:bottom w:val="single" w:color="auto" w:sz="4" w:space="0"/>
              <w:right w:val="single" w:color="auto" w:sz="4" w:space="0"/>
            </w:tcBorders>
            <w:vAlign w:val="center"/>
          </w:tcPr>
          <w:p w14:paraId="5D79A23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环境监测计划</w:t>
            </w:r>
          </w:p>
        </w:tc>
        <w:tc>
          <w:tcPr>
            <w:tcW w:w="2151" w:type="dxa"/>
            <w:tcBorders>
              <w:top w:val="single" w:color="auto" w:sz="4" w:space="0"/>
              <w:left w:val="single" w:color="auto" w:sz="4" w:space="0"/>
              <w:bottom w:val="single" w:color="auto" w:sz="4" w:space="0"/>
              <w:right w:val="single" w:color="auto" w:sz="4" w:space="0"/>
            </w:tcBorders>
            <w:vAlign w:val="center"/>
          </w:tcPr>
          <w:p w14:paraId="6B7CD01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污染源监测</w:t>
            </w:r>
          </w:p>
        </w:tc>
        <w:tc>
          <w:tcPr>
            <w:tcW w:w="4151" w:type="dxa"/>
            <w:gridSpan w:val="4"/>
            <w:tcBorders>
              <w:top w:val="single" w:color="auto" w:sz="4" w:space="0"/>
              <w:left w:val="single" w:color="auto" w:sz="4" w:space="0"/>
              <w:bottom w:val="single" w:color="auto" w:sz="4" w:space="0"/>
              <w:right w:val="single" w:color="auto" w:sz="4" w:space="0"/>
            </w:tcBorders>
            <w:vAlign w:val="center"/>
          </w:tcPr>
          <w:p w14:paraId="796B81E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监测因子：（氨、硫化氢、臭气浓度、颗粒物）</w:t>
            </w:r>
          </w:p>
        </w:tc>
        <w:tc>
          <w:tcPr>
            <w:tcW w:w="3741" w:type="dxa"/>
            <w:gridSpan w:val="2"/>
            <w:tcBorders>
              <w:top w:val="single" w:color="auto" w:sz="4" w:space="0"/>
              <w:left w:val="single" w:color="auto" w:sz="4" w:space="0"/>
              <w:bottom w:val="single" w:color="auto" w:sz="4" w:space="0"/>
              <w:right w:val="single" w:color="auto" w:sz="4" w:space="0"/>
            </w:tcBorders>
            <w:vAlign w:val="center"/>
          </w:tcPr>
          <w:p w14:paraId="435DA53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有组织废气监测□</w:t>
            </w:r>
          </w:p>
          <w:p w14:paraId="228840A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无组织废气监测</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2"/>
                <w:sz w:val="21"/>
                <w:szCs w:val="21"/>
                <w:highlight w:val="none"/>
              </w:rPr>
              <w:instrText xml:space="preserve">√</w:instrText>
            </w:r>
            <w:r>
              <w:rPr>
                <w:rFonts w:hint="default" w:ascii="Times New Roman" w:hAnsi="Times New Roman" w:eastAsia="宋体" w:cs="Times New Roman"/>
                <w:color w:val="auto"/>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p>
        </w:tc>
        <w:tc>
          <w:tcPr>
            <w:tcW w:w="3128" w:type="dxa"/>
            <w:gridSpan w:val="2"/>
            <w:tcBorders>
              <w:top w:val="single" w:color="auto" w:sz="4" w:space="0"/>
              <w:left w:val="single" w:color="auto" w:sz="4" w:space="0"/>
              <w:bottom w:val="single" w:color="auto" w:sz="4" w:space="0"/>
              <w:right w:val="single" w:color="auto" w:sz="4" w:space="0"/>
            </w:tcBorders>
            <w:vAlign w:val="center"/>
          </w:tcPr>
          <w:p w14:paraId="3C9AFEF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无监测□</w:t>
            </w:r>
          </w:p>
        </w:tc>
      </w:tr>
      <w:tr w14:paraId="488B640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218" w:type="dxa"/>
            <w:vMerge w:val="continue"/>
            <w:tcBorders>
              <w:top w:val="single" w:color="auto" w:sz="4" w:space="0"/>
              <w:left w:val="single" w:color="auto" w:sz="4" w:space="0"/>
              <w:bottom w:val="single" w:color="auto" w:sz="4" w:space="0"/>
              <w:right w:val="single" w:color="auto" w:sz="4" w:space="0"/>
            </w:tcBorders>
            <w:vAlign w:val="center"/>
          </w:tcPr>
          <w:p w14:paraId="2CFEDB4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2151" w:type="dxa"/>
            <w:tcBorders>
              <w:top w:val="single" w:color="auto" w:sz="4" w:space="0"/>
              <w:left w:val="single" w:color="auto" w:sz="4" w:space="0"/>
              <w:bottom w:val="single" w:color="auto" w:sz="4" w:space="0"/>
              <w:right w:val="single" w:color="auto" w:sz="4" w:space="0"/>
            </w:tcBorders>
            <w:vAlign w:val="center"/>
          </w:tcPr>
          <w:p w14:paraId="428B40A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环境质量监测</w:t>
            </w:r>
          </w:p>
        </w:tc>
        <w:tc>
          <w:tcPr>
            <w:tcW w:w="4151" w:type="dxa"/>
            <w:gridSpan w:val="4"/>
            <w:tcBorders>
              <w:top w:val="single" w:color="auto" w:sz="4" w:space="0"/>
              <w:left w:val="single" w:color="auto" w:sz="4" w:space="0"/>
              <w:bottom w:val="single" w:color="auto" w:sz="4" w:space="0"/>
              <w:right w:val="single" w:color="auto" w:sz="4" w:space="0"/>
            </w:tcBorders>
            <w:vAlign w:val="center"/>
          </w:tcPr>
          <w:p w14:paraId="43A9153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监测因子：（）</w:t>
            </w:r>
          </w:p>
        </w:tc>
        <w:tc>
          <w:tcPr>
            <w:tcW w:w="3741" w:type="dxa"/>
            <w:gridSpan w:val="2"/>
            <w:tcBorders>
              <w:top w:val="single" w:color="auto" w:sz="4" w:space="0"/>
              <w:left w:val="single" w:color="auto" w:sz="4" w:space="0"/>
              <w:bottom w:val="single" w:color="auto" w:sz="4" w:space="0"/>
              <w:right w:val="single" w:color="auto" w:sz="4" w:space="0"/>
            </w:tcBorders>
            <w:vAlign w:val="center"/>
          </w:tcPr>
          <w:p w14:paraId="255E47B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监测点位数（）</w:t>
            </w:r>
          </w:p>
        </w:tc>
        <w:tc>
          <w:tcPr>
            <w:tcW w:w="3128" w:type="dxa"/>
            <w:gridSpan w:val="2"/>
            <w:tcBorders>
              <w:top w:val="single" w:color="auto" w:sz="4" w:space="0"/>
              <w:left w:val="single" w:color="auto" w:sz="4" w:space="0"/>
              <w:bottom w:val="single" w:color="auto" w:sz="4" w:space="0"/>
              <w:right w:val="single" w:color="auto" w:sz="4" w:space="0"/>
            </w:tcBorders>
            <w:vAlign w:val="center"/>
          </w:tcPr>
          <w:p w14:paraId="004C471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无监测□</w:t>
            </w:r>
          </w:p>
        </w:tc>
      </w:tr>
      <w:tr w14:paraId="5B813D2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218" w:type="dxa"/>
            <w:vMerge w:val="restart"/>
            <w:tcBorders>
              <w:top w:val="single" w:color="auto" w:sz="4" w:space="0"/>
              <w:left w:val="single" w:color="auto" w:sz="4" w:space="0"/>
              <w:bottom w:val="single" w:color="auto" w:sz="4" w:space="0"/>
              <w:right w:val="single" w:color="auto" w:sz="4" w:space="0"/>
            </w:tcBorders>
            <w:vAlign w:val="center"/>
          </w:tcPr>
          <w:p w14:paraId="7494304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评价结论</w:t>
            </w:r>
          </w:p>
        </w:tc>
        <w:tc>
          <w:tcPr>
            <w:tcW w:w="2151" w:type="dxa"/>
            <w:tcBorders>
              <w:top w:val="single" w:color="auto" w:sz="4" w:space="0"/>
              <w:left w:val="single" w:color="auto" w:sz="4" w:space="0"/>
              <w:bottom w:val="single" w:color="auto" w:sz="4" w:space="0"/>
              <w:right w:val="single" w:color="auto" w:sz="4" w:space="0"/>
            </w:tcBorders>
            <w:vAlign w:val="center"/>
          </w:tcPr>
          <w:p w14:paraId="55E226B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环境影响</w:t>
            </w:r>
          </w:p>
        </w:tc>
        <w:tc>
          <w:tcPr>
            <w:tcW w:w="11020" w:type="dxa"/>
            <w:gridSpan w:val="8"/>
            <w:tcBorders>
              <w:top w:val="single" w:color="auto" w:sz="4" w:space="0"/>
              <w:left w:val="single" w:color="auto" w:sz="4" w:space="0"/>
              <w:bottom w:val="single" w:color="auto" w:sz="4" w:space="0"/>
              <w:right w:val="single" w:color="auto" w:sz="4" w:space="0"/>
            </w:tcBorders>
            <w:vAlign w:val="center"/>
          </w:tcPr>
          <w:p w14:paraId="4BD9A9F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可以接受</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2"/>
                <w:sz w:val="21"/>
                <w:szCs w:val="21"/>
                <w:highlight w:val="none"/>
              </w:rPr>
              <w:instrText xml:space="preserve">√</w:instrText>
            </w:r>
            <w:r>
              <w:rPr>
                <w:rFonts w:hint="default" w:ascii="Times New Roman" w:hAnsi="Times New Roman" w:eastAsia="宋体" w:cs="Times New Roman"/>
                <w:color w:val="auto"/>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不可以接受□</w:t>
            </w:r>
          </w:p>
        </w:tc>
      </w:tr>
      <w:tr w14:paraId="61FA366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218" w:type="dxa"/>
            <w:vMerge w:val="continue"/>
            <w:tcBorders>
              <w:top w:val="single" w:color="auto" w:sz="4" w:space="0"/>
              <w:left w:val="single" w:color="auto" w:sz="4" w:space="0"/>
              <w:bottom w:val="single" w:color="auto" w:sz="4" w:space="0"/>
              <w:right w:val="single" w:color="auto" w:sz="4" w:space="0"/>
            </w:tcBorders>
            <w:vAlign w:val="center"/>
          </w:tcPr>
          <w:p w14:paraId="26DE3BC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2151" w:type="dxa"/>
            <w:tcBorders>
              <w:top w:val="single" w:color="auto" w:sz="4" w:space="0"/>
              <w:left w:val="single" w:color="auto" w:sz="4" w:space="0"/>
              <w:bottom w:val="single" w:color="auto" w:sz="4" w:space="0"/>
              <w:right w:val="single" w:color="auto" w:sz="4" w:space="0"/>
            </w:tcBorders>
            <w:vAlign w:val="center"/>
          </w:tcPr>
          <w:p w14:paraId="06BBE73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大气环境防护距离</w:t>
            </w:r>
          </w:p>
        </w:tc>
        <w:tc>
          <w:tcPr>
            <w:tcW w:w="11020" w:type="dxa"/>
            <w:gridSpan w:val="8"/>
            <w:tcBorders>
              <w:top w:val="single" w:color="auto" w:sz="4" w:space="0"/>
              <w:left w:val="single" w:color="auto" w:sz="4" w:space="0"/>
              <w:bottom w:val="single" w:color="auto" w:sz="4" w:space="0"/>
              <w:right w:val="single" w:color="auto" w:sz="4" w:space="0"/>
            </w:tcBorders>
            <w:vAlign w:val="center"/>
          </w:tcPr>
          <w:p w14:paraId="27E104F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距（</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厂界最远（）m</w:t>
            </w:r>
          </w:p>
        </w:tc>
      </w:tr>
      <w:tr w14:paraId="0EC3DCC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218" w:type="dxa"/>
            <w:vMerge w:val="continue"/>
            <w:tcBorders>
              <w:top w:val="single" w:color="auto" w:sz="4" w:space="0"/>
              <w:left w:val="single" w:color="auto" w:sz="4" w:space="0"/>
              <w:bottom w:val="single" w:color="auto" w:sz="4" w:space="0"/>
              <w:right w:val="single" w:color="auto" w:sz="4" w:space="0"/>
            </w:tcBorders>
            <w:vAlign w:val="center"/>
          </w:tcPr>
          <w:p w14:paraId="1ADB36F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p>
        </w:tc>
        <w:tc>
          <w:tcPr>
            <w:tcW w:w="2151" w:type="dxa"/>
            <w:tcBorders>
              <w:top w:val="single" w:color="auto" w:sz="4" w:space="0"/>
              <w:left w:val="single" w:color="auto" w:sz="4" w:space="0"/>
              <w:bottom w:val="single" w:color="auto" w:sz="4" w:space="0"/>
              <w:right w:val="single" w:color="auto" w:sz="4" w:space="0"/>
            </w:tcBorders>
            <w:vAlign w:val="center"/>
          </w:tcPr>
          <w:p w14:paraId="720B9B3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污染源年排放量</w:t>
            </w:r>
          </w:p>
        </w:tc>
        <w:tc>
          <w:tcPr>
            <w:tcW w:w="3437" w:type="dxa"/>
            <w:gridSpan w:val="3"/>
            <w:tcBorders>
              <w:top w:val="single" w:color="auto" w:sz="4" w:space="0"/>
              <w:left w:val="single" w:color="auto" w:sz="4" w:space="0"/>
              <w:bottom w:val="single" w:color="auto" w:sz="4" w:space="0"/>
              <w:right w:val="single" w:color="auto" w:sz="4" w:space="0"/>
            </w:tcBorders>
            <w:vAlign w:val="center"/>
          </w:tcPr>
          <w:p w14:paraId="040667F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t/a</w:t>
            </w:r>
          </w:p>
        </w:tc>
        <w:tc>
          <w:tcPr>
            <w:tcW w:w="2409" w:type="dxa"/>
            <w:gridSpan w:val="2"/>
            <w:tcBorders>
              <w:top w:val="single" w:color="auto" w:sz="4" w:space="0"/>
              <w:left w:val="single" w:color="auto" w:sz="4" w:space="0"/>
              <w:bottom w:val="single" w:color="auto" w:sz="4" w:space="0"/>
              <w:right w:val="single" w:color="auto" w:sz="4" w:space="0"/>
            </w:tcBorders>
            <w:vAlign w:val="center"/>
          </w:tcPr>
          <w:p w14:paraId="723E722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NOx</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t/a</w:t>
            </w:r>
          </w:p>
        </w:tc>
        <w:tc>
          <w:tcPr>
            <w:tcW w:w="2046" w:type="dxa"/>
            <w:tcBorders>
              <w:top w:val="single" w:color="auto" w:sz="4" w:space="0"/>
              <w:left w:val="single" w:color="auto" w:sz="4" w:space="0"/>
              <w:bottom w:val="single" w:color="auto" w:sz="4" w:space="0"/>
              <w:right w:val="single" w:color="auto" w:sz="4" w:space="0"/>
            </w:tcBorders>
            <w:vAlign w:val="center"/>
          </w:tcPr>
          <w:p w14:paraId="6B709C1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086</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t/a</w:t>
            </w:r>
          </w:p>
        </w:tc>
        <w:tc>
          <w:tcPr>
            <w:tcW w:w="3128" w:type="dxa"/>
            <w:gridSpan w:val="2"/>
            <w:tcBorders>
              <w:top w:val="single" w:color="auto" w:sz="4" w:space="0"/>
              <w:left w:val="single" w:color="auto" w:sz="4" w:space="0"/>
              <w:bottom w:val="single" w:color="auto" w:sz="4" w:space="0"/>
              <w:right w:val="single" w:color="auto" w:sz="4" w:space="0"/>
            </w:tcBorders>
            <w:vAlign w:val="center"/>
          </w:tcPr>
          <w:p w14:paraId="5EEE93B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VOCs</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t/a</w:t>
            </w:r>
          </w:p>
        </w:tc>
      </w:tr>
      <w:tr w14:paraId="508089C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15" w:type="dxa"/>
            <w:left w:w="108" w:type="dxa"/>
            <w:bottom w:w="15" w:type="dxa"/>
            <w:right w:w="108" w:type="dxa"/>
          </w:tblCellMar>
        </w:tblPrEx>
        <w:trPr>
          <w:trHeight w:val="340" w:hRule="atLeast"/>
          <w:jc w:val="center"/>
        </w:trPr>
        <w:tc>
          <w:tcPr>
            <w:tcW w:w="14389" w:type="dxa"/>
            <w:gridSpan w:val="10"/>
            <w:tcBorders>
              <w:top w:val="single" w:color="auto" w:sz="4" w:space="0"/>
              <w:left w:val="single" w:color="auto" w:sz="4" w:space="0"/>
              <w:bottom w:val="single" w:color="auto" w:sz="4" w:space="0"/>
              <w:right w:val="single" w:color="auto" w:sz="4" w:space="0"/>
            </w:tcBorders>
            <w:vAlign w:val="center"/>
          </w:tcPr>
          <w:p w14:paraId="390F395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注：“□”，填“√”；“（）”为内容填写项</w:t>
            </w:r>
          </w:p>
        </w:tc>
      </w:tr>
    </w:tbl>
    <w:p w14:paraId="3B606F7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p>
    <w:p w14:paraId="15483412">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p>
    <w:p w14:paraId="56203CA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p>
    <w:p w14:paraId="513A331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sectPr>
          <w:pgSz w:w="16838" w:h="11906" w:orient="landscape"/>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26" w:charSpace="0"/>
        </w:sectPr>
      </w:pPr>
    </w:p>
    <w:p w14:paraId="0E09BD36">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411" w:name="_Toc26948"/>
      <w:r>
        <w:rPr>
          <w:rFonts w:hint="default" w:ascii="Times New Roman" w:hAnsi="Times New Roman" w:eastAsia="宋体" w:cs="Times New Roman"/>
          <w:color w:val="auto"/>
          <w:highlight w:val="none"/>
        </w:rPr>
        <w:t>5.3运营期地表水环境影响分析</w:t>
      </w:r>
      <w:bookmarkEnd w:id="411"/>
    </w:p>
    <w:p w14:paraId="7431BE62">
      <w:pPr>
        <w:pageBreakBefore w:val="0"/>
        <w:kinsoku/>
        <w:wordWrap/>
        <w:bidi w:val="0"/>
        <w:snapToGrid w:val="0"/>
        <w:spacing w:line="360" w:lineRule="auto"/>
        <w:ind w:left="0" w:leftChars="0" w:right="0" w:rightChars="0"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项目采用雨污分流排水。</w:t>
      </w:r>
    </w:p>
    <w:p w14:paraId="1D9B3B8E">
      <w:pPr>
        <w:pageBreakBefore w:val="0"/>
        <w:kinsoku/>
        <w:wordWrap/>
        <w:bidi w:val="0"/>
        <w:snapToGrid w:val="0"/>
        <w:spacing w:line="360" w:lineRule="auto"/>
        <w:ind w:left="0" w:leftChars="0" w:right="0" w:rightChars="0"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（1）牛舍屋面设置合适坡度并在屋檐设置导流槽，将雨水导出不排入运动场内，屋面雨水采用自流式排水，经过雨水管道排入场区排水沟排出。</w:t>
      </w:r>
    </w:p>
    <w:p w14:paraId="746E230D">
      <w:pPr>
        <w:pageBreakBefore w:val="0"/>
        <w:kinsoku/>
        <w:wordWrap/>
        <w:bidi w:val="0"/>
        <w:snapToGrid w:val="0"/>
        <w:spacing w:line="360" w:lineRule="auto"/>
        <w:ind w:left="0" w:leftChars="0" w:right="0" w:rightChars="0"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（2）运动场设置挡水坡道，防止雨水进入运动场；</w:t>
      </w:r>
    </w:p>
    <w:p w14:paraId="2E08A28D">
      <w:pPr>
        <w:pageBreakBefore w:val="0"/>
        <w:kinsoku/>
        <w:wordWrap/>
        <w:bidi w:val="0"/>
        <w:snapToGrid w:val="0"/>
        <w:spacing w:line="360" w:lineRule="auto"/>
        <w:ind w:left="0" w:leftChars="0" w:right="0" w:rightChars="0"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底部进行硬化防渗处理，四面设围墙及导流渠，墙高1m，</w:t>
      </w:r>
      <w:r>
        <w:rPr>
          <w:rFonts w:hint="default" w:ascii="Times New Roman" w:hAnsi="Times New Roman" w:eastAsia="宋体" w:cs="Times New Roman"/>
          <w:color w:val="auto"/>
          <w:highlight w:val="none"/>
          <w:lang w:eastAsia="zh-CN"/>
        </w:rPr>
        <w:t>防止</w:t>
      </w:r>
      <w:r>
        <w:rPr>
          <w:rFonts w:hint="default" w:ascii="Times New Roman" w:hAnsi="Times New Roman" w:eastAsia="宋体" w:cs="Times New Roman"/>
          <w:color w:val="auto"/>
          <w:highlight w:val="none"/>
        </w:rPr>
        <w:t>因雨水进入造成外溢，形成二次污染。</w:t>
      </w:r>
    </w:p>
    <w:p w14:paraId="07499FEB">
      <w:pPr>
        <w:pageBreakBefore w:val="0"/>
        <w:kinsoku/>
        <w:wordWrap/>
        <w:bidi w:val="0"/>
        <w:snapToGrid w:val="0"/>
        <w:spacing w:line="360" w:lineRule="auto"/>
        <w:ind w:left="0" w:leftChars="0" w:right="0" w:rightChars="0"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（4）项目生活污水</w:t>
      </w:r>
      <w:r>
        <w:rPr>
          <w:rFonts w:hint="default" w:ascii="Times New Roman" w:hAnsi="Times New Roman" w:eastAsia="宋体" w:cs="Times New Roman"/>
          <w:color w:val="auto"/>
          <w:highlight w:val="none"/>
          <w:lang w:eastAsia="zh-CN"/>
        </w:rPr>
        <w:t>经化粪池处理</w:t>
      </w:r>
      <w:r>
        <w:rPr>
          <w:rFonts w:hint="default" w:ascii="Times New Roman" w:hAnsi="Times New Roman" w:eastAsia="宋体" w:cs="Times New Roman"/>
          <w:color w:val="auto"/>
          <w:highlight w:val="none"/>
        </w:rPr>
        <w:t>后，</w:t>
      </w:r>
      <w:r>
        <w:rPr>
          <w:rFonts w:hint="default" w:ascii="Times New Roman" w:hAnsi="Times New Roman" w:eastAsia="宋体" w:cs="Times New Roman"/>
          <w:color w:val="auto"/>
          <w:highlight w:val="none"/>
          <w:lang w:eastAsia="zh-CN"/>
        </w:rPr>
        <w:t>定期由当地环卫部门清运处置</w:t>
      </w:r>
      <w:r>
        <w:rPr>
          <w:rFonts w:hint="default" w:ascii="Times New Roman" w:hAnsi="Times New Roman" w:eastAsia="宋体" w:cs="Times New Roman"/>
          <w:color w:val="auto"/>
          <w:highlight w:val="none"/>
        </w:rPr>
        <w:t>。</w:t>
      </w:r>
    </w:p>
    <w:p w14:paraId="6C800BCC">
      <w:pPr>
        <w:pageBreakBefore w:val="0"/>
        <w:kinsoku/>
        <w:wordWrap/>
        <w:bidi w:val="0"/>
        <w:snapToGrid w:val="0"/>
        <w:spacing w:line="360" w:lineRule="auto"/>
        <w:ind w:left="0" w:leftChars="0" w:right="0" w:rightChars="0" w:firstLine="480"/>
        <w:jc w:val="both"/>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sz w:val="24"/>
          <w:szCs w:val="28"/>
          <w:highlight w:val="none"/>
          <w:lang w:eastAsia="zh-CN"/>
        </w:rPr>
        <w:t>（</w:t>
      </w:r>
      <w:r>
        <w:rPr>
          <w:rFonts w:hint="default" w:ascii="Times New Roman" w:hAnsi="Times New Roman" w:eastAsia="宋体" w:cs="Times New Roman"/>
          <w:color w:val="auto"/>
          <w:sz w:val="24"/>
          <w:szCs w:val="28"/>
          <w:highlight w:val="none"/>
          <w:lang w:val="en-US" w:eastAsia="zh-CN"/>
        </w:rPr>
        <w:t>5</w:t>
      </w:r>
      <w:r>
        <w:rPr>
          <w:rFonts w:hint="default" w:ascii="Times New Roman" w:hAnsi="Times New Roman" w:eastAsia="宋体" w:cs="Times New Roman"/>
          <w:color w:val="auto"/>
          <w:sz w:val="24"/>
          <w:szCs w:val="28"/>
          <w:highlight w:val="none"/>
          <w:lang w:eastAsia="zh-CN"/>
        </w:rPr>
        <w:t>）</w:t>
      </w:r>
      <w:r>
        <w:rPr>
          <w:rFonts w:hint="default" w:ascii="Times New Roman" w:hAnsi="Times New Roman" w:eastAsia="宋体" w:cs="Times New Roman"/>
          <w:color w:val="auto"/>
          <w:sz w:val="24"/>
          <w:szCs w:val="28"/>
          <w:highlight w:val="none"/>
        </w:rPr>
        <w:t>本项目</w:t>
      </w:r>
      <w:r>
        <w:rPr>
          <w:rFonts w:hint="default" w:ascii="Times New Roman" w:hAnsi="Times New Roman" w:eastAsia="宋体" w:cs="Times New Roman"/>
          <w:color w:val="auto"/>
          <w:kern w:val="0"/>
          <w:sz w:val="24"/>
          <w:szCs w:val="24"/>
          <w:highlight w:val="none"/>
          <w:lang w:eastAsia="zh-CN"/>
        </w:rPr>
        <w:t>肉牛饲养过程中饮用水量较少，排放的尿液较少，并且牛粪较为干燥，在</w:t>
      </w:r>
      <w:r>
        <w:rPr>
          <w:rFonts w:hint="default" w:ascii="Times New Roman" w:hAnsi="Times New Roman" w:eastAsia="宋体" w:cs="Times New Roman"/>
          <w:color w:val="auto"/>
          <w:kern w:val="0"/>
          <w:sz w:val="24"/>
          <w:szCs w:val="24"/>
          <w:highlight w:val="none"/>
        </w:rPr>
        <w:t>养殖区</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牛舍</w:t>
      </w:r>
      <w:r>
        <w:rPr>
          <w:rFonts w:hint="default" w:ascii="Times New Roman" w:hAnsi="Times New Roman" w:eastAsia="宋体" w:cs="Times New Roman"/>
          <w:color w:val="auto"/>
          <w:kern w:val="0"/>
          <w:sz w:val="24"/>
          <w:szCs w:val="24"/>
          <w:highlight w:val="none"/>
          <w:lang w:eastAsia="zh-CN"/>
        </w:rPr>
        <w:t>、运动场）排放的尿液大部分由于当地气候干燥蒸发，剩余尿液与粪便完全黏结混合在一起，一起运往粪污处理池</w:t>
      </w:r>
      <w:r>
        <w:rPr>
          <w:rFonts w:hint="default" w:ascii="Times New Roman" w:hAnsi="Times New Roman" w:eastAsia="宋体" w:cs="Times New Roman"/>
          <w:color w:val="auto"/>
          <w:kern w:val="0"/>
          <w:sz w:val="24"/>
          <w:szCs w:val="24"/>
          <w:highlight w:val="none"/>
        </w:rPr>
        <w:t>储存并堆肥</w:t>
      </w:r>
      <w:r>
        <w:rPr>
          <w:rFonts w:hint="default" w:ascii="Times New Roman" w:hAnsi="Times New Roman" w:eastAsia="宋体" w:cs="Times New Roman"/>
          <w:color w:val="auto"/>
          <w:kern w:val="0"/>
          <w:sz w:val="24"/>
          <w:szCs w:val="24"/>
          <w:highlight w:val="none"/>
          <w:lang w:eastAsia="zh-CN"/>
        </w:rPr>
        <w:t>，因此，没有尿液排放；</w:t>
      </w:r>
      <w:r>
        <w:rPr>
          <w:rFonts w:hint="default" w:ascii="Times New Roman" w:hAnsi="Times New Roman" w:eastAsia="宋体" w:cs="Times New Roman"/>
          <w:color w:val="auto"/>
          <w:kern w:val="0"/>
          <w:sz w:val="24"/>
          <w:szCs w:val="24"/>
          <w:highlight w:val="none"/>
        </w:rPr>
        <w:t>养殖区</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牛舍</w:t>
      </w:r>
      <w:r>
        <w:rPr>
          <w:rFonts w:hint="default" w:ascii="Times New Roman" w:hAnsi="Times New Roman" w:eastAsia="宋体" w:cs="Times New Roman"/>
          <w:color w:val="auto"/>
          <w:kern w:val="0"/>
          <w:sz w:val="24"/>
          <w:szCs w:val="24"/>
          <w:highlight w:val="none"/>
          <w:lang w:eastAsia="zh-CN"/>
        </w:rPr>
        <w:t>、运动场）场地不采取水冲洗方式清理，采用生石灰或者消毒水每周喷洒消毒</w:t>
      </w:r>
      <w:r>
        <w:rPr>
          <w:rFonts w:hint="default" w:ascii="Times New Roman" w:hAnsi="Times New Roman" w:eastAsia="宋体" w:cs="Times New Roman"/>
          <w:color w:val="auto"/>
          <w:kern w:val="0"/>
          <w:sz w:val="24"/>
          <w:szCs w:val="24"/>
          <w:highlight w:val="none"/>
          <w:lang w:val="en-US" w:eastAsia="zh-CN"/>
        </w:rPr>
        <w:t>2～3次</w:t>
      </w:r>
      <w:r>
        <w:rPr>
          <w:rFonts w:hint="default" w:ascii="Times New Roman" w:hAnsi="Times New Roman" w:eastAsia="宋体" w:cs="Times New Roman"/>
          <w:color w:val="auto"/>
          <w:kern w:val="0"/>
          <w:sz w:val="24"/>
          <w:szCs w:val="24"/>
          <w:highlight w:val="none"/>
          <w:lang w:eastAsia="zh-CN"/>
        </w:rPr>
        <w:t>，因此，</w:t>
      </w:r>
      <w:r>
        <w:rPr>
          <w:rFonts w:hint="default" w:ascii="Times New Roman" w:hAnsi="Times New Roman" w:eastAsia="宋体" w:cs="Times New Roman"/>
          <w:color w:val="auto"/>
          <w:kern w:val="0"/>
          <w:sz w:val="24"/>
          <w:szCs w:val="24"/>
          <w:highlight w:val="none"/>
        </w:rPr>
        <w:t>养殖区</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牛舍</w:t>
      </w:r>
      <w:r>
        <w:rPr>
          <w:rFonts w:hint="default" w:ascii="Times New Roman" w:hAnsi="Times New Roman" w:eastAsia="宋体" w:cs="Times New Roman"/>
          <w:color w:val="auto"/>
          <w:kern w:val="0"/>
          <w:sz w:val="24"/>
          <w:szCs w:val="24"/>
          <w:highlight w:val="none"/>
          <w:lang w:eastAsia="zh-CN"/>
        </w:rPr>
        <w:t>、运动场）</w:t>
      </w:r>
      <w:r>
        <w:rPr>
          <w:rFonts w:hint="default" w:ascii="Times New Roman" w:hAnsi="Times New Roman" w:eastAsia="宋体" w:cs="Times New Roman"/>
          <w:color w:val="auto"/>
          <w:kern w:val="0"/>
          <w:sz w:val="24"/>
          <w:szCs w:val="24"/>
          <w:highlight w:val="none"/>
        </w:rPr>
        <w:t>不产生冲洗废水</w:t>
      </w:r>
      <w:r>
        <w:rPr>
          <w:rFonts w:hint="default" w:ascii="Times New Roman" w:hAnsi="Times New Roman" w:eastAsia="宋体" w:cs="Times New Roman"/>
          <w:color w:val="auto"/>
          <w:kern w:val="0"/>
          <w:sz w:val="24"/>
          <w:szCs w:val="24"/>
          <w:highlight w:val="none"/>
          <w:lang w:val="en-US" w:eastAsia="zh-CN"/>
        </w:rPr>
        <w:t>。</w:t>
      </w:r>
    </w:p>
    <w:p w14:paraId="068DDA14">
      <w:pPr>
        <w:pageBreakBefore w:val="0"/>
        <w:kinsoku/>
        <w:wordWrap/>
        <w:bidi w:val="0"/>
        <w:snapToGrid w:val="0"/>
        <w:spacing w:line="360" w:lineRule="auto"/>
        <w:ind w:left="0" w:leftChars="0" w:right="0" w:rightChars="0" w:firstLine="480"/>
        <w:jc w:val="both"/>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综上所述，本项目</w:t>
      </w:r>
      <w:r>
        <w:rPr>
          <w:rFonts w:hint="default" w:ascii="Times New Roman" w:hAnsi="Times New Roman" w:eastAsia="宋体" w:cs="Times New Roman"/>
          <w:color w:val="auto"/>
          <w:highlight w:val="none"/>
          <w:lang w:eastAsia="zh-CN"/>
        </w:rPr>
        <w:t>牛尿随牛粪一起运往粪污处理池储存并堆肥，无养殖废水产生；</w:t>
      </w:r>
      <w:r>
        <w:rPr>
          <w:rFonts w:hint="default" w:ascii="Times New Roman" w:hAnsi="Times New Roman" w:eastAsia="宋体" w:cs="Times New Roman"/>
          <w:color w:val="auto"/>
          <w:highlight w:val="none"/>
        </w:rPr>
        <w:t>生活污水</w:t>
      </w:r>
      <w:r>
        <w:rPr>
          <w:rFonts w:hint="default" w:ascii="Times New Roman" w:hAnsi="Times New Roman" w:eastAsia="宋体" w:cs="Times New Roman"/>
          <w:color w:val="auto"/>
          <w:highlight w:val="none"/>
          <w:lang w:eastAsia="zh-CN"/>
        </w:rPr>
        <w:t>经化粪池处理</w:t>
      </w:r>
      <w:r>
        <w:rPr>
          <w:rFonts w:hint="default" w:ascii="Times New Roman" w:hAnsi="Times New Roman" w:eastAsia="宋体" w:cs="Times New Roman"/>
          <w:color w:val="auto"/>
          <w:highlight w:val="none"/>
        </w:rPr>
        <w:t>后，</w:t>
      </w:r>
      <w:r>
        <w:rPr>
          <w:rFonts w:hint="default" w:ascii="Times New Roman" w:hAnsi="Times New Roman" w:eastAsia="宋体" w:cs="Times New Roman"/>
          <w:color w:val="auto"/>
          <w:highlight w:val="none"/>
          <w:lang w:eastAsia="zh-CN"/>
        </w:rPr>
        <w:t>定期由当地环卫部门清运处置，均不外排。运营期正常情况下不会有废水排入场区南侧的乌梁素海湿地水禽自然保护区；粪污处理池位于场区最南侧，距离场区南侧乌梁素海湿地水禽自然保护区</w:t>
      </w:r>
      <w:r>
        <w:rPr>
          <w:rFonts w:hint="default" w:ascii="Times New Roman" w:hAnsi="Times New Roman" w:eastAsia="宋体" w:cs="Times New Roman"/>
          <w:color w:val="auto"/>
          <w:highlight w:val="none"/>
          <w:lang w:val="en-US" w:eastAsia="zh-CN"/>
        </w:rPr>
        <w:t>2.4k</w:t>
      </w:r>
      <w:r>
        <w:rPr>
          <w:rFonts w:hint="default" w:ascii="Times New Roman" w:hAnsi="Times New Roman" w:eastAsia="宋体" w:cs="Times New Roman"/>
          <w:color w:val="auto"/>
          <w:highlight w:val="none"/>
          <w:lang w:eastAsia="zh-CN"/>
        </w:rPr>
        <w:t>m，满足《畜禽粪便无害化处理技术规范》（NY/T1168-2006）、《畜禽养殖业污染防治技术规范》（HJ/T81-2001）的养殖场法规。</w:t>
      </w:r>
    </w:p>
    <w:p w14:paraId="0A605B58">
      <w:pPr>
        <w:pageBreakBefore w:val="0"/>
        <w:kinsoku/>
        <w:wordWrap/>
        <w:bidi w:val="0"/>
        <w:snapToGrid w:val="0"/>
        <w:spacing w:line="360" w:lineRule="auto"/>
        <w:ind w:left="0" w:leftChars="0" w:right="0" w:rightChars="0"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本项目</w:t>
      </w:r>
      <w:r>
        <w:rPr>
          <w:rFonts w:hint="default" w:ascii="Times New Roman" w:hAnsi="Times New Roman" w:eastAsia="宋体" w:cs="Times New Roman"/>
          <w:color w:val="auto"/>
          <w:highlight w:val="none"/>
        </w:rPr>
        <w:t>采用雨污分流，厂区清净雨水通过雨水管道自流式排出，项目对粪污及初期雨水控制减缓措施是有效的。</w:t>
      </w:r>
    </w:p>
    <w:p w14:paraId="4F21F620">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412" w:name="_Toc8915"/>
      <w:r>
        <w:rPr>
          <w:rFonts w:hint="default" w:ascii="Times New Roman" w:hAnsi="Times New Roman" w:eastAsia="宋体" w:cs="Times New Roman"/>
          <w:color w:val="auto"/>
          <w:highlight w:val="none"/>
        </w:rPr>
        <w:t>5.4运营期地下水环境影响</w:t>
      </w:r>
      <w:bookmarkEnd w:id="412"/>
    </w:p>
    <w:p w14:paraId="179D1F3A">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413" w:name="_Toc4693"/>
      <w:r>
        <w:rPr>
          <w:rFonts w:hint="default" w:ascii="Times New Roman" w:hAnsi="Times New Roman" w:eastAsia="宋体" w:cs="Times New Roman"/>
          <w:color w:val="auto"/>
          <w:highlight w:val="none"/>
        </w:rPr>
        <w:t>5.4.1环境水文地质条件</w:t>
      </w:r>
      <w:bookmarkEnd w:id="413"/>
    </w:p>
    <w:p w14:paraId="744EF06F">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5.4.1.1区域水文地质条件</w:t>
      </w:r>
    </w:p>
    <w:p w14:paraId="327BECD5">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8"/>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区域内主要分布有第四系冲</w:t>
      </w:r>
      <w:r>
        <w:rPr>
          <w:rFonts w:hint="default" w:ascii="Times New Roman" w:hAnsi="Times New Roman" w:eastAsia="宋体" w:cs="Times New Roman"/>
          <w:color w:val="auto"/>
          <w:highlight w:val="none"/>
          <w:lang w:eastAsia="zh-CN"/>
        </w:rPr>
        <w:t>洪积沙砾</w:t>
      </w:r>
      <w:r>
        <w:rPr>
          <w:rFonts w:hint="default" w:ascii="Times New Roman" w:hAnsi="Times New Roman" w:eastAsia="宋体" w:cs="Times New Roman"/>
          <w:color w:val="auto"/>
          <w:highlight w:val="none"/>
        </w:rPr>
        <w:t>石层孔隙潜水和基岩风化裂隙潜水弱含水层。</w:t>
      </w:r>
    </w:p>
    <w:p w14:paraId="05247F71">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8"/>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沟谷第四系冲洪积层孔隙潜水含水层</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主要分布在矿区点勒斯太沟、巴彦高勒沟沟谷之中，地下水总体流向由</w:t>
      </w:r>
      <w:r>
        <w:rPr>
          <w:rFonts w:hint="default" w:ascii="Times New Roman" w:hAnsi="Times New Roman" w:eastAsia="宋体" w:cs="Times New Roman"/>
          <w:color w:val="auto"/>
          <w:highlight w:val="none"/>
          <w:lang w:eastAsia="zh-CN"/>
        </w:rPr>
        <w:t>北</w:t>
      </w:r>
      <w:r>
        <w:rPr>
          <w:rFonts w:hint="default" w:ascii="Times New Roman" w:hAnsi="Times New Roman" w:eastAsia="宋体" w:cs="Times New Roman"/>
          <w:color w:val="auto"/>
          <w:highlight w:val="none"/>
        </w:rPr>
        <w:t>向</w:t>
      </w:r>
      <w:r>
        <w:rPr>
          <w:rFonts w:hint="default" w:ascii="Times New Roman" w:hAnsi="Times New Roman" w:eastAsia="宋体" w:cs="Times New Roman"/>
          <w:color w:val="auto"/>
          <w:highlight w:val="none"/>
          <w:lang w:eastAsia="zh-CN"/>
        </w:rPr>
        <w:t>南</w:t>
      </w:r>
      <w:r>
        <w:rPr>
          <w:rFonts w:hint="default" w:ascii="Times New Roman" w:hAnsi="Times New Roman" w:eastAsia="宋体" w:cs="Times New Roman"/>
          <w:color w:val="auto"/>
          <w:highlight w:val="none"/>
        </w:rPr>
        <w:t>流入山前洪积扇。潜水含水层岩性为砂砾石，厚度一般为1.5～6m，水位埋深一般为0.5～8.0m，单井出水量为3.6～10.2t/d，由于地下水径流条件好，矿化度均为小于1g/L的HCO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Ca型水，水质较为良好。</w:t>
      </w:r>
    </w:p>
    <w:p w14:paraId="0E973871">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8"/>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山前冲洪积扇裙第四系孔隙水含水层</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主要分布于本区北部，岩性以冲</w:t>
      </w:r>
      <w:r>
        <w:rPr>
          <w:rFonts w:hint="default" w:ascii="Times New Roman" w:hAnsi="Times New Roman" w:eastAsia="宋体" w:cs="Times New Roman"/>
          <w:color w:val="auto"/>
          <w:highlight w:val="none"/>
          <w:lang w:eastAsia="zh-CN"/>
        </w:rPr>
        <w:t>洪积沙砾</w:t>
      </w:r>
      <w:r>
        <w:rPr>
          <w:rFonts w:hint="default" w:ascii="Times New Roman" w:hAnsi="Times New Roman" w:eastAsia="宋体" w:cs="Times New Roman"/>
          <w:color w:val="auto"/>
          <w:highlight w:val="none"/>
        </w:rPr>
        <w:t>石为主，次为中细砂土，部分含粘性土。标高1157-1236m。据1：50万水文地质资料，K29孔抽水资料，降深0.78m，单井涌水量60.84m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/h，单位涌水量为21.67L/s.m。水化学类型为HCO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Ca型，矿化度0.31g/L。该层为极强富水。</w:t>
      </w:r>
    </w:p>
    <w:p w14:paraId="11AC3573">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8"/>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基岩裂隙潜水弱含水层</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区内广泛分布于项目区南部，岩性主要为黑云角闪斜长片麻岩，基岩长期裸露地表，风化裂隙较为发育，裂隙深度不稳定，一般在10m左右，透水性良好，但由于矿区属中山地带，植被发育，地形有利于自然排水，而该地区属干旱半干旱气候条件，降水量贫乏。因此，降水垂直渗入补给风化裂隙带内的水量极为贫乏，对矿床开采影响极小。黑云角闪斜长片麻岩基岩裂隙潜水单泉涌水量为0.03L/s。</w:t>
      </w:r>
    </w:p>
    <w:p w14:paraId="3FD9E00C">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8"/>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隔水层</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主要分布在项目区的南部边缘地带的未风化的片麻状闪长岩、片麻状黑云母二长花岗岩地表裂隙不发育，岩石完整性好以及深部裂隙不发育的黑云角闪斜长片麻岩，其完整性好，在某种意义是起到隔水作用，可视为相对隔水层。</w:t>
      </w:r>
    </w:p>
    <w:p w14:paraId="19B1A09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透水不含水层</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主要分布在区域内地形低洼地带，为第四系残坡积层，结构松散，透水且不含水</w:t>
      </w:r>
      <w:r>
        <w:rPr>
          <w:rFonts w:hint="default" w:ascii="Times New Roman" w:hAnsi="Times New Roman" w:eastAsia="宋体" w:cs="Times New Roman"/>
          <w:color w:val="auto"/>
          <w:highlight w:val="none"/>
          <w:lang w:eastAsia="zh-CN"/>
        </w:rPr>
        <w:t>。</w:t>
      </w:r>
    </w:p>
    <w:p w14:paraId="30B793DC">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5.4.1.2评价区水文地质条件</w:t>
      </w:r>
    </w:p>
    <w:p w14:paraId="65C775E5">
      <w:pPr>
        <w:keepNext w:val="0"/>
        <w:keepLines w:val="0"/>
        <w:pageBreakBefore w:val="0"/>
        <w:widowControl w:val="0"/>
        <w:kinsoku/>
        <w:wordWrap/>
        <w:overflowPunct/>
        <w:topLinePunct/>
        <w:autoSpaceDE w:val="0"/>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eastAsia="zh-CN"/>
        </w:rPr>
        <w:t>）评价区地质</w:t>
      </w:r>
    </w:p>
    <w:p w14:paraId="19A086A4">
      <w:pPr>
        <w:keepNext w:val="0"/>
        <w:keepLines w:val="0"/>
        <w:pageBreakBefore w:val="0"/>
        <w:widowControl w:val="0"/>
        <w:kinsoku/>
        <w:wordWrap/>
        <w:overflowPunct/>
        <w:topLinePunct/>
        <w:autoSpaceDE w:val="0"/>
        <w:bidi w:val="0"/>
        <w:snapToGrid w:val="0"/>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 1 \* GB3 \* MERGEFORMAT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color w:val="auto"/>
          <w:sz w:val="24"/>
          <w:szCs w:val="24"/>
          <w:highlight w:val="none"/>
        </w:rPr>
        <w:t>①</w:t>
      </w:r>
      <w:r>
        <w:rPr>
          <w:rFonts w:hint="default" w:ascii="Times New Roman" w:hAnsi="Times New Roman" w:eastAsia="宋体" w:cs="Times New Roman"/>
          <w:bCs/>
          <w:color w:val="auto"/>
          <w:sz w:val="24"/>
          <w:szCs w:val="24"/>
          <w:highlight w:val="none"/>
        </w:rPr>
        <w:fldChar w:fldCharType="end"/>
      </w:r>
      <w:r>
        <w:rPr>
          <w:rFonts w:hint="default" w:ascii="Times New Roman" w:hAnsi="Times New Roman" w:eastAsia="宋体" w:cs="Times New Roman"/>
          <w:bCs/>
          <w:color w:val="auto"/>
          <w:sz w:val="24"/>
          <w:highlight w:val="none"/>
        </w:rPr>
        <w:t>地层</w:t>
      </w:r>
    </w:p>
    <w:p w14:paraId="06ADC39F">
      <w:pPr>
        <w:keepNext w:val="0"/>
        <w:keepLines w:val="0"/>
        <w:pageBreakBefore w:val="0"/>
        <w:widowControl w:val="0"/>
        <w:kinsoku/>
        <w:wordWrap/>
        <w:overflowPunct/>
        <w:topLinePunct/>
        <w:autoSpaceDE w:val="0"/>
        <w:bidi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rPr>
        <w:t>选区内出露的地层为</w:t>
      </w:r>
      <w:r>
        <w:rPr>
          <w:rFonts w:hint="default" w:ascii="Times New Roman" w:hAnsi="Times New Roman" w:eastAsia="宋体" w:cs="Times New Roman"/>
          <w:color w:val="auto"/>
          <w:sz w:val="24"/>
          <w:highlight w:val="none"/>
          <w:lang w:val="zh-CN"/>
        </w:rPr>
        <w:t>第四系全新统冲洪积沙砾石层（Qh</w:t>
      </w:r>
      <w:r>
        <w:rPr>
          <w:rFonts w:hint="default" w:ascii="Times New Roman" w:hAnsi="Times New Roman" w:eastAsia="宋体" w:cs="Times New Roman"/>
          <w:i/>
          <w:iCs/>
          <w:color w:val="auto"/>
          <w:sz w:val="24"/>
          <w:highlight w:val="none"/>
          <w:vertAlign w:val="superscript"/>
          <w:lang w:val="zh-CN"/>
        </w:rPr>
        <w:t>al+pl</w:t>
      </w:r>
      <w:r>
        <w:rPr>
          <w:rFonts w:hint="default" w:ascii="Times New Roman" w:hAnsi="Times New Roman" w:eastAsia="宋体" w:cs="Times New Roman"/>
          <w:color w:val="auto"/>
          <w:sz w:val="24"/>
          <w:highlight w:val="none"/>
          <w:lang w:val="zh-CN"/>
        </w:rPr>
        <w:t>）</w:t>
      </w:r>
      <w:r>
        <w:rPr>
          <w:rFonts w:hint="default" w:ascii="Times New Roman" w:hAnsi="Times New Roman" w:eastAsia="宋体" w:cs="Times New Roman"/>
          <w:color w:val="auto"/>
          <w:sz w:val="24"/>
          <w:highlight w:val="none"/>
        </w:rPr>
        <w:t>。</w:t>
      </w:r>
    </w:p>
    <w:p w14:paraId="0EE2E808">
      <w:pPr>
        <w:keepNext w:val="0"/>
        <w:keepLines w:val="0"/>
        <w:pageBreakBefore w:val="0"/>
        <w:widowControl w:val="0"/>
        <w:kinsoku/>
        <w:wordWrap/>
        <w:overflowPunct/>
        <w:topLinePunct/>
        <w:autoSpaceDE w:val="0"/>
        <w:autoSpaceDN w:val="0"/>
        <w:bidi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zh-CN"/>
        </w:rPr>
        <w:t>第四系全新统冲洪积沙砾石层（Qh</w:t>
      </w:r>
      <w:r>
        <w:rPr>
          <w:rFonts w:hint="default" w:ascii="Times New Roman" w:hAnsi="Times New Roman" w:eastAsia="宋体" w:cs="Times New Roman"/>
          <w:i/>
          <w:iCs/>
          <w:color w:val="auto"/>
          <w:sz w:val="24"/>
          <w:highlight w:val="none"/>
          <w:vertAlign w:val="superscript"/>
          <w:lang w:val="zh-CN"/>
        </w:rPr>
        <w:t>al+pl</w:t>
      </w:r>
      <w:r>
        <w:rPr>
          <w:rFonts w:hint="default" w:ascii="Times New Roman" w:hAnsi="Times New Roman" w:eastAsia="宋体" w:cs="Times New Roman"/>
          <w:color w:val="auto"/>
          <w:sz w:val="24"/>
          <w:highlight w:val="none"/>
          <w:lang w:val="zh-CN"/>
        </w:rPr>
        <w:t>）：分布于整个选区中，为砂砾石混杂堆积物，厚度大于</w:t>
      </w:r>
      <w:r>
        <w:rPr>
          <w:rFonts w:hint="default" w:ascii="Times New Roman" w:hAnsi="Times New Roman" w:eastAsia="宋体" w:cs="Times New Roman"/>
          <w:color w:val="auto"/>
          <w:sz w:val="24"/>
          <w:highlight w:val="none"/>
        </w:rPr>
        <w:t>200</w:t>
      </w:r>
      <w:r>
        <w:rPr>
          <w:rFonts w:hint="default" w:ascii="Times New Roman" w:hAnsi="Times New Roman" w:eastAsia="宋体" w:cs="Times New Roman"/>
          <w:color w:val="auto"/>
          <w:sz w:val="24"/>
          <w:highlight w:val="none"/>
          <w:lang w:val="zh-CN"/>
        </w:rPr>
        <w:t>m，砾径5-50cm，成分较为复杂。</w:t>
      </w:r>
    </w:p>
    <w:p w14:paraId="795BC0D8">
      <w:pPr>
        <w:keepNext w:val="0"/>
        <w:keepLines w:val="0"/>
        <w:pageBreakBefore w:val="0"/>
        <w:widowControl w:val="0"/>
        <w:kinsoku/>
        <w:wordWrap/>
        <w:overflowPunct/>
        <w:topLinePunct/>
        <w:autoSpaceDE w:val="0"/>
        <w:bidi w:val="0"/>
        <w:snapToGrid w:val="0"/>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 2 \* GB3 \* MERGEFORMAT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color w:val="auto"/>
          <w:sz w:val="24"/>
          <w:szCs w:val="24"/>
          <w:highlight w:val="none"/>
        </w:rPr>
        <w:t>②</w:t>
      </w:r>
      <w:r>
        <w:rPr>
          <w:rFonts w:hint="default" w:ascii="Times New Roman" w:hAnsi="Times New Roman" w:eastAsia="宋体" w:cs="Times New Roman"/>
          <w:bCs/>
          <w:color w:val="auto"/>
          <w:sz w:val="24"/>
          <w:szCs w:val="24"/>
          <w:highlight w:val="none"/>
        </w:rPr>
        <w:fldChar w:fldCharType="end"/>
      </w:r>
      <w:r>
        <w:rPr>
          <w:rFonts w:hint="default" w:ascii="Times New Roman" w:hAnsi="Times New Roman" w:eastAsia="宋体" w:cs="Times New Roman"/>
          <w:bCs/>
          <w:color w:val="auto"/>
          <w:sz w:val="24"/>
          <w:highlight w:val="none"/>
        </w:rPr>
        <w:t>岩浆岩</w:t>
      </w:r>
    </w:p>
    <w:p w14:paraId="69252EC9">
      <w:pPr>
        <w:keepNext w:val="0"/>
        <w:keepLines w:val="0"/>
        <w:pageBreakBefore w:val="0"/>
        <w:widowControl w:val="0"/>
        <w:kinsoku/>
        <w:wordWrap/>
        <w:overflowPunct/>
        <w:topLinePunct/>
        <w:autoSpaceDE w:val="0"/>
        <w:bidi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选区为砂砾石层，砂砾石混杂堆积，无岩浆岩出露。</w:t>
      </w:r>
    </w:p>
    <w:p w14:paraId="32391F73">
      <w:pPr>
        <w:keepNext w:val="0"/>
        <w:keepLines w:val="0"/>
        <w:pageBreakBefore w:val="0"/>
        <w:widowControl w:val="0"/>
        <w:kinsoku/>
        <w:wordWrap/>
        <w:overflowPunct/>
        <w:topLinePunct/>
        <w:autoSpaceDE w:val="0"/>
        <w:bidi w:val="0"/>
        <w:snapToGrid w:val="0"/>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 3 \* GB3 \* MERGEFORMAT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color w:val="auto"/>
          <w:sz w:val="24"/>
          <w:szCs w:val="24"/>
          <w:highlight w:val="none"/>
        </w:rPr>
        <w:t>③</w:t>
      </w:r>
      <w:r>
        <w:rPr>
          <w:rFonts w:hint="default" w:ascii="Times New Roman" w:hAnsi="Times New Roman" w:eastAsia="宋体" w:cs="Times New Roman"/>
          <w:bCs/>
          <w:color w:val="auto"/>
          <w:sz w:val="24"/>
          <w:szCs w:val="24"/>
          <w:highlight w:val="none"/>
        </w:rPr>
        <w:fldChar w:fldCharType="end"/>
      </w:r>
      <w:r>
        <w:rPr>
          <w:rFonts w:hint="default" w:ascii="Times New Roman" w:hAnsi="Times New Roman" w:eastAsia="宋体" w:cs="Times New Roman"/>
          <w:bCs/>
          <w:color w:val="auto"/>
          <w:sz w:val="24"/>
          <w:highlight w:val="none"/>
        </w:rPr>
        <w:t>构造</w:t>
      </w:r>
    </w:p>
    <w:p w14:paraId="2EFCE292">
      <w:pPr>
        <w:keepNext w:val="0"/>
        <w:keepLines w:val="0"/>
        <w:pageBreakBefore w:val="0"/>
        <w:widowControl w:val="0"/>
        <w:kinsoku/>
        <w:wordWrap/>
        <w:overflowPunct/>
        <w:topLinePunct/>
        <w:autoSpaceDE w:val="0"/>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选区无褶皱及断裂构造</w:t>
      </w:r>
    </w:p>
    <w:p w14:paraId="363A0CE0">
      <w:pPr>
        <w:keepNext w:val="0"/>
        <w:keepLines w:val="0"/>
        <w:pageBreakBefore w:val="0"/>
        <w:widowControl w:val="0"/>
        <w:kinsoku/>
        <w:wordWrap/>
        <w:overflowPunct/>
        <w:topLinePunct/>
        <w:autoSpaceDE w:val="0"/>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eastAsia="zh-CN"/>
        </w:rPr>
        <w:t>）评价区水位地质条件</w:t>
      </w:r>
    </w:p>
    <w:p w14:paraId="1665BE78">
      <w:pPr>
        <w:keepNext w:val="0"/>
        <w:keepLines w:val="0"/>
        <w:pageBreakBefore w:val="0"/>
        <w:widowControl w:val="0"/>
        <w:kinsoku/>
        <w:wordWrap/>
        <w:overflowPunct/>
        <w:topLinePunct/>
        <w:autoSpaceDE w:val="0"/>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在乌拉山麓，在大坝沟以西，由于第二断裂的影响，使南部红层抬高，形成红土台地及山前倾斜平原，其含水层都很微弱，没有供水价值。红土台地及山前倾斜平原的厚层第三系红层还构成供水勘探区的隔水边界，使含水层分布变狭。在大坝沟以东，由于红层大部分被冲刷，不影响乌拉山地下水对冲积洪积裙的补给。</w:t>
      </w:r>
    </w:p>
    <w:p w14:paraId="1F849412">
      <w:pPr>
        <w:keepNext w:val="0"/>
        <w:keepLines w:val="0"/>
        <w:pageBreakBefore w:val="0"/>
        <w:widowControl w:val="0"/>
        <w:kinsoku/>
        <w:wordWrap/>
        <w:overflowPunct/>
        <w:topLinePunct/>
        <w:autoSpaceDE w:val="0"/>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场址</w:t>
      </w:r>
      <w:r>
        <w:rPr>
          <w:rFonts w:hint="default" w:ascii="Times New Roman" w:hAnsi="Times New Roman" w:eastAsia="宋体" w:cs="Times New Roman"/>
          <w:color w:val="auto"/>
          <w:sz w:val="24"/>
          <w:highlight w:val="none"/>
        </w:rPr>
        <w:t>工程地质条件简单，从地质环境及区域构造分析，</w:t>
      </w:r>
      <w:r>
        <w:rPr>
          <w:rFonts w:hint="default" w:ascii="Times New Roman" w:hAnsi="Times New Roman" w:eastAsia="宋体" w:cs="Times New Roman"/>
          <w:color w:val="auto"/>
          <w:sz w:val="24"/>
          <w:highlight w:val="none"/>
          <w:lang w:eastAsia="zh-CN"/>
        </w:rPr>
        <w:t>场址</w:t>
      </w:r>
      <w:r>
        <w:rPr>
          <w:rFonts w:hint="default" w:ascii="Times New Roman" w:hAnsi="Times New Roman" w:eastAsia="宋体" w:cs="Times New Roman"/>
          <w:color w:val="auto"/>
          <w:sz w:val="24"/>
          <w:highlight w:val="none"/>
        </w:rPr>
        <w:t>无坍塌、滑坡、泥石流等不良工程地质作用。从地貌上看该场地属乌拉山山前冲洪积地层。按岩土工程性质分为两个单元层，分述如下：</w:t>
      </w:r>
    </w:p>
    <w:p w14:paraId="2D51E143">
      <w:pPr>
        <w:keepNext w:val="0"/>
        <w:keepLines w:val="0"/>
        <w:pageBreakBefore w:val="0"/>
        <w:widowControl w:val="0"/>
        <w:kinsoku/>
        <w:wordWrap/>
        <w:overflowPunct/>
        <w:topLinePunct/>
        <w:autoSpaceDE w:val="0"/>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按岩土工程性质可分为</w:t>
      </w:r>
      <w:r>
        <w:rPr>
          <w:rFonts w:hint="default" w:ascii="Times New Roman" w:hAnsi="Times New Roman" w:eastAsia="宋体" w:cs="Times New Roman"/>
          <w:color w:val="auto"/>
          <w:sz w:val="24"/>
          <w:highlight w:val="none"/>
          <w:lang w:eastAsia="zh-CN"/>
        </w:rPr>
        <w:t>两个</w:t>
      </w:r>
      <w:r>
        <w:rPr>
          <w:rFonts w:hint="default" w:ascii="Times New Roman" w:hAnsi="Times New Roman" w:eastAsia="宋体" w:cs="Times New Roman"/>
          <w:color w:val="auto"/>
          <w:sz w:val="24"/>
          <w:highlight w:val="none"/>
        </w:rPr>
        <w:t>单元层，分述如下：</w:t>
      </w:r>
    </w:p>
    <w:p w14:paraId="77D7A2A4">
      <w:pPr>
        <w:keepNext w:val="0"/>
        <w:keepLines w:val="0"/>
        <w:pageBreakBefore w:val="0"/>
        <w:widowControl w:val="0"/>
        <w:kinsoku/>
        <w:wordWrap/>
        <w:overflowPunct/>
        <w:topLinePunct/>
        <w:autoSpaceDE w:val="0"/>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第①层风积沙土层：黄褐色，稍湿，稍密状态，层厚约7-8米不等，在6米以下局部夹卵石或透镜体，层底标高在1123.65-1132.71m之间变化。</w:t>
      </w:r>
    </w:p>
    <w:p w14:paraId="5AEA22E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rPr>
        <w:t>第②层卵石层：黄褐色，稍湿、密实状态，该层在勘探深度范围内未揭穿</w:t>
      </w:r>
      <w:r>
        <w:rPr>
          <w:rFonts w:hint="default" w:ascii="Times New Roman" w:hAnsi="Times New Roman" w:eastAsia="宋体" w:cs="Times New Roman"/>
          <w:color w:val="auto"/>
          <w:highlight w:val="none"/>
        </w:rPr>
        <w:t>。</w:t>
      </w:r>
    </w:p>
    <w:p w14:paraId="6D5A16F7">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414" w:name="_Toc31473"/>
      <w:r>
        <w:rPr>
          <w:rFonts w:hint="default" w:ascii="Times New Roman" w:hAnsi="Times New Roman" w:eastAsia="宋体" w:cs="Times New Roman"/>
          <w:color w:val="auto"/>
          <w:highlight w:val="none"/>
        </w:rPr>
        <w:t>5.4.2地下水环境影响分析</w:t>
      </w:r>
      <w:bookmarkEnd w:id="414"/>
    </w:p>
    <w:p w14:paraId="6DBCAB7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污染物对地下水的影响主要是由于降雨或废水排放等通过垂直渗透进入包气带，进入包气带的污染物在物理、化学和生物作用下经吸附、转化、迁移和分解后输入地下水。因此，包气带是</w:t>
      </w:r>
      <w:r>
        <w:rPr>
          <w:rFonts w:hint="default" w:ascii="Times New Roman" w:hAnsi="Times New Roman" w:eastAsia="宋体" w:cs="Times New Roman"/>
          <w:color w:val="auto"/>
          <w:highlight w:val="none"/>
          <w:lang w:eastAsia="zh-CN"/>
        </w:rPr>
        <w:t>连接</w:t>
      </w:r>
      <w:r>
        <w:rPr>
          <w:rFonts w:hint="default" w:ascii="Times New Roman" w:hAnsi="Times New Roman" w:eastAsia="宋体" w:cs="Times New Roman"/>
          <w:color w:val="auto"/>
          <w:highlight w:val="none"/>
        </w:rPr>
        <w:t>地面污染物与地下含水层的主要通道和过渡带，既是污染物媒介体，又是污染物的净化场所和防护层。地下水能否被污染与土壤的渗透性密切相关，一般说来，土壤粒细而紧密，渗透性差，则污染慢；反之，颗粒大而松散，渗透性能良好则污染重。</w:t>
      </w:r>
    </w:p>
    <w:p w14:paraId="45956F80">
      <w:pPr>
        <w:pStyle w:val="6"/>
        <w:pageBreakBefore w:val="0"/>
        <w:kinsoku/>
        <w:wordWrap/>
        <w:bidi w:val="0"/>
        <w:snapToGrid w:val="0"/>
        <w:spacing w:before="0" w:after="0" w:line="360" w:lineRule="auto"/>
        <w:ind w:left="0" w:leftChars="0" w:right="0" w:rightChars="0"/>
        <w:outlineLvl w:val="2"/>
        <w:rPr>
          <w:rFonts w:hint="default" w:ascii="Times New Roman" w:hAnsi="Times New Roman" w:eastAsia="宋体" w:cs="Times New Roman"/>
          <w:color w:val="auto"/>
          <w:highlight w:val="none"/>
        </w:rPr>
      </w:pPr>
      <w:bookmarkStart w:id="415" w:name="_Toc26413"/>
      <w:bookmarkStart w:id="416" w:name="_Toc14501"/>
      <w:r>
        <w:rPr>
          <w:rFonts w:hint="default" w:ascii="Times New Roman" w:hAnsi="Times New Roman" w:eastAsia="宋体" w:cs="Times New Roman"/>
          <w:color w:val="auto"/>
          <w:highlight w:val="none"/>
        </w:rPr>
        <w:t>5.4.2.1地下水污染途径</w:t>
      </w:r>
      <w:bookmarkEnd w:id="415"/>
      <w:bookmarkEnd w:id="416"/>
    </w:p>
    <w:p w14:paraId="44C8B39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根据地下水地质条件、地下水补给、径流条件和排洪特点，分析本工程废水排放情况，可能造成的地下水污染途径有以下几种途径：</w:t>
      </w:r>
    </w:p>
    <w:p w14:paraId="5A51B8F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的防渗、防水措施不完善，而导致渗滤液、淋溶水渗入地下造成对地下水的污染；</w:t>
      </w:r>
    </w:p>
    <w:p w14:paraId="79D4492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lang w:eastAsia="zh-CN"/>
        </w:rPr>
        <w:t>化粪池</w:t>
      </w:r>
      <w:r>
        <w:rPr>
          <w:rFonts w:hint="default" w:ascii="Times New Roman" w:hAnsi="Times New Roman" w:eastAsia="宋体" w:cs="Times New Roman"/>
          <w:color w:val="auto"/>
          <w:highlight w:val="none"/>
        </w:rPr>
        <w:t>因基础防渗不足通过裂隙污染地下水；</w:t>
      </w:r>
    </w:p>
    <w:p w14:paraId="30D6EB2A">
      <w:pPr>
        <w:pStyle w:val="6"/>
        <w:pageBreakBefore w:val="0"/>
        <w:kinsoku/>
        <w:wordWrap/>
        <w:bidi w:val="0"/>
        <w:snapToGrid w:val="0"/>
        <w:spacing w:before="0" w:after="0" w:line="360" w:lineRule="auto"/>
        <w:ind w:left="0" w:leftChars="0" w:right="0" w:rightChars="0"/>
        <w:outlineLvl w:val="2"/>
        <w:rPr>
          <w:rFonts w:hint="default" w:ascii="Times New Roman" w:hAnsi="Times New Roman" w:eastAsia="宋体" w:cs="Times New Roman"/>
          <w:color w:val="auto"/>
          <w:highlight w:val="none"/>
        </w:rPr>
      </w:pPr>
      <w:bookmarkStart w:id="417" w:name="_Toc14811"/>
      <w:bookmarkStart w:id="418" w:name="_Toc544"/>
      <w:r>
        <w:rPr>
          <w:rFonts w:hint="default" w:ascii="Times New Roman" w:hAnsi="Times New Roman" w:eastAsia="宋体" w:cs="Times New Roman"/>
          <w:color w:val="auto"/>
          <w:highlight w:val="none"/>
        </w:rPr>
        <w:t>5.4.2.2地下水保护措施</w:t>
      </w:r>
      <w:bookmarkEnd w:id="417"/>
      <w:bookmarkEnd w:id="418"/>
    </w:p>
    <w:p w14:paraId="1330B6B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运营期对地下水环境的影响主要是事故性排放渗入地下可造成地下水中的硝酸盐含量过高。对此，本环评要求建设单位必须采取以下防范措施：</w:t>
      </w:r>
    </w:p>
    <w:p w14:paraId="3941820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①本项目雨污分离，无污水明沟布设。符合《畜禽养殖业污染防治技术规范》（HJ/T81-2001）规定，养殖场的排水系统应实施雨水和污水收集输送系统分离，在场区内设置的污水收集输送系统，不得采用明沟布设</w:t>
      </w:r>
      <w:r>
        <w:rPr>
          <w:rFonts w:hint="default" w:ascii="Times New Roman" w:hAnsi="Times New Roman" w:eastAsia="宋体" w:cs="Times New Roman"/>
          <w:color w:val="auto"/>
          <w:highlight w:val="none"/>
          <w:lang w:eastAsia="zh-CN"/>
        </w:rPr>
        <w:t>；</w:t>
      </w:r>
    </w:p>
    <w:p w14:paraId="3EAB20E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②牛粪贮存设施应采取有效的防渗处理工艺，防止粪便渗滤液污染地下水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根据《畜禽养殖业污染治理工程技术规范</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给排水工程构筑物结构设计规范》（GB50069-2002）等的要求实施防渗</w:t>
      </w:r>
      <w:r>
        <w:rPr>
          <w:rFonts w:hint="default" w:ascii="Times New Roman" w:hAnsi="Times New Roman" w:eastAsia="宋体" w:cs="Times New Roman"/>
          <w:color w:val="auto"/>
          <w:highlight w:val="none"/>
          <w:lang w:eastAsia="zh-CN"/>
        </w:rPr>
        <w:t>；</w:t>
      </w:r>
    </w:p>
    <w:p w14:paraId="13CEE46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lang w:eastAsia="zh-CN"/>
        </w:rPr>
        <w:t>充分做好排污管道的防渗处理，杜绝污水防漏，确保生活污水收集处理系统衔接良好，严格用水管理，防止污水“跑、冒、</w:t>
      </w:r>
      <w:r>
        <w:rPr>
          <w:rFonts w:hint="default" w:ascii="Times New Roman" w:hAnsi="Times New Roman" w:eastAsia="宋体" w:cs="Times New Roman"/>
          <w:color w:val="auto"/>
          <w:highlight w:val="none"/>
          <w:lang w:eastAsia="zh-CN"/>
        </w:rPr>
        <w:t>滴</w:t>
      </w:r>
      <w:r>
        <w:rPr>
          <w:rFonts w:hint="default" w:ascii="Times New Roman" w:hAnsi="Times New Roman" w:eastAsia="宋体" w:cs="Times New Roman"/>
          <w:color w:val="auto"/>
          <w:highlight w:val="none"/>
          <w:lang w:eastAsia="zh-CN"/>
        </w:rPr>
        <w:t>、漏”现象的发生；</w:t>
      </w:r>
    </w:p>
    <w:p w14:paraId="5197F24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④加强管理，牛舍、运动场产生的粪便做到日产日清，特别是雨天来临之前要及时清理干净</w:t>
      </w:r>
      <w:r>
        <w:rPr>
          <w:rFonts w:hint="default" w:ascii="Times New Roman" w:hAnsi="Times New Roman" w:eastAsia="宋体" w:cs="Times New Roman"/>
          <w:color w:val="auto"/>
          <w:highlight w:val="none"/>
          <w:lang w:eastAsia="zh-CN"/>
        </w:rPr>
        <w:t>；</w:t>
      </w:r>
    </w:p>
    <w:p w14:paraId="61E57EB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⑤场区地下水下游（场区</w:t>
      </w:r>
      <w:r>
        <w:rPr>
          <w:rFonts w:hint="default" w:ascii="Times New Roman" w:hAnsi="Times New Roman" w:eastAsia="宋体" w:cs="Times New Roman"/>
          <w:color w:val="auto"/>
          <w:highlight w:val="none"/>
          <w:lang w:eastAsia="zh-CN"/>
        </w:rPr>
        <w:t>南</w:t>
      </w:r>
      <w:r>
        <w:rPr>
          <w:rFonts w:hint="default" w:ascii="Times New Roman" w:hAnsi="Times New Roman" w:eastAsia="宋体" w:cs="Times New Roman"/>
          <w:color w:val="auto"/>
          <w:highlight w:val="none"/>
        </w:rPr>
        <w:t>侧）设置1个地下水监控井</w:t>
      </w:r>
      <w:r>
        <w:rPr>
          <w:rFonts w:hint="default" w:ascii="Times New Roman" w:hAnsi="Times New Roman" w:eastAsia="宋体" w:cs="Times New Roman"/>
          <w:color w:val="auto"/>
          <w:highlight w:val="none"/>
          <w:lang w:eastAsia="zh-CN"/>
        </w:rPr>
        <w:t>（坐标：N41°07'03"；E108°55'54"）</w:t>
      </w:r>
      <w:r>
        <w:rPr>
          <w:rFonts w:hint="default" w:ascii="Times New Roman" w:hAnsi="Times New Roman" w:eastAsia="宋体" w:cs="Times New Roman"/>
          <w:color w:val="auto"/>
          <w:highlight w:val="none"/>
        </w:rPr>
        <w:t>，便于发现地下水污染。根据项目区平面布置情况，本次环评要求对观测井水质进行跟踪监测，及时掌握场区地下水水质变化情况，水质指标异常时应立即开展调查，查找水质指标异常的原因，对损坏防渗膜及时采取措施进行修复。</w:t>
      </w:r>
    </w:p>
    <w:p w14:paraId="60BBC26C">
      <w:pPr>
        <w:pStyle w:val="6"/>
        <w:pageBreakBefore w:val="0"/>
        <w:kinsoku/>
        <w:wordWrap/>
        <w:bidi w:val="0"/>
        <w:snapToGrid w:val="0"/>
        <w:spacing w:before="0" w:after="0" w:line="360" w:lineRule="auto"/>
        <w:ind w:left="0" w:leftChars="0" w:right="0" w:rightChars="0"/>
        <w:outlineLvl w:val="2"/>
        <w:rPr>
          <w:rStyle w:val="46"/>
          <w:rFonts w:hint="default" w:ascii="Times New Roman" w:hAnsi="Times New Roman" w:eastAsia="宋体" w:cs="Times New Roman"/>
          <w:color w:val="auto"/>
          <w:highlight w:val="none"/>
          <w:u w:val="none"/>
        </w:rPr>
      </w:pPr>
      <w:bookmarkStart w:id="419" w:name="_Toc10308"/>
      <w:bookmarkStart w:id="420" w:name="_Toc8795"/>
      <w:r>
        <w:rPr>
          <w:rStyle w:val="46"/>
          <w:rFonts w:hint="default" w:ascii="Times New Roman" w:hAnsi="Times New Roman" w:eastAsia="宋体" w:cs="Times New Roman"/>
          <w:color w:val="auto"/>
          <w:highlight w:val="none"/>
          <w:u w:val="none"/>
        </w:rPr>
        <w:t>5.4.2.3采取防渗措施后对地下水影响分析</w:t>
      </w:r>
      <w:bookmarkEnd w:id="419"/>
      <w:bookmarkEnd w:id="420"/>
    </w:p>
    <w:p w14:paraId="277FEB2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根据本项目防渗措施，防渗工程渗透系数小于1.0×10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cm/s，厚度不低于0.5m，则污染质穿透防渗层的时间按下列公式计算：</w:t>
      </w:r>
    </w:p>
    <w:p w14:paraId="03B14F5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渗水通道：q=k（d+h）/d</w:t>
      </w:r>
    </w:p>
    <w:p w14:paraId="3F9AFF8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穿越时间：T=d/q；</w:t>
      </w:r>
    </w:p>
    <w:p w14:paraId="1A135D4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其中：</w:t>
      </w:r>
    </w:p>
    <w:p w14:paraId="6FB1CF2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T为污染质穿过防渗层的时间；</w:t>
      </w:r>
    </w:p>
    <w:p w14:paraId="40A7143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d为防渗层的厚度；</w:t>
      </w:r>
    </w:p>
    <w:p w14:paraId="08021E8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k为防渗层的渗透系数；</w:t>
      </w:r>
    </w:p>
    <w:p w14:paraId="3278C77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h为渗层上面的积水高度。</w:t>
      </w:r>
    </w:p>
    <w:p w14:paraId="6D288C1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假定防渗层积水高度为0.10m，防渗层厚度为0.5m，防渗层渗透系数为1.0×10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则计算防渗层的穿透时间为13.21年，即在防渗层上的持续积水0.10m的情况下，经过13.21年的污水才可穿过防渗层。而且污染物穿透防渗层进入包气带中，包气带对污染物有吸附和降解作用，因此，在采取铺设防渗层措施下，事故工况下渗出液进入地下水系统后对区域地下水影响程度和范围均较小。</w:t>
      </w:r>
    </w:p>
    <w:p w14:paraId="7719199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企业只要加强管理，在生产中严格按照操作规程，避免废水的事故性排放，运营期对地下水的影响很小。</w:t>
      </w:r>
    </w:p>
    <w:p w14:paraId="180378E4">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421" w:name="_Toc490143552"/>
      <w:bookmarkStart w:id="422" w:name="_Toc491351861"/>
      <w:bookmarkStart w:id="423" w:name="_Toc486320556"/>
      <w:bookmarkStart w:id="424" w:name="_Toc491351727"/>
      <w:bookmarkStart w:id="425" w:name="_Toc32341"/>
      <w:r>
        <w:rPr>
          <w:rFonts w:hint="default" w:ascii="Times New Roman" w:hAnsi="Times New Roman" w:eastAsia="宋体" w:cs="Times New Roman"/>
          <w:color w:val="auto"/>
          <w:highlight w:val="none"/>
        </w:rPr>
        <w:t>5.4.3预测结果分析评价</w:t>
      </w:r>
      <w:bookmarkEnd w:id="421"/>
      <w:bookmarkEnd w:id="422"/>
      <w:bookmarkEnd w:id="423"/>
      <w:bookmarkEnd w:id="424"/>
      <w:bookmarkEnd w:id="425"/>
    </w:p>
    <w:p w14:paraId="5CB50240">
      <w:pPr>
        <w:keepNext w:val="0"/>
        <w:keepLines w:val="0"/>
        <w:pageBreakBefore w:val="0"/>
        <w:widowControl w:val="0"/>
        <w:kinsoku/>
        <w:wordWrap/>
        <w:overflowPunct/>
        <w:topLinePunct w:val="0"/>
        <w:autoSpaceDE w:val="0"/>
        <w:autoSpaceDN/>
        <w:bidi w:val="0"/>
        <w:adjustRightInd/>
        <w:snapToGrid w:val="0"/>
        <w:spacing w:line="360" w:lineRule="auto"/>
        <w:ind w:left="0" w:leftChars="0" w:right="0" w:rightChars="0" w:firstLine="480" w:firstLineChars="200"/>
        <w:textAlignment w:val="auto"/>
        <w:outlineLvl w:val="2"/>
        <w:rPr>
          <w:rFonts w:hint="default" w:ascii="Times New Roman" w:hAnsi="Times New Roman" w:eastAsia="宋体" w:cs="Times New Roman"/>
          <w:color w:val="FF0000"/>
          <w:sz w:val="24"/>
          <w:szCs w:val="24"/>
          <w:highlight w:val="none"/>
        </w:rPr>
      </w:pPr>
      <w:bookmarkStart w:id="426" w:name="_Toc23642"/>
      <w:bookmarkStart w:id="427" w:name="_Toc19446"/>
      <w:r>
        <w:rPr>
          <w:rFonts w:hint="default" w:ascii="Times New Roman" w:hAnsi="Times New Roman" w:eastAsia="宋体" w:cs="Times New Roman"/>
          <w:color w:val="FF0000"/>
          <w:sz w:val="24"/>
          <w:szCs w:val="24"/>
          <w:highlight w:val="none"/>
        </w:rPr>
        <w:t>（1）预测范围</w:t>
      </w:r>
      <w:bookmarkEnd w:id="426"/>
      <w:bookmarkEnd w:id="427"/>
    </w:p>
    <w:p w14:paraId="63C4CF7E">
      <w:pPr>
        <w:keepNext w:val="0"/>
        <w:keepLines w:val="0"/>
        <w:pageBreakBefore w:val="0"/>
        <w:widowControl w:val="0"/>
        <w:kinsoku/>
        <w:wordWrap/>
        <w:overflowPunct/>
        <w:topLinePunct w:val="0"/>
        <w:autoSpaceDE w:val="0"/>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根据《环境影响评价技术导则地下水环境》（HJ610-2016）的要求，本次地下水环境影响评价预测范围以厂区所在区域为中心，以地下水流向为主轴的，面积约</w:t>
      </w:r>
      <w:r>
        <w:rPr>
          <w:rFonts w:hint="default" w:ascii="Times New Roman" w:hAnsi="Times New Roman" w:eastAsia="宋体" w:cs="Times New Roman"/>
          <w:color w:val="FF0000"/>
          <w:sz w:val="24"/>
          <w:szCs w:val="24"/>
          <w:highlight w:val="none"/>
          <w:lang w:val="en-US" w:eastAsia="zh-CN"/>
        </w:rPr>
        <w:t>6</w:t>
      </w:r>
      <w:r>
        <w:rPr>
          <w:rFonts w:hint="default" w:ascii="Times New Roman" w:hAnsi="Times New Roman" w:eastAsia="宋体" w:cs="Times New Roman"/>
          <w:color w:val="FF0000"/>
          <w:sz w:val="24"/>
          <w:szCs w:val="24"/>
          <w:highlight w:val="none"/>
        </w:rPr>
        <w:t>km</w:t>
      </w:r>
      <w:r>
        <w:rPr>
          <w:rFonts w:hint="default" w:ascii="Times New Roman" w:hAnsi="Times New Roman" w:eastAsia="宋体" w:cs="Times New Roman"/>
          <w:color w:val="FF0000"/>
          <w:sz w:val="24"/>
          <w:szCs w:val="24"/>
          <w:highlight w:val="none"/>
          <w:vertAlign w:val="superscript"/>
        </w:rPr>
        <w:t>2</w:t>
      </w:r>
      <w:r>
        <w:rPr>
          <w:rFonts w:hint="default" w:ascii="Times New Roman" w:hAnsi="Times New Roman" w:eastAsia="宋体" w:cs="Times New Roman"/>
          <w:color w:val="FF0000"/>
          <w:sz w:val="24"/>
          <w:szCs w:val="24"/>
          <w:highlight w:val="none"/>
        </w:rPr>
        <w:t>的区域；目的含水层确定为潜水含水层。</w:t>
      </w:r>
    </w:p>
    <w:p w14:paraId="21B8CFBB">
      <w:pPr>
        <w:keepNext w:val="0"/>
        <w:keepLines w:val="0"/>
        <w:pageBreakBefore w:val="0"/>
        <w:widowControl w:val="0"/>
        <w:kinsoku/>
        <w:wordWrap/>
        <w:overflowPunct/>
        <w:topLinePunct w:val="0"/>
        <w:autoSpaceDE w:val="0"/>
        <w:autoSpaceDN/>
        <w:bidi w:val="0"/>
        <w:adjustRightInd/>
        <w:snapToGrid w:val="0"/>
        <w:spacing w:line="360" w:lineRule="auto"/>
        <w:ind w:left="0" w:leftChars="0" w:right="0" w:rightChars="0" w:firstLine="480" w:firstLineChars="200"/>
        <w:textAlignment w:val="auto"/>
        <w:outlineLvl w:val="2"/>
        <w:rPr>
          <w:rFonts w:hint="default" w:ascii="Times New Roman" w:hAnsi="Times New Roman" w:eastAsia="宋体" w:cs="Times New Roman"/>
          <w:color w:val="FF0000"/>
          <w:sz w:val="24"/>
          <w:szCs w:val="24"/>
          <w:highlight w:val="none"/>
        </w:rPr>
      </w:pPr>
      <w:bookmarkStart w:id="428" w:name="_Toc13470"/>
      <w:bookmarkStart w:id="429" w:name="_Toc30759"/>
      <w:r>
        <w:rPr>
          <w:rFonts w:hint="default" w:ascii="Times New Roman" w:hAnsi="Times New Roman" w:eastAsia="宋体" w:cs="Times New Roman"/>
          <w:color w:val="FF0000"/>
          <w:sz w:val="24"/>
          <w:szCs w:val="24"/>
          <w:highlight w:val="none"/>
        </w:rPr>
        <w:t>（2）预测时段</w:t>
      </w:r>
      <w:bookmarkEnd w:id="428"/>
      <w:bookmarkEnd w:id="429"/>
    </w:p>
    <w:p w14:paraId="5C22EFE9">
      <w:pPr>
        <w:keepNext w:val="0"/>
        <w:keepLines w:val="0"/>
        <w:pageBreakBefore w:val="0"/>
        <w:widowControl w:val="0"/>
        <w:kinsoku/>
        <w:wordWrap/>
        <w:overflowPunct/>
        <w:topLinePunct w:val="0"/>
        <w:autoSpaceDE w:val="0"/>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地下水环境影响预测时段为泄漏发生后100d和1000d，和能反映特征因子迁移规律的其他时间节点。</w:t>
      </w:r>
    </w:p>
    <w:p w14:paraId="569AC8AC">
      <w:pPr>
        <w:keepNext w:val="0"/>
        <w:keepLines w:val="0"/>
        <w:pageBreakBefore w:val="0"/>
        <w:widowControl w:val="0"/>
        <w:kinsoku/>
        <w:wordWrap/>
        <w:overflowPunct/>
        <w:topLinePunct w:val="0"/>
        <w:autoSpaceDE w:val="0"/>
        <w:autoSpaceDN/>
        <w:bidi w:val="0"/>
        <w:adjustRightInd/>
        <w:snapToGrid w:val="0"/>
        <w:spacing w:line="360" w:lineRule="auto"/>
        <w:ind w:left="0" w:leftChars="0" w:right="0" w:rightChars="0" w:firstLine="480" w:firstLineChars="200"/>
        <w:textAlignment w:val="auto"/>
        <w:outlineLvl w:val="2"/>
        <w:rPr>
          <w:rFonts w:hint="default" w:ascii="Times New Roman" w:hAnsi="Times New Roman" w:eastAsia="宋体" w:cs="Times New Roman"/>
          <w:color w:val="FF0000"/>
          <w:sz w:val="24"/>
          <w:szCs w:val="24"/>
          <w:highlight w:val="none"/>
        </w:rPr>
      </w:pPr>
      <w:bookmarkStart w:id="430" w:name="_Toc26283"/>
      <w:bookmarkStart w:id="431" w:name="_Toc15432"/>
      <w:r>
        <w:rPr>
          <w:rFonts w:hint="default" w:ascii="Times New Roman" w:hAnsi="Times New Roman" w:eastAsia="宋体" w:cs="Times New Roman"/>
          <w:color w:val="FF0000"/>
          <w:sz w:val="24"/>
          <w:szCs w:val="24"/>
          <w:highlight w:val="none"/>
        </w:rPr>
        <w:t>（3）情景设置</w:t>
      </w:r>
      <w:bookmarkEnd w:id="430"/>
      <w:bookmarkEnd w:id="431"/>
    </w:p>
    <w:p w14:paraId="0AD35D14">
      <w:pPr>
        <w:keepNext w:val="0"/>
        <w:keepLines w:val="0"/>
        <w:pageBreakBefore w:val="0"/>
        <w:widowControl w:val="0"/>
        <w:kinsoku/>
        <w:wordWrap/>
        <w:overflowPunct/>
        <w:topLinePunct w:val="0"/>
        <w:autoSpaceDE w:val="0"/>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在非正常状况下，本项目选择粪污处理池作为预测对象。当发生粪污处理池底部防渗层破裂等情况时，发生废水泄漏，从而导致废水中污染物进入含水层，污染地下水。</w:t>
      </w:r>
    </w:p>
    <w:p w14:paraId="02F14C39">
      <w:pPr>
        <w:keepNext w:val="0"/>
        <w:keepLines w:val="0"/>
        <w:pageBreakBefore w:val="0"/>
        <w:widowControl w:val="0"/>
        <w:kinsoku/>
        <w:wordWrap/>
        <w:overflowPunct/>
        <w:topLinePunct w:val="0"/>
        <w:autoSpaceDE w:val="0"/>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0000FF"/>
          <w:sz w:val="24"/>
          <w:szCs w:val="24"/>
          <w:highlight w:val="none"/>
          <w:lang w:val="en-US" w:eastAsia="zh-CN"/>
        </w:rPr>
        <w:t>本项目</w:t>
      </w:r>
      <w:r>
        <w:rPr>
          <w:rFonts w:hint="default" w:ascii="Times New Roman" w:hAnsi="Times New Roman" w:eastAsia="宋体" w:cs="Times New Roman"/>
          <w:color w:val="0000FF"/>
          <w:sz w:val="24"/>
          <w:szCs w:val="24"/>
          <w:highlight w:val="none"/>
        </w:rPr>
        <w:t>粪污处理池有效容积为</w:t>
      </w:r>
      <w:r>
        <w:rPr>
          <w:rFonts w:hint="default" w:ascii="Times New Roman" w:hAnsi="Times New Roman" w:eastAsia="宋体" w:cs="Times New Roman"/>
          <w:color w:val="0000FF"/>
          <w:sz w:val="24"/>
          <w:szCs w:val="24"/>
          <w:highlight w:val="none"/>
          <w:lang w:val="en-US" w:eastAsia="zh-CN"/>
        </w:rPr>
        <w:t>2700</w:t>
      </w:r>
      <w:r>
        <w:rPr>
          <w:rFonts w:hint="default" w:ascii="Times New Roman" w:hAnsi="Times New Roman" w:eastAsia="宋体" w:cs="Times New Roman"/>
          <w:color w:val="0000FF"/>
          <w:sz w:val="24"/>
          <w:szCs w:val="24"/>
          <w:highlight w:val="none"/>
        </w:rPr>
        <w:t>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rPr>
        <w:t>，</w:t>
      </w:r>
      <w:r>
        <w:rPr>
          <w:rFonts w:hint="default" w:ascii="Times New Roman" w:hAnsi="Times New Roman" w:eastAsia="宋体" w:cs="Times New Roman"/>
          <w:color w:val="0000FF"/>
          <w:sz w:val="24"/>
          <w:szCs w:val="24"/>
          <w:highlight w:val="none"/>
          <w:lang w:val="en-US" w:eastAsia="zh-CN"/>
        </w:rPr>
        <w:t>满足</w:t>
      </w:r>
      <w:r>
        <w:rPr>
          <w:rFonts w:hint="default" w:ascii="Times New Roman" w:hAnsi="Times New Roman" w:eastAsia="宋体" w:cs="Times New Roman"/>
          <w:color w:val="0000FF"/>
          <w:sz w:val="24"/>
          <w:szCs w:val="24"/>
          <w:highlight w:val="none"/>
        </w:rPr>
        <w:t>《内蒙古自治区畜禽养殖主要污染物减排工程项目建设技术指南（试行）》（2014）“每头肉牛（出栏）不低于0.5m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rPr>
        <w:t>”要求。</w:t>
      </w:r>
    </w:p>
    <w:p w14:paraId="246DBBD5">
      <w:pPr>
        <w:keepNext w:val="0"/>
        <w:keepLines w:val="0"/>
        <w:pageBreakBefore w:val="0"/>
        <w:widowControl w:val="0"/>
        <w:kinsoku/>
        <w:wordWrap/>
        <w:overflowPunct/>
        <w:topLinePunct w:val="0"/>
        <w:autoSpaceDE w:val="0"/>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场区有员工工作、巡逻，利于及时发现粪污处理池泄漏并采取抢修措施，因此粪污处理池泄漏并下渗的情景为短暂泄漏下渗过程。</w:t>
      </w:r>
    </w:p>
    <w:p w14:paraId="34508109">
      <w:pPr>
        <w:keepNext w:val="0"/>
        <w:keepLines w:val="0"/>
        <w:pageBreakBefore w:val="0"/>
        <w:widowControl w:val="0"/>
        <w:kinsoku/>
        <w:wordWrap/>
        <w:overflowPunct/>
        <w:topLinePunct w:val="0"/>
        <w:autoSpaceDE w:val="0"/>
        <w:autoSpaceDN/>
        <w:bidi w:val="0"/>
        <w:adjustRightInd/>
        <w:snapToGrid w:val="0"/>
        <w:spacing w:line="360" w:lineRule="auto"/>
        <w:ind w:left="0" w:leftChars="0" w:right="0" w:rightChars="0" w:firstLine="480" w:firstLineChars="200"/>
        <w:textAlignment w:val="auto"/>
        <w:outlineLvl w:val="2"/>
        <w:rPr>
          <w:rFonts w:hint="default" w:ascii="Times New Roman" w:hAnsi="Times New Roman" w:eastAsia="宋体" w:cs="Times New Roman"/>
          <w:color w:val="FF0000"/>
          <w:sz w:val="24"/>
          <w:szCs w:val="24"/>
          <w:highlight w:val="none"/>
        </w:rPr>
      </w:pPr>
      <w:bookmarkStart w:id="432" w:name="_Toc32152"/>
      <w:bookmarkStart w:id="433" w:name="_Toc23369"/>
      <w:r>
        <w:rPr>
          <w:rFonts w:hint="default" w:ascii="Times New Roman" w:hAnsi="Times New Roman" w:eastAsia="宋体" w:cs="Times New Roman"/>
          <w:color w:val="FF0000"/>
          <w:sz w:val="24"/>
          <w:szCs w:val="24"/>
          <w:highlight w:val="none"/>
        </w:rPr>
        <w:t>（4）预测因子</w:t>
      </w:r>
      <w:bookmarkEnd w:id="432"/>
      <w:bookmarkEnd w:id="433"/>
    </w:p>
    <w:p w14:paraId="7FA69E10">
      <w:pPr>
        <w:keepNext w:val="0"/>
        <w:keepLines w:val="0"/>
        <w:pageBreakBefore w:val="0"/>
        <w:widowControl w:val="0"/>
        <w:kinsoku/>
        <w:wordWrap/>
        <w:overflowPunct/>
        <w:topLinePunct w:val="0"/>
        <w:autoSpaceDE w:val="0"/>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粪污处理池中污染物主要为NH</w:t>
      </w:r>
      <w:r>
        <w:rPr>
          <w:rFonts w:hint="default" w:ascii="Times New Roman" w:hAnsi="Times New Roman" w:eastAsia="宋体" w:cs="Times New Roman"/>
          <w:color w:val="FF0000"/>
          <w:sz w:val="24"/>
          <w:szCs w:val="24"/>
          <w:highlight w:val="none"/>
          <w:vertAlign w:val="subscript"/>
        </w:rPr>
        <w:t>3</w:t>
      </w:r>
      <w:r>
        <w:rPr>
          <w:rFonts w:hint="default" w:ascii="Times New Roman" w:hAnsi="Times New Roman" w:eastAsia="宋体" w:cs="Times New Roman"/>
          <w:color w:val="FF0000"/>
          <w:sz w:val="24"/>
          <w:szCs w:val="24"/>
          <w:highlight w:val="none"/>
        </w:rPr>
        <w:t>-N</w:t>
      </w:r>
    </w:p>
    <w:p w14:paraId="688F682F">
      <w:pPr>
        <w:keepNext w:val="0"/>
        <w:keepLines w:val="0"/>
        <w:pageBreakBefore w:val="0"/>
        <w:widowControl w:val="0"/>
        <w:kinsoku/>
        <w:wordWrap/>
        <w:overflowPunct/>
        <w:topLinePunct w:val="0"/>
        <w:autoSpaceDE w:val="0"/>
        <w:autoSpaceDN/>
        <w:bidi w:val="0"/>
        <w:adjustRightInd/>
        <w:snapToGrid w:val="0"/>
        <w:spacing w:line="360" w:lineRule="auto"/>
        <w:ind w:left="0" w:leftChars="0" w:right="0" w:rightChars="0" w:firstLine="480" w:firstLineChars="200"/>
        <w:textAlignment w:val="auto"/>
        <w:outlineLvl w:val="2"/>
        <w:rPr>
          <w:rFonts w:hint="default" w:ascii="Times New Roman" w:hAnsi="Times New Roman" w:eastAsia="宋体" w:cs="Times New Roman"/>
          <w:color w:val="FF0000"/>
          <w:sz w:val="24"/>
          <w:szCs w:val="24"/>
          <w:highlight w:val="none"/>
        </w:rPr>
      </w:pPr>
      <w:bookmarkStart w:id="434" w:name="_Toc21428"/>
      <w:bookmarkStart w:id="435" w:name="_Toc12451"/>
      <w:r>
        <w:rPr>
          <w:rFonts w:hint="default" w:ascii="Times New Roman" w:hAnsi="Times New Roman" w:eastAsia="宋体" w:cs="Times New Roman"/>
          <w:color w:val="FF0000"/>
          <w:sz w:val="24"/>
          <w:szCs w:val="24"/>
          <w:highlight w:val="none"/>
        </w:rPr>
        <w:t>（5）预测源强估算</w:t>
      </w:r>
      <w:bookmarkEnd w:id="434"/>
      <w:bookmarkEnd w:id="435"/>
    </w:p>
    <w:p w14:paraId="7C3D3107">
      <w:pPr>
        <w:keepNext w:val="0"/>
        <w:keepLines w:val="0"/>
        <w:pageBreakBefore w:val="0"/>
        <w:widowControl w:val="0"/>
        <w:kinsoku/>
        <w:wordWrap/>
        <w:overflowPunct/>
        <w:topLinePunct w:val="0"/>
        <w:autoSpaceDE w:val="0"/>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1）据文献资料《废水中氨氮在土壤处理系统中迁移转化的模拟研究》，包气带对污染物的吸附过程是线性的，即S=K</w:t>
      </w:r>
      <w:r>
        <w:rPr>
          <w:rFonts w:hint="default" w:ascii="Times New Roman" w:hAnsi="Times New Roman" w:eastAsia="宋体" w:cs="Times New Roman"/>
          <w:color w:val="FF0000"/>
          <w:sz w:val="24"/>
          <w:szCs w:val="24"/>
          <w:highlight w:val="none"/>
          <w:vertAlign w:val="subscript"/>
        </w:rPr>
        <w:t>d</w:t>
      </w:r>
      <w:r>
        <w:rPr>
          <w:rFonts w:hint="default" w:ascii="Times New Roman" w:hAnsi="Times New Roman" w:eastAsia="宋体" w:cs="Times New Roman"/>
          <w:color w:val="FF0000"/>
          <w:sz w:val="24"/>
          <w:szCs w:val="24"/>
          <w:highlight w:val="none"/>
        </w:rPr>
        <w:t>C，吸附系数K</w:t>
      </w:r>
      <w:r>
        <w:rPr>
          <w:rFonts w:hint="default" w:ascii="Times New Roman" w:hAnsi="Times New Roman" w:eastAsia="宋体" w:cs="Times New Roman"/>
          <w:color w:val="FF0000"/>
          <w:sz w:val="24"/>
          <w:szCs w:val="24"/>
          <w:highlight w:val="none"/>
          <w:vertAlign w:val="subscript"/>
        </w:rPr>
        <w:t>d</w:t>
      </w:r>
      <w:r>
        <w:rPr>
          <w:rFonts w:hint="default" w:ascii="Times New Roman" w:hAnsi="Times New Roman" w:eastAsia="宋体" w:cs="Times New Roman"/>
          <w:color w:val="FF0000"/>
          <w:sz w:val="24"/>
          <w:szCs w:val="24"/>
          <w:highlight w:val="none"/>
        </w:rPr>
        <w:t>=0.0976；降解曲线符合一级动力学方程，即C=C</w:t>
      </w:r>
      <w:r>
        <w:rPr>
          <w:rFonts w:hint="default" w:ascii="Times New Roman" w:hAnsi="Times New Roman" w:eastAsia="宋体" w:cs="Times New Roman"/>
          <w:color w:val="FF0000"/>
          <w:sz w:val="24"/>
          <w:szCs w:val="24"/>
          <w:highlight w:val="none"/>
          <w:vertAlign w:val="subscript"/>
        </w:rPr>
        <w:t>0</w:t>
      </w:r>
      <w:r>
        <w:rPr>
          <w:rFonts w:hint="default" w:ascii="Times New Roman" w:hAnsi="Times New Roman" w:eastAsia="宋体" w:cs="Times New Roman"/>
          <w:color w:val="FF0000"/>
          <w:sz w:val="24"/>
          <w:szCs w:val="24"/>
          <w:highlight w:val="none"/>
        </w:rPr>
        <w:t>e</w:t>
      </w:r>
      <w:r>
        <w:rPr>
          <w:rFonts w:hint="default" w:ascii="Times New Roman" w:hAnsi="Times New Roman" w:eastAsia="宋体" w:cs="Times New Roman"/>
          <w:color w:val="FF0000"/>
          <w:sz w:val="24"/>
          <w:szCs w:val="24"/>
          <w:highlight w:val="none"/>
          <w:vertAlign w:val="superscript"/>
        </w:rPr>
        <w:t>-λt</w:t>
      </w:r>
      <w:r>
        <w:rPr>
          <w:rFonts w:hint="default" w:ascii="Times New Roman" w:hAnsi="Times New Roman" w:eastAsia="宋体" w:cs="Times New Roman"/>
          <w:color w:val="FF0000"/>
          <w:sz w:val="24"/>
          <w:szCs w:val="24"/>
          <w:highlight w:val="none"/>
        </w:rPr>
        <w:t>，降解系数λ=0.0324d</w:t>
      </w:r>
      <w:r>
        <w:rPr>
          <w:rFonts w:hint="default" w:ascii="Times New Roman" w:hAnsi="Times New Roman" w:eastAsia="宋体" w:cs="Times New Roman"/>
          <w:color w:val="FF0000"/>
          <w:sz w:val="24"/>
          <w:szCs w:val="24"/>
          <w:highlight w:val="none"/>
          <w:vertAlign w:val="superscript"/>
        </w:rPr>
        <w:t>-1</w:t>
      </w:r>
      <w:r>
        <w:rPr>
          <w:rFonts w:hint="default" w:ascii="Times New Roman" w:hAnsi="Times New Roman" w:eastAsia="宋体" w:cs="Times New Roman"/>
          <w:color w:val="FF0000"/>
          <w:sz w:val="24"/>
          <w:szCs w:val="24"/>
          <w:highlight w:val="none"/>
        </w:rPr>
        <w:t>。在没有底部、侧部和顶部的防护系统的情况下大致需要6d，污染能穿透1m的包气带土层；10d能穿透2m的包气带土层；23天后污染物浓度会降为0。由此可知，NH</w:t>
      </w:r>
      <w:r>
        <w:rPr>
          <w:rFonts w:hint="default" w:ascii="Times New Roman" w:hAnsi="Times New Roman" w:eastAsia="宋体" w:cs="Times New Roman"/>
          <w:color w:val="FF0000"/>
          <w:sz w:val="24"/>
          <w:szCs w:val="24"/>
          <w:highlight w:val="none"/>
          <w:vertAlign w:val="subscript"/>
        </w:rPr>
        <w:t>3</w:t>
      </w:r>
      <w:r>
        <w:rPr>
          <w:rFonts w:hint="default" w:ascii="Times New Roman" w:hAnsi="Times New Roman" w:eastAsia="宋体" w:cs="Times New Roman"/>
          <w:color w:val="FF0000"/>
          <w:sz w:val="24"/>
          <w:szCs w:val="24"/>
          <w:highlight w:val="none"/>
        </w:rPr>
        <w:t>-N基本上不会到达地下水层，因此，正常工况下，本项目NH</w:t>
      </w:r>
      <w:r>
        <w:rPr>
          <w:rFonts w:hint="default" w:ascii="Times New Roman" w:hAnsi="Times New Roman" w:eastAsia="宋体" w:cs="Times New Roman"/>
          <w:color w:val="FF0000"/>
          <w:sz w:val="24"/>
          <w:szCs w:val="24"/>
          <w:highlight w:val="none"/>
          <w:vertAlign w:val="subscript"/>
        </w:rPr>
        <w:t>3</w:t>
      </w:r>
      <w:r>
        <w:rPr>
          <w:rFonts w:hint="default" w:ascii="Times New Roman" w:hAnsi="Times New Roman" w:eastAsia="宋体" w:cs="Times New Roman"/>
          <w:color w:val="FF0000"/>
          <w:sz w:val="24"/>
          <w:szCs w:val="24"/>
          <w:highlight w:val="none"/>
        </w:rPr>
        <w:t>-N排放对地下水不会产生较大影响。</w:t>
      </w:r>
    </w:p>
    <w:p w14:paraId="39DB6E8F">
      <w:pPr>
        <w:keepNext w:val="0"/>
        <w:keepLines w:val="0"/>
        <w:pageBreakBefore w:val="0"/>
        <w:widowControl w:val="0"/>
        <w:kinsoku/>
        <w:wordWrap/>
        <w:overflow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FF0000"/>
          <w:sz w:val="24"/>
          <w:szCs w:val="24"/>
          <w:highlight w:val="none"/>
        </w:rPr>
        <w:t>2）事故工况下，本项目事故主要考虑</w:t>
      </w:r>
      <w:r>
        <w:rPr>
          <w:rFonts w:hint="default" w:ascii="Times New Roman" w:hAnsi="Times New Roman" w:eastAsia="宋体" w:cs="Times New Roman"/>
          <w:color w:val="FF0000"/>
          <w:sz w:val="24"/>
          <w:szCs w:val="24"/>
          <w:highlight w:val="none"/>
          <w:lang w:eastAsia="zh-CN"/>
        </w:rPr>
        <w:t>粪污处理池底部防渗层</w:t>
      </w:r>
      <w:r>
        <w:rPr>
          <w:rFonts w:hint="default" w:ascii="Times New Roman" w:hAnsi="Times New Roman" w:eastAsia="宋体" w:cs="Times New Roman"/>
          <w:color w:val="FF0000"/>
          <w:sz w:val="24"/>
          <w:szCs w:val="24"/>
          <w:highlight w:val="none"/>
        </w:rPr>
        <w:t>的渗漏问题，此时污染物直接进入表土层，其浓度能在瞬间达到最大值，但是通过表土层以及包气带土层的降解作用，到达地下水埋深时其浓度很小，对地下水影响不大。考虑渗漏时间较长，包气带土层中污染物含量处于饱和状态，无法再降解，此时污染物就会出现下渗，可能会对地下水产生一定的污染</w:t>
      </w:r>
      <w:r>
        <w:rPr>
          <w:rFonts w:hint="default" w:ascii="Times New Roman" w:hAnsi="Times New Roman" w:eastAsia="宋体" w:cs="Times New Roman"/>
          <w:color w:val="FF0000"/>
          <w:highlight w:val="none"/>
        </w:rPr>
        <w:t>。</w:t>
      </w:r>
    </w:p>
    <w:p w14:paraId="09597536">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436" w:name="_Toc23148"/>
      <w:r>
        <w:rPr>
          <w:rFonts w:hint="default" w:ascii="Times New Roman" w:hAnsi="Times New Roman" w:eastAsia="宋体" w:cs="Times New Roman"/>
          <w:color w:val="auto"/>
          <w:highlight w:val="none"/>
        </w:rPr>
        <w:t>5.5运营期土壤环境影响分析</w:t>
      </w:r>
      <w:bookmarkEnd w:id="436"/>
    </w:p>
    <w:p w14:paraId="3410FEF3">
      <w:pPr>
        <w:pStyle w:val="5"/>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bookmarkStart w:id="437" w:name="_Toc46421143"/>
      <w:bookmarkStart w:id="438" w:name="_Toc25999"/>
      <w:bookmarkStart w:id="439" w:name="_Toc18052327"/>
      <w:r>
        <w:rPr>
          <w:rFonts w:hint="default" w:ascii="Times New Roman" w:hAnsi="Times New Roman" w:eastAsia="宋体" w:cs="Times New Roman"/>
          <w:color w:val="auto"/>
          <w:highlight w:val="none"/>
        </w:rPr>
        <w:t>5.5.</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环境影响识别</w:t>
      </w:r>
      <w:bookmarkEnd w:id="437"/>
      <w:bookmarkEnd w:id="438"/>
    </w:p>
    <w:p w14:paraId="2A8B5536">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5.5.</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.1项目类别</w:t>
      </w:r>
    </w:p>
    <w:p w14:paraId="165655D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highlight w:val="none"/>
          <w:lang w:eastAsia="zh-CN"/>
        </w:rPr>
        <w:t>《环境影响评价技术导则土壤环境（试行）》</w:t>
      </w:r>
      <w:r>
        <w:rPr>
          <w:rFonts w:hint="default" w:ascii="Times New Roman" w:hAnsi="Times New Roman" w:eastAsia="宋体" w:cs="Times New Roman"/>
          <w:color w:val="auto"/>
          <w:highlight w:val="none"/>
        </w:rPr>
        <w:t>（HJ964-2018）附表A.1，本项目属于农林牧渔业，项目类别为Ⅲ类。</w:t>
      </w:r>
    </w:p>
    <w:p w14:paraId="67D79D7C">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5.5.</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.2影响类型及途径</w:t>
      </w:r>
    </w:p>
    <w:p w14:paraId="0731886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营运期粪污废水在事故状况下将下渗会对土壤造成垂直入渗影响，项目不涉及酸、碱、盐类物质，不会造成土壤酸化、碱化和盐化。</w:t>
      </w:r>
    </w:p>
    <w:p w14:paraId="1CA156E1">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bidi="ar"/>
        </w:rPr>
        <w:t>表</w:t>
      </w:r>
      <w:r>
        <w:rPr>
          <w:rFonts w:hint="default" w:ascii="Times New Roman" w:hAnsi="Times New Roman" w:eastAsia="宋体" w:cs="Times New Roman"/>
          <w:color w:val="auto"/>
          <w:highlight w:val="none"/>
        </w:rPr>
        <w:t>5.5-1</w:t>
      </w:r>
      <w:r>
        <w:rPr>
          <w:rFonts w:hint="default" w:ascii="Times New Roman" w:hAnsi="Times New Roman" w:eastAsia="宋体" w:cs="Times New Roman"/>
          <w:color w:val="auto"/>
          <w:highlight w:val="none"/>
          <w:lang w:bidi="ar"/>
        </w:rPr>
        <w:t>建设项目土壤环境影响类型与影响途径表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1500"/>
        <w:gridCol w:w="1211"/>
        <w:gridCol w:w="1211"/>
        <w:gridCol w:w="1211"/>
        <w:gridCol w:w="628"/>
        <w:gridCol w:w="627"/>
        <w:gridCol w:w="628"/>
        <w:gridCol w:w="628"/>
        <w:gridCol w:w="633"/>
      </w:tblGrid>
      <w:tr w14:paraId="7EF6ECD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635" w:type="dxa"/>
            <w:vMerge w:val="restar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E083BA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不同时段</w:t>
            </w:r>
          </w:p>
        </w:tc>
        <w:tc>
          <w:tcPr>
            <w:tcW w:w="4636" w:type="dxa"/>
            <w:gridSpan w:val="4"/>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40AF83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污染影响型</w:t>
            </w:r>
          </w:p>
        </w:tc>
        <w:tc>
          <w:tcPr>
            <w:tcW w:w="2732" w:type="dxa"/>
            <w:gridSpan w:val="4"/>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A258FA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生态影响型</w:t>
            </w:r>
          </w:p>
        </w:tc>
      </w:tr>
      <w:tr w14:paraId="1A41B83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635"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149D67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318"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D2F21A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大气沉降</w:t>
            </w:r>
          </w:p>
        </w:tc>
        <w:tc>
          <w:tcPr>
            <w:tcW w:w="1318"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8B2EB9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地面漫流</w:t>
            </w:r>
          </w:p>
        </w:tc>
        <w:tc>
          <w:tcPr>
            <w:tcW w:w="1318"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0418A0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垂直入渗</w:t>
            </w:r>
          </w:p>
        </w:tc>
        <w:tc>
          <w:tcPr>
            <w:tcW w:w="68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14A7BD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其他</w:t>
            </w:r>
          </w:p>
        </w:tc>
        <w:tc>
          <w:tcPr>
            <w:tcW w:w="68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0C4A76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盐化</w:t>
            </w:r>
          </w:p>
        </w:tc>
        <w:tc>
          <w:tcPr>
            <w:tcW w:w="68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BE8C02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碱化</w:t>
            </w:r>
          </w:p>
        </w:tc>
        <w:tc>
          <w:tcPr>
            <w:tcW w:w="68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A6F30F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酸化</w:t>
            </w:r>
          </w:p>
        </w:tc>
        <w:tc>
          <w:tcPr>
            <w:tcW w:w="68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3C1981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其他</w:t>
            </w:r>
          </w:p>
        </w:tc>
      </w:tr>
      <w:tr w14:paraId="386E2FC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635"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7597FA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建设期</w:t>
            </w:r>
          </w:p>
        </w:tc>
        <w:tc>
          <w:tcPr>
            <w:tcW w:w="1318"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A7D90F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318"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118A7A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318"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560642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C6B9E4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68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5FD519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EB2C83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FD8E43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68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D3EF8A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14:paraId="066D828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635"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A29B45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运营期</w:t>
            </w:r>
          </w:p>
        </w:tc>
        <w:tc>
          <w:tcPr>
            <w:tcW w:w="1318"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0CADB7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318"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607BFD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318"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621D0A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68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AB4B84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68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D1EE67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3338DA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A37EB0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68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D739F9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14:paraId="47AB10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635"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F410D2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服务期满后</w:t>
            </w:r>
          </w:p>
        </w:tc>
        <w:tc>
          <w:tcPr>
            <w:tcW w:w="1318"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E0FBEB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318"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7B3312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318"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C53AA8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99166A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681"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F42D4E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BF981D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68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DC975A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68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AEDB47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bl>
    <w:p w14:paraId="4236E8B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由上表可知，拟建项目影响途径主要为运营期垂直入渗污染，因此拟建项目土壤环境影响途径为“污染影响型”。</w:t>
      </w:r>
    </w:p>
    <w:p w14:paraId="38004EA0">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5.5.</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.3影响源及影响因子</w:t>
      </w:r>
    </w:p>
    <w:p w14:paraId="3C50D34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拟建项目土壤环境影响源及影响因子识别结果参见下表。</w:t>
      </w:r>
    </w:p>
    <w:p w14:paraId="27387A6D">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default" w:ascii="Times New Roman" w:hAnsi="Times New Roman" w:eastAsia="宋体" w:cs="Times New Roman"/>
          <w:color w:val="auto"/>
          <w:kern w:val="0"/>
          <w:highlight w:val="none"/>
          <w:lang w:bidi="ar"/>
        </w:rPr>
        <w:t>5.5-2</w:t>
      </w:r>
      <w:r>
        <w:rPr>
          <w:rFonts w:hint="default" w:ascii="Times New Roman" w:hAnsi="Times New Roman" w:eastAsia="宋体" w:cs="Times New Roman"/>
          <w:color w:val="auto"/>
          <w:highlight w:val="none"/>
        </w:rPr>
        <w:t>土壤环境影响源及影响因子识别表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911"/>
        <w:gridCol w:w="1191"/>
        <w:gridCol w:w="1042"/>
        <w:gridCol w:w="2675"/>
        <w:gridCol w:w="1544"/>
        <w:gridCol w:w="914"/>
      </w:tblGrid>
      <w:tr w14:paraId="5AEBE2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990"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4B07D5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bidi="ar"/>
              </w:rPr>
            </w:pPr>
            <w:r>
              <w:rPr>
                <w:rFonts w:hint="default" w:ascii="Times New Roman" w:hAnsi="Times New Roman" w:eastAsia="宋体" w:cs="Times New Roman"/>
                <w:color w:val="auto"/>
                <w:sz w:val="21"/>
                <w:szCs w:val="20"/>
                <w:highlight w:val="none"/>
                <w:lang w:bidi="ar"/>
              </w:rPr>
              <w:t>污染源</w:t>
            </w:r>
          </w:p>
        </w:tc>
        <w:tc>
          <w:tcPr>
            <w:tcW w:w="1295"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664E97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bidi="ar"/>
              </w:rPr>
            </w:pPr>
            <w:r>
              <w:rPr>
                <w:rFonts w:hint="default" w:ascii="Times New Roman" w:hAnsi="Times New Roman" w:eastAsia="宋体" w:cs="Times New Roman"/>
                <w:color w:val="auto"/>
                <w:sz w:val="21"/>
                <w:szCs w:val="20"/>
                <w:highlight w:val="none"/>
                <w:lang w:bidi="ar"/>
              </w:rPr>
              <w:t>工艺流程/节点</w:t>
            </w:r>
          </w:p>
        </w:tc>
        <w:tc>
          <w:tcPr>
            <w:tcW w:w="1133"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7739FB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bidi="ar"/>
              </w:rPr>
            </w:pPr>
            <w:r>
              <w:rPr>
                <w:rFonts w:hint="default" w:ascii="Times New Roman" w:hAnsi="Times New Roman" w:eastAsia="宋体" w:cs="Times New Roman"/>
                <w:color w:val="auto"/>
                <w:sz w:val="21"/>
                <w:szCs w:val="20"/>
                <w:highlight w:val="none"/>
                <w:lang w:bidi="ar"/>
              </w:rPr>
              <w:t>污染途径</w:t>
            </w:r>
          </w:p>
        </w:tc>
        <w:tc>
          <w:tcPr>
            <w:tcW w:w="2913"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6378EC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bidi="ar"/>
              </w:rPr>
            </w:pPr>
            <w:r>
              <w:rPr>
                <w:rFonts w:hint="default" w:ascii="Times New Roman" w:hAnsi="Times New Roman" w:eastAsia="宋体" w:cs="Times New Roman"/>
                <w:color w:val="auto"/>
                <w:sz w:val="21"/>
                <w:szCs w:val="20"/>
                <w:highlight w:val="none"/>
                <w:lang w:bidi="ar"/>
              </w:rPr>
              <w:t>全部污染物指标</w:t>
            </w:r>
          </w:p>
        </w:tc>
        <w:tc>
          <w:tcPr>
            <w:tcW w:w="1680"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87C8B3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bidi="ar"/>
              </w:rPr>
            </w:pPr>
            <w:r>
              <w:rPr>
                <w:rFonts w:hint="default" w:ascii="Times New Roman" w:hAnsi="Times New Roman" w:eastAsia="宋体" w:cs="Times New Roman"/>
                <w:color w:val="auto"/>
                <w:sz w:val="21"/>
                <w:szCs w:val="20"/>
                <w:highlight w:val="none"/>
                <w:lang w:bidi="ar"/>
              </w:rPr>
              <w:t>特征因子</w:t>
            </w:r>
          </w:p>
        </w:tc>
        <w:tc>
          <w:tcPr>
            <w:tcW w:w="99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4D0127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bidi="ar"/>
              </w:rPr>
            </w:pPr>
            <w:r>
              <w:rPr>
                <w:rFonts w:hint="default" w:ascii="Times New Roman" w:hAnsi="Times New Roman" w:eastAsia="宋体" w:cs="Times New Roman"/>
                <w:color w:val="auto"/>
                <w:sz w:val="21"/>
                <w:szCs w:val="20"/>
                <w:highlight w:val="none"/>
                <w:lang w:bidi="ar"/>
              </w:rPr>
              <w:t>备注</w:t>
            </w:r>
          </w:p>
        </w:tc>
      </w:tr>
      <w:tr w14:paraId="3D97E33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990"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A2516F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eastAsia="zh-CN" w:bidi="ar"/>
              </w:rPr>
            </w:pPr>
            <w:r>
              <w:rPr>
                <w:rFonts w:hint="default" w:ascii="Times New Roman" w:hAnsi="Times New Roman" w:eastAsia="宋体" w:cs="Times New Roman"/>
                <w:color w:val="auto"/>
                <w:sz w:val="21"/>
                <w:szCs w:val="20"/>
                <w:highlight w:val="none"/>
                <w:lang w:eastAsia="zh-CN" w:bidi="ar"/>
              </w:rPr>
              <w:t>粪污处理池</w:t>
            </w:r>
          </w:p>
        </w:tc>
        <w:tc>
          <w:tcPr>
            <w:tcW w:w="1295"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BB6E77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eastAsia="zh-CN" w:bidi="ar"/>
              </w:rPr>
            </w:pPr>
            <w:r>
              <w:rPr>
                <w:rFonts w:hint="default" w:ascii="Times New Roman" w:hAnsi="Times New Roman" w:eastAsia="宋体" w:cs="Times New Roman"/>
                <w:color w:val="auto"/>
                <w:sz w:val="21"/>
                <w:szCs w:val="20"/>
                <w:highlight w:val="none"/>
                <w:lang w:eastAsia="zh-CN" w:bidi="ar"/>
              </w:rPr>
              <w:t>牛粪便</w:t>
            </w:r>
          </w:p>
        </w:tc>
        <w:tc>
          <w:tcPr>
            <w:tcW w:w="1133"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4F50B9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bidi="ar"/>
              </w:rPr>
            </w:pPr>
            <w:r>
              <w:rPr>
                <w:rFonts w:hint="default" w:ascii="Times New Roman" w:hAnsi="Times New Roman" w:eastAsia="宋体" w:cs="Times New Roman"/>
                <w:color w:val="auto"/>
                <w:sz w:val="21"/>
                <w:szCs w:val="20"/>
                <w:highlight w:val="none"/>
                <w:lang w:bidi="ar"/>
              </w:rPr>
              <w:t>垂直入渗</w:t>
            </w:r>
          </w:p>
        </w:tc>
        <w:tc>
          <w:tcPr>
            <w:tcW w:w="2913"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67EDD1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0"/>
                <w:highlight w:val="none"/>
                <w:lang w:bidi="ar"/>
              </w:rPr>
            </w:pPr>
            <w:r>
              <w:rPr>
                <w:rFonts w:hint="default" w:ascii="Times New Roman" w:hAnsi="Times New Roman" w:eastAsia="宋体" w:cs="Times New Roman"/>
                <w:color w:val="0000FF"/>
                <w:sz w:val="21"/>
                <w:szCs w:val="20"/>
                <w:highlight w:val="none"/>
                <w:lang w:bidi="ar"/>
              </w:rPr>
              <w:t>COD、SS、BOD</w:t>
            </w:r>
            <w:r>
              <w:rPr>
                <w:rFonts w:hint="default" w:ascii="Times New Roman" w:hAnsi="Times New Roman" w:eastAsia="宋体" w:cs="Times New Roman"/>
                <w:color w:val="0000FF"/>
                <w:sz w:val="21"/>
                <w:szCs w:val="20"/>
                <w:highlight w:val="none"/>
                <w:vertAlign w:val="subscript"/>
                <w:lang w:bidi="ar"/>
              </w:rPr>
              <w:t>5</w:t>
            </w:r>
            <w:r>
              <w:rPr>
                <w:rFonts w:hint="default" w:ascii="Times New Roman" w:hAnsi="Times New Roman" w:eastAsia="宋体" w:cs="Times New Roman"/>
                <w:color w:val="0000FF"/>
                <w:sz w:val="21"/>
                <w:szCs w:val="20"/>
                <w:highlight w:val="none"/>
                <w:lang w:bidi="ar"/>
              </w:rPr>
              <w:t>、氨氮</w:t>
            </w:r>
          </w:p>
        </w:tc>
        <w:tc>
          <w:tcPr>
            <w:tcW w:w="1680"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74E402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0"/>
                <w:highlight w:val="none"/>
                <w:lang w:eastAsia="zh-CN" w:bidi="ar"/>
              </w:rPr>
            </w:pPr>
            <w:r>
              <w:rPr>
                <w:rFonts w:hint="default" w:ascii="Times New Roman" w:hAnsi="Times New Roman" w:eastAsia="宋体" w:cs="Times New Roman"/>
                <w:color w:val="0000FF"/>
                <w:sz w:val="21"/>
                <w:szCs w:val="20"/>
                <w:highlight w:val="none"/>
                <w:lang w:val="en-US" w:eastAsia="zh-CN" w:bidi="ar"/>
              </w:rPr>
              <w:t>/</w:t>
            </w:r>
          </w:p>
        </w:tc>
        <w:tc>
          <w:tcPr>
            <w:tcW w:w="992"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7C65EC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bidi="ar"/>
              </w:rPr>
            </w:pPr>
            <w:r>
              <w:rPr>
                <w:rFonts w:hint="default" w:ascii="Times New Roman" w:hAnsi="Times New Roman" w:eastAsia="宋体" w:cs="Times New Roman"/>
                <w:color w:val="auto"/>
                <w:sz w:val="21"/>
                <w:szCs w:val="20"/>
                <w:highlight w:val="none"/>
                <w:lang w:bidi="ar"/>
              </w:rPr>
              <w:t>事故</w:t>
            </w:r>
          </w:p>
        </w:tc>
      </w:tr>
    </w:tbl>
    <w:p w14:paraId="6E487A61">
      <w:pPr>
        <w:pStyle w:val="5"/>
        <w:pageBreakBefore w:val="0"/>
        <w:widowControl w:val="0"/>
        <w:kinsoku/>
        <w:wordWrap/>
        <w:overflowPunct/>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bookmarkStart w:id="440" w:name="_Toc46421144"/>
      <w:bookmarkStart w:id="441" w:name="_Toc30450"/>
      <w:r>
        <w:rPr>
          <w:rFonts w:hint="default" w:ascii="Times New Roman" w:hAnsi="Times New Roman" w:eastAsia="宋体" w:cs="Times New Roman"/>
          <w:color w:val="auto"/>
          <w:highlight w:val="none"/>
        </w:rPr>
        <w:t>5.5.</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理化调查与评价</w:t>
      </w:r>
      <w:bookmarkEnd w:id="440"/>
      <w:bookmarkEnd w:id="441"/>
    </w:p>
    <w:p w14:paraId="09DA653F">
      <w:pPr>
        <w:pStyle w:val="6"/>
        <w:pageBreakBefore w:val="0"/>
        <w:widowControl w:val="0"/>
        <w:kinsoku/>
        <w:wordWrap/>
        <w:overflowPunct/>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5.5.</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.1调查范围</w:t>
      </w:r>
    </w:p>
    <w:p w14:paraId="3B2CBEF6">
      <w:pPr>
        <w:pageBreakBefore w:val="0"/>
        <w:widowControl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highlight w:val="none"/>
          <w:lang w:eastAsia="zh-CN"/>
        </w:rPr>
        <w:t>《环境影响评价技术导则土壤环境（试行）》</w:t>
      </w:r>
      <w:r>
        <w:rPr>
          <w:rFonts w:hint="default" w:ascii="Times New Roman" w:hAnsi="Times New Roman" w:eastAsia="宋体" w:cs="Times New Roman"/>
          <w:color w:val="auto"/>
          <w:highlight w:val="none"/>
        </w:rPr>
        <w:t>（HJ964-2018），结合项目特征，土壤现状调查范围为项目占地范围及占地范围外0.</w:t>
      </w:r>
      <w:r>
        <w:rPr>
          <w:rFonts w:hint="default" w:ascii="Times New Roman" w:hAnsi="Times New Roman" w:eastAsia="宋体" w:cs="Times New Roman"/>
          <w:color w:val="auto"/>
          <w:highlight w:val="none"/>
          <w:lang w:val="en-US" w:eastAsia="zh-CN"/>
        </w:rPr>
        <w:t>05</w:t>
      </w:r>
      <w:r>
        <w:rPr>
          <w:rFonts w:hint="default" w:ascii="Times New Roman" w:hAnsi="Times New Roman" w:eastAsia="宋体" w:cs="Times New Roman"/>
          <w:color w:val="auto"/>
          <w:highlight w:val="none"/>
        </w:rPr>
        <w:t>km范围。</w:t>
      </w:r>
    </w:p>
    <w:p w14:paraId="39371840">
      <w:pPr>
        <w:pStyle w:val="6"/>
        <w:pageBreakBefore w:val="0"/>
        <w:widowControl w:val="0"/>
        <w:kinsoku/>
        <w:wordWrap/>
        <w:overflowPunct/>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5.5.</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.2敏感目标</w:t>
      </w:r>
    </w:p>
    <w:p w14:paraId="606AF831">
      <w:pPr>
        <w:pageBreakBefore w:val="0"/>
        <w:widowControl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highlight w:val="none"/>
          <w:lang w:eastAsia="zh-CN"/>
        </w:rPr>
        <w:t>《环境影响评价技术导则土壤环境（试行）》</w:t>
      </w:r>
      <w:r>
        <w:rPr>
          <w:rFonts w:hint="default" w:ascii="Times New Roman" w:hAnsi="Times New Roman" w:eastAsia="宋体" w:cs="Times New Roman"/>
          <w:color w:val="auto"/>
          <w:highlight w:val="none"/>
        </w:rPr>
        <w:t>（HJ964-2018），本项目周边为</w:t>
      </w:r>
      <w:r>
        <w:rPr>
          <w:rFonts w:hint="default" w:ascii="Times New Roman" w:hAnsi="Times New Roman" w:eastAsia="宋体" w:cs="Times New Roman"/>
          <w:color w:val="auto"/>
          <w:highlight w:val="none"/>
          <w:lang w:eastAsia="zh-CN"/>
        </w:rPr>
        <w:t>其他草地、耕地、设施农用地</w:t>
      </w:r>
      <w:r>
        <w:rPr>
          <w:rFonts w:hint="default" w:ascii="Times New Roman" w:hAnsi="Times New Roman" w:eastAsia="宋体" w:cs="Times New Roman"/>
          <w:color w:val="auto"/>
          <w:highlight w:val="none"/>
        </w:rPr>
        <w:t>，属于土壤环境敏感目标。</w:t>
      </w:r>
    </w:p>
    <w:p w14:paraId="56BD2BF7">
      <w:pPr>
        <w:pStyle w:val="6"/>
        <w:pageBreakBefore w:val="0"/>
        <w:widowControl w:val="0"/>
        <w:kinsoku/>
        <w:wordWrap/>
        <w:overflowPunct/>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5.5.</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.3土地利用现状</w:t>
      </w:r>
    </w:p>
    <w:p w14:paraId="14C5D8E7">
      <w:pPr>
        <w:pageBreakBefore w:val="0"/>
        <w:widowControl w:val="0"/>
        <w:kinsoku/>
        <w:wordWrap/>
        <w:overflowPunct/>
        <w:topLinePunct w:val="0"/>
        <w:autoSpaceDE/>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本项目位于</w:t>
      </w:r>
      <w:r>
        <w:rPr>
          <w:rFonts w:hint="default" w:ascii="Times New Roman" w:hAnsi="Times New Roman" w:eastAsia="宋体" w:cs="Times New Roman"/>
          <w:color w:val="auto"/>
          <w:highlight w:val="none"/>
          <w:lang w:eastAsia="zh-CN"/>
        </w:rPr>
        <w:t>内蒙古自治区巴彦淖尔市乌拉特前旗大佘太镇马卜子村</w:t>
      </w:r>
      <w:r>
        <w:rPr>
          <w:rFonts w:hint="default" w:ascii="Times New Roman" w:hAnsi="Times New Roman" w:eastAsia="宋体" w:cs="Times New Roman"/>
          <w:color w:val="auto"/>
          <w:highlight w:val="none"/>
        </w:rPr>
        <w:t>，项目周边用地类型为草地</w:t>
      </w:r>
      <w:r>
        <w:rPr>
          <w:rFonts w:hint="default" w:ascii="Times New Roman" w:hAnsi="Times New Roman" w:eastAsia="宋体" w:cs="Times New Roman"/>
          <w:color w:val="auto"/>
          <w:highlight w:val="none"/>
          <w:lang w:eastAsia="zh-CN"/>
        </w:rPr>
        <w:t>、耕地、设施农用地</w:t>
      </w:r>
      <w:r>
        <w:rPr>
          <w:rFonts w:hint="default" w:ascii="Times New Roman" w:hAnsi="Times New Roman" w:eastAsia="宋体" w:cs="Times New Roman"/>
          <w:color w:val="auto"/>
          <w:highlight w:val="none"/>
        </w:rPr>
        <w:t>；调查评价范围内土地利用现状主要为沙生植被其上生长植物种类多以灌木及多年生草本植物为主，主要有沙蒿等。</w:t>
      </w:r>
    </w:p>
    <w:bookmarkEnd w:id="439"/>
    <w:p w14:paraId="1185A83C">
      <w:pPr>
        <w:pStyle w:val="5"/>
        <w:pageBreakBefore w:val="0"/>
        <w:widowControl w:val="0"/>
        <w:kinsoku/>
        <w:wordWrap/>
        <w:overflowPunct/>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bookmarkStart w:id="442" w:name="_Toc14423"/>
      <w:r>
        <w:rPr>
          <w:rFonts w:hint="default" w:ascii="Times New Roman" w:hAnsi="Times New Roman" w:eastAsia="宋体" w:cs="Times New Roman"/>
          <w:color w:val="auto"/>
          <w:highlight w:val="none"/>
        </w:rPr>
        <w:t>5.5.</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土壤环境影响预测与评价</w:t>
      </w:r>
      <w:bookmarkEnd w:id="442"/>
    </w:p>
    <w:p w14:paraId="1C12721B">
      <w:pPr>
        <w:pStyle w:val="6"/>
        <w:pageBreakBefore w:val="0"/>
        <w:widowControl w:val="0"/>
        <w:kinsoku/>
        <w:wordWrap/>
        <w:overflowPunct/>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bookmarkStart w:id="443" w:name="_Toc530642955"/>
      <w:bookmarkStart w:id="444" w:name="_Toc494206331"/>
      <w:r>
        <w:rPr>
          <w:rFonts w:hint="default" w:ascii="Times New Roman" w:hAnsi="Times New Roman" w:eastAsia="宋体" w:cs="Times New Roman"/>
          <w:color w:val="auto"/>
          <w:highlight w:val="none"/>
        </w:rPr>
        <w:t>5.5.</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.1正常工况下土壤环境影响分析</w:t>
      </w:r>
    </w:p>
    <w:p w14:paraId="11D9E189">
      <w:pPr>
        <w:pageBreakBefore w:val="0"/>
        <w:widowControl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根据土壤污染途径分析结果，本项目可能对土壤造成污染的主要有废气、废水和固废。项目确保各类废气污染物达标排放，可以有效减少废气污染物通过沉降或降水进入土壤的量。项目</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尿一起用铲车清理后堆放至</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，堆肥后用作有机肥原料；生活污水</w:t>
      </w:r>
      <w:r>
        <w:rPr>
          <w:rFonts w:hint="default" w:ascii="Times New Roman" w:hAnsi="Times New Roman" w:eastAsia="宋体" w:cs="Times New Roman"/>
          <w:color w:val="auto"/>
          <w:highlight w:val="none"/>
          <w:lang w:eastAsia="zh-CN"/>
        </w:rPr>
        <w:t>经化粪池处理</w:t>
      </w:r>
      <w:r>
        <w:rPr>
          <w:rFonts w:hint="default" w:ascii="Times New Roman" w:hAnsi="Times New Roman" w:eastAsia="宋体" w:cs="Times New Roman"/>
          <w:color w:val="auto"/>
          <w:highlight w:val="none"/>
        </w:rPr>
        <w:t>后，</w:t>
      </w:r>
      <w:r>
        <w:rPr>
          <w:rFonts w:hint="default" w:ascii="Times New Roman" w:hAnsi="Times New Roman" w:eastAsia="宋体" w:cs="Times New Roman"/>
          <w:color w:val="auto"/>
          <w:highlight w:val="none"/>
          <w:lang w:eastAsia="zh-CN"/>
        </w:rPr>
        <w:t>定期由当地环卫部门清运处置</w:t>
      </w:r>
      <w:r>
        <w:rPr>
          <w:rFonts w:hint="default" w:ascii="Times New Roman" w:hAnsi="Times New Roman" w:eastAsia="宋体" w:cs="Times New Roman"/>
          <w:color w:val="auto"/>
          <w:highlight w:val="none"/>
        </w:rPr>
        <w:t>。本项目对厂区采取了分区防渗措施，可以有效</w:t>
      </w:r>
      <w:r>
        <w:rPr>
          <w:rFonts w:hint="default" w:ascii="Times New Roman" w:hAnsi="Times New Roman" w:eastAsia="宋体" w:cs="Times New Roman"/>
          <w:color w:val="auto"/>
          <w:highlight w:val="none"/>
          <w:lang w:eastAsia="zh-CN"/>
        </w:rPr>
        <w:t>减少</w:t>
      </w:r>
      <w:r>
        <w:rPr>
          <w:rFonts w:hint="default" w:ascii="Times New Roman" w:hAnsi="Times New Roman" w:eastAsia="宋体" w:cs="Times New Roman"/>
          <w:color w:val="auto"/>
          <w:highlight w:val="none"/>
        </w:rPr>
        <w:t>废水对土壤的污染影响。项目生产过程中产生的危险固废经集中收集后委托有资质的单位处理，项目厂区建有</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座</w:t>
      </w:r>
      <w:r>
        <w:rPr>
          <w:rFonts w:hint="default" w:ascii="Times New Roman" w:hAnsi="Times New Roman" w:eastAsia="宋体" w:cs="Times New Roman"/>
          <w:color w:val="auto"/>
          <w:highlight w:val="none"/>
          <w:lang w:eastAsia="zh-CN"/>
        </w:rPr>
        <w:t>危废暂存间</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危废暂存间</w:t>
      </w:r>
      <w:r>
        <w:rPr>
          <w:rFonts w:hint="default" w:ascii="Times New Roman" w:hAnsi="Times New Roman" w:eastAsia="宋体" w:cs="Times New Roman"/>
          <w:color w:val="auto"/>
          <w:highlight w:val="none"/>
        </w:rPr>
        <w:t>按照</w:t>
      </w:r>
      <w:r>
        <w:rPr>
          <w:rFonts w:hint="default" w:ascii="Times New Roman" w:hAnsi="Times New Roman" w:eastAsia="宋体" w:cs="Times New Roman"/>
          <w:color w:val="FF0000"/>
          <w:highlight w:val="none"/>
        </w:rPr>
        <w:t>《危险废物贮存污染控制标准》（</w:t>
      </w:r>
      <w:r>
        <w:rPr>
          <w:rFonts w:hint="default" w:ascii="Times New Roman" w:hAnsi="Times New Roman" w:eastAsia="宋体" w:cs="Times New Roman"/>
          <w:color w:val="FF0000"/>
          <w:highlight w:val="none"/>
          <w:lang w:eastAsia="zh-CN"/>
        </w:rPr>
        <w:t>GB18597-2023</w:t>
      </w:r>
      <w:r>
        <w:rPr>
          <w:rFonts w:hint="default" w:ascii="Times New Roman" w:hAnsi="Times New Roman" w:eastAsia="宋体" w:cs="Times New Roman"/>
          <w:color w:val="FF0000"/>
          <w:highlight w:val="none"/>
        </w:rPr>
        <w:t>）的要求</w:t>
      </w:r>
      <w:r>
        <w:rPr>
          <w:rFonts w:hint="default" w:ascii="Times New Roman" w:hAnsi="Times New Roman" w:eastAsia="宋体" w:cs="Times New Roman"/>
          <w:color w:val="auto"/>
          <w:highlight w:val="none"/>
        </w:rPr>
        <w:t>进行了防渗和封闭处理，在此处存放的危废采用袋装或桶装形式。通过以上分析可以看出，建设项目在正常运行工况下，不会对土壤环境质量造成显著影响。</w:t>
      </w:r>
    </w:p>
    <w:p w14:paraId="43EC39AC">
      <w:pPr>
        <w:pStyle w:val="6"/>
        <w:pageBreakBefore w:val="0"/>
        <w:widowControl w:val="0"/>
        <w:kinsoku/>
        <w:wordWrap/>
        <w:overflowPunct/>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5.5.</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.2非正常工况下影响途径分析</w:t>
      </w:r>
    </w:p>
    <w:p w14:paraId="10468B9C">
      <w:pPr>
        <w:pageBreakBefore w:val="0"/>
        <w:widowControl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在非正常工况或者事故情况下，建设项目可能对区域土壤造成影响。通过对建设项目建设内容分析，非正常工况下或事故情况下建设项目对地下水的可能影响途径主要包括：</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的</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出现粪污泄漏，渗入地下从而引起土壤环境污染。本项目在确保厂区各项预防措施得以落实并得到良好维护的前提下，项目生产在短期内不会对土壤造成明显的影响。</w:t>
      </w:r>
    </w:p>
    <w:p w14:paraId="44CD2ACE">
      <w:pPr>
        <w:pStyle w:val="6"/>
        <w:pageBreakBefore w:val="0"/>
        <w:widowControl w:val="0"/>
        <w:kinsoku/>
        <w:wordWrap/>
        <w:overflowPunct/>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5.5.</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.3资源化利用土壤环境影响分析</w:t>
      </w:r>
    </w:p>
    <w:p w14:paraId="4D4C39A5">
      <w:pPr>
        <w:pageBreakBefore w:val="0"/>
        <w:widowControl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本项目产生的粪污经处理后部分作为配套农田的有机肥使用，有机肥含有丰富的养分，除了含有丰富的氮、磷、钾等元素外，还含有对植物生长</w:t>
      </w:r>
      <w:r>
        <w:rPr>
          <w:rFonts w:hint="default" w:ascii="Times New Roman" w:hAnsi="Times New Roman" w:eastAsia="宋体" w:cs="Times New Roman"/>
          <w:color w:val="auto"/>
          <w:highlight w:val="none"/>
          <w:lang w:eastAsia="zh-CN"/>
        </w:rPr>
        <w:t>起着重要</w:t>
      </w:r>
      <w:r>
        <w:rPr>
          <w:rFonts w:hint="default" w:ascii="Times New Roman" w:hAnsi="Times New Roman" w:eastAsia="宋体" w:cs="Times New Roman"/>
          <w:color w:val="auto"/>
          <w:highlight w:val="none"/>
        </w:rPr>
        <w:t>作用的硼、铜、铁、锰、钙、锌等微量元素，以及大量的氨基酸、B族维生素、各种水解酶、某些植物激素，是一种高效性的优质肥料。有机肥具有改良土壤的作用，含有丰富的腐殖酸。腐殖酸能够促进微生物和酶系的活性，改善土壤水、肥、气、热状况收到培肥地力的功效。根据相关实践证明，有机肥用于果树，可提高</w:t>
      </w:r>
      <w:r>
        <w:rPr>
          <w:rFonts w:hint="default" w:ascii="Times New Roman" w:hAnsi="Times New Roman" w:eastAsia="宋体" w:cs="Times New Roman"/>
          <w:color w:val="auto"/>
          <w:highlight w:val="none"/>
          <w:lang w:eastAsia="zh-CN"/>
        </w:rPr>
        <w:t>坐果率</w:t>
      </w:r>
      <w:r>
        <w:rPr>
          <w:rFonts w:hint="default" w:ascii="Times New Roman" w:hAnsi="Times New Roman" w:eastAsia="宋体" w:cs="Times New Roman"/>
          <w:color w:val="auto"/>
          <w:highlight w:val="none"/>
        </w:rPr>
        <w:t>5%以上，增产幅度10%～30%，果实甜度提高0.5～1度。</w:t>
      </w:r>
    </w:p>
    <w:p w14:paraId="25B2D715">
      <w:pPr>
        <w:pageBreakBefore w:val="0"/>
        <w:widowControl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施用土壤中的磷除部分被植被吸收利用和因化学反应产生难溶性磷酸盐外，其他磷则被土壤团粒和胶粒所吸附。这些被吸附磷与土壤溶液中磷处于吸附磷素施入土壤后，土壤胶体对无机磷有</w:t>
      </w:r>
      <w:r>
        <w:rPr>
          <w:rFonts w:hint="default" w:ascii="Times New Roman" w:hAnsi="Times New Roman" w:eastAsia="宋体" w:cs="Times New Roman"/>
          <w:color w:val="auto"/>
          <w:highlight w:val="none"/>
          <w:lang w:eastAsia="zh-CN"/>
        </w:rPr>
        <w:t>强烈</w:t>
      </w:r>
      <w:r>
        <w:rPr>
          <w:rFonts w:hint="default" w:ascii="Times New Roman" w:hAnsi="Times New Roman" w:eastAsia="宋体" w:cs="Times New Roman"/>
          <w:color w:val="auto"/>
          <w:highlight w:val="none"/>
        </w:rPr>
        <w:t>的吸附和固定作用。在pH小于6的酸性土壤中，磷素和土壤中的铁、铝化合物生成难溶性的磷酸铁、磷酸铝；在pH大于7.5的碱性土壤中，磷和钙易结合成难溶性磷酸钙。而施入有机肥，由于有机肥中含有腐植酸，能够提高土壤的缓冲性能（即维持土壤酸碱反应的相对稳定的能力）维持土壤pH在6~7.5，可以降低土壤对磷的吸附量，从而减少对磷的固定，提高施肥的有效性。</w:t>
      </w:r>
    </w:p>
    <w:p w14:paraId="1D8C885D">
      <w:pPr>
        <w:pageBreakBefore w:val="0"/>
        <w:widowControl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用有机肥常被作为控制和改良土壤重金属污染的控制措施，因为可能通过改变重金属污染物在土壤中的形态分布而降低其生物有效性，还可以提高土壤的肥力。根据刘瑞伟等《有机肥料对土壤重金属净化的影响》，试验表明，施用化肥或</w:t>
      </w:r>
      <w:r>
        <w:rPr>
          <w:rFonts w:hint="default" w:ascii="Times New Roman" w:hAnsi="Times New Roman" w:eastAsia="宋体" w:cs="Times New Roman"/>
          <w:color w:val="auto"/>
          <w:highlight w:val="none"/>
          <w:lang w:eastAsia="zh-CN"/>
        </w:rPr>
        <w:t>有机</w:t>
      </w:r>
      <w:r>
        <w:rPr>
          <w:rFonts w:hint="default" w:ascii="Times New Roman" w:hAnsi="Times New Roman" w:eastAsia="宋体" w:cs="Times New Roman"/>
          <w:color w:val="auto"/>
          <w:highlight w:val="none"/>
        </w:rPr>
        <w:t>肥料都降低了土壤的pH值，且随着时间的延长，施用有机肥料的土壤pH值降低幅度更大，并通过</w:t>
      </w:r>
      <w:r>
        <w:rPr>
          <w:rFonts w:hint="default" w:ascii="Times New Roman" w:hAnsi="Times New Roman" w:eastAsia="宋体" w:cs="Times New Roman"/>
          <w:color w:val="auto"/>
          <w:highlight w:val="none"/>
          <w:lang w:eastAsia="zh-CN"/>
        </w:rPr>
        <w:t>结合</w:t>
      </w:r>
      <w:r>
        <w:rPr>
          <w:rFonts w:hint="default" w:ascii="Times New Roman" w:hAnsi="Times New Roman" w:eastAsia="宋体" w:cs="Times New Roman"/>
          <w:color w:val="auto"/>
          <w:highlight w:val="none"/>
        </w:rPr>
        <w:t>土壤重金属，降低土壤重金属的有效态含量。</w:t>
      </w:r>
    </w:p>
    <w:p w14:paraId="5B0257AE">
      <w:pPr>
        <w:pageBreakBefore w:val="0"/>
        <w:widowControl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另外，有机肥料的施用，增加土壤的微生物量，提高土壤的生态肥力，可通过微生物的吸附、转化作用，降低土壤的pH值等，降低重金属的生物有效性，对土壤的重金属具有一定的解毒作用。</w:t>
      </w:r>
    </w:p>
    <w:p w14:paraId="279192DE">
      <w:pPr>
        <w:pageBreakBefore w:val="0"/>
        <w:widowControl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合以上分析可知，只要建设单位能够综合考虑有机肥的组成成分，N、P、K养分的有效性和在土壤中的迁移规律、作物对有机肥的吸收能力，做到合理施肥，则采用有机肥施肥，能改善土壤的理化性质，增强土壤的保肥性，提高土壤的生态肥力，改良土壤重金属污染，预防病虫害，从而提高作物的品质和产量。由此分析可知，本项目实施后当地土壤环境影响较小。</w:t>
      </w:r>
    </w:p>
    <w:p w14:paraId="3BB3EC57">
      <w:pPr>
        <w:pStyle w:val="5"/>
        <w:pageBreakBefore w:val="0"/>
        <w:widowControl w:val="0"/>
        <w:kinsoku/>
        <w:wordWrap/>
        <w:overflowPunct/>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bookmarkStart w:id="445" w:name="_Toc46421146"/>
      <w:bookmarkStart w:id="446" w:name="_Toc10665"/>
      <w:r>
        <w:rPr>
          <w:rFonts w:hint="default" w:ascii="Times New Roman" w:hAnsi="Times New Roman" w:eastAsia="宋体" w:cs="Times New Roman"/>
          <w:color w:val="auto"/>
          <w:highlight w:val="none"/>
        </w:rPr>
        <w:t>5.5.</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土壤影响评价结论</w:t>
      </w:r>
      <w:bookmarkEnd w:id="445"/>
      <w:bookmarkEnd w:id="446"/>
    </w:p>
    <w:p w14:paraId="0F581B1C">
      <w:pPr>
        <w:pageBreakBefore w:val="0"/>
        <w:widowControl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正常工况下，不会有泄漏情况发生，也不会对土壤环境造成影响。本次项目</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采取合格防渗的措施，对土壤和</w:t>
      </w:r>
      <w:r>
        <w:rPr>
          <w:rFonts w:hint="default" w:ascii="Times New Roman" w:hAnsi="Times New Roman" w:eastAsia="宋体" w:cs="Times New Roman"/>
          <w:color w:val="auto"/>
          <w:highlight w:val="none"/>
          <w:lang w:eastAsia="zh-CN"/>
        </w:rPr>
        <w:t>地下水</w:t>
      </w:r>
      <w:r>
        <w:rPr>
          <w:rFonts w:hint="default" w:ascii="Times New Roman" w:hAnsi="Times New Roman" w:eastAsia="宋体" w:cs="Times New Roman"/>
          <w:color w:val="auto"/>
          <w:highlight w:val="none"/>
        </w:rPr>
        <w:t>造成污染的可能性更低。因此，可以推测本次项目正常工况下不会对周围土壤环境造成不良影响。事故状态下，假设粪污废水</w:t>
      </w:r>
      <w:r>
        <w:rPr>
          <w:rFonts w:hint="default" w:ascii="Times New Roman" w:hAnsi="Times New Roman" w:eastAsia="宋体" w:cs="Times New Roman"/>
          <w:color w:val="auto"/>
          <w:highlight w:val="none"/>
          <w:lang w:eastAsia="zh-CN"/>
        </w:rPr>
        <w:t>泄漏</w:t>
      </w:r>
      <w:r>
        <w:rPr>
          <w:rFonts w:hint="default" w:ascii="Times New Roman" w:hAnsi="Times New Roman" w:eastAsia="宋体" w:cs="Times New Roman"/>
          <w:color w:val="auto"/>
          <w:highlight w:val="none"/>
        </w:rPr>
        <w:t>，相关污染物持续进入土壤中，则随着污染物持续泄漏，污染范围逐渐增大。故应做好日常土壤防护工作，环保设施及相关防渗系统应定时进行检修维护，一旦发现污染物泄漏应立即采取应急响应，截断污染源并根据污染情况采取土壤保护措施。</w:t>
      </w:r>
    </w:p>
    <w:p w14:paraId="7F9127AC">
      <w:pPr>
        <w:pageBreakBefore w:val="0"/>
        <w:widowControl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综上，项目土壤环境影响可接受。</w:t>
      </w:r>
    </w:p>
    <w:p w14:paraId="23B4CD76">
      <w:pPr>
        <w:pageBreakBefore w:val="0"/>
        <w:widowControl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建设项目土壤环境影响评价自查表见下表。</w:t>
      </w:r>
    </w:p>
    <w:p w14:paraId="3DD14EDC">
      <w:pPr>
        <w:pStyle w:val="7"/>
        <w:pageBreakBefore w:val="0"/>
        <w:widowControl w:val="0"/>
        <w:kinsoku/>
        <w:wordWrap/>
        <w:overflowPunct/>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表5.5-</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土壤环境影响评价自查表</w:t>
      </w:r>
    </w:p>
    <w:tbl>
      <w:tblPr>
        <w:tblStyle w:val="40"/>
        <w:tblW w:w="8277"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379"/>
        <w:gridCol w:w="1495"/>
        <w:gridCol w:w="1263"/>
        <w:gridCol w:w="1367"/>
        <w:gridCol w:w="1449"/>
        <w:gridCol w:w="582"/>
        <w:gridCol w:w="719"/>
        <w:gridCol w:w="1023"/>
      </w:tblGrid>
      <w:tr w14:paraId="071D223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038" w:type="dxa"/>
            <w:gridSpan w:val="2"/>
            <w:tcBorders>
              <w:top w:val="single" w:color="auto" w:sz="4" w:space="0"/>
              <w:left w:val="single" w:color="auto" w:sz="4" w:space="0"/>
              <w:bottom w:val="single" w:color="auto" w:sz="4" w:space="0"/>
              <w:right w:val="single" w:color="auto" w:sz="4" w:space="0"/>
            </w:tcBorders>
            <w:vAlign w:val="center"/>
          </w:tcPr>
          <w:p w14:paraId="3287C91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工作内容</w:t>
            </w:r>
          </w:p>
        </w:tc>
        <w:tc>
          <w:tcPr>
            <w:tcW w:w="5852" w:type="dxa"/>
            <w:gridSpan w:val="5"/>
            <w:tcBorders>
              <w:top w:val="single" w:color="auto" w:sz="4" w:space="0"/>
              <w:left w:val="single" w:color="auto" w:sz="4" w:space="0"/>
              <w:bottom w:val="single" w:color="auto" w:sz="4" w:space="0"/>
              <w:right w:val="single" w:color="auto" w:sz="4" w:space="0"/>
            </w:tcBorders>
            <w:vAlign w:val="center"/>
          </w:tcPr>
          <w:p w14:paraId="06F8E1D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完成情况</w:t>
            </w:r>
          </w:p>
        </w:tc>
        <w:tc>
          <w:tcPr>
            <w:tcW w:w="1113" w:type="dxa"/>
            <w:tcBorders>
              <w:top w:val="single" w:color="auto" w:sz="4" w:space="0"/>
              <w:left w:val="single" w:color="auto" w:sz="4" w:space="0"/>
              <w:bottom w:val="single" w:color="auto" w:sz="4" w:space="0"/>
              <w:right w:val="single" w:color="auto" w:sz="4" w:space="0"/>
            </w:tcBorders>
            <w:vAlign w:val="center"/>
          </w:tcPr>
          <w:p w14:paraId="0A47ED9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备注</w:t>
            </w:r>
          </w:p>
        </w:tc>
      </w:tr>
      <w:tr w14:paraId="32A3E72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restart"/>
            <w:tcBorders>
              <w:top w:val="single" w:color="auto" w:sz="4" w:space="0"/>
              <w:left w:val="single" w:color="auto" w:sz="4" w:space="0"/>
              <w:bottom w:val="single" w:color="auto" w:sz="4" w:space="0"/>
              <w:right w:val="single" w:color="auto" w:sz="4" w:space="0"/>
            </w:tcBorders>
            <w:vAlign w:val="center"/>
          </w:tcPr>
          <w:p w14:paraId="2458B71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影响识别</w:t>
            </w:r>
          </w:p>
        </w:tc>
        <w:tc>
          <w:tcPr>
            <w:tcW w:w="1626" w:type="dxa"/>
            <w:tcBorders>
              <w:top w:val="single" w:color="auto" w:sz="4" w:space="0"/>
              <w:left w:val="single" w:color="auto" w:sz="4" w:space="0"/>
              <w:bottom w:val="single" w:color="auto" w:sz="4" w:space="0"/>
              <w:right w:val="single" w:color="auto" w:sz="4" w:space="0"/>
            </w:tcBorders>
            <w:vAlign w:val="center"/>
          </w:tcPr>
          <w:p w14:paraId="0741709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影响类型</w:t>
            </w:r>
          </w:p>
        </w:tc>
        <w:tc>
          <w:tcPr>
            <w:tcW w:w="5852" w:type="dxa"/>
            <w:gridSpan w:val="5"/>
            <w:tcBorders>
              <w:top w:val="single" w:color="auto" w:sz="4" w:space="0"/>
              <w:left w:val="single" w:color="auto" w:sz="4" w:space="0"/>
              <w:bottom w:val="single" w:color="auto" w:sz="4" w:space="0"/>
              <w:right w:val="single" w:color="auto" w:sz="4" w:space="0"/>
            </w:tcBorders>
            <w:vAlign w:val="center"/>
          </w:tcPr>
          <w:p w14:paraId="7DAECC5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污染影响型</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4"/>
                <w:sz w:val="21"/>
                <w:szCs w:val="21"/>
                <w:highlight w:val="none"/>
              </w:rPr>
              <w:instrText xml:space="preserve">□</w:instrText>
            </w:r>
            <w:r>
              <w:rPr>
                <w:rFonts w:hint="default" w:ascii="Times New Roman" w:hAnsi="Times New Roman" w:eastAsia="宋体" w:cs="Times New Roman"/>
                <w:color w:val="auto"/>
                <w:position w:val="0"/>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；生态影响型□；两种兼有□</w:t>
            </w:r>
          </w:p>
        </w:tc>
        <w:tc>
          <w:tcPr>
            <w:tcW w:w="1113" w:type="dxa"/>
            <w:tcBorders>
              <w:top w:val="single" w:color="auto" w:sz="4" w:space="0"/>
              <w:left w:val="single" w:color="auto" w:sz="4" w:space="0"/>
              <w:bottom w:val="single" w:color="auto" w:sz="4" w:space="0"/>
              <w:right w:val="single" w:color="auto" w:sz="4" w:space="0"/>
            </w:tcBorders>
            <w:vAlign w:val="center"/>
          </w:tcPr>
          <w:p w14:paraId="64C006C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1CF1014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continue"/>
            <w:tcBorders>
              <w:top w:val="single" w:color="auto" w:sz="4" w:space="0"/>
              <w:left w:val="single" w:color="auto" w:sz="4" w:space="0"/>
              <w:bottom w:val="single" w:color="auto" w:sz="4" w:space="0"/>
              <w:right w:val="single" w:color="auto" w:sz="4" w:space="0"/>
            </w:tcBorders>
            <w:vAlign w:val="center"/>
          </w:tcPr>
          <w:p w14:paraId="33F3AA4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626" w:type="dxa"/>
            <w:tcBorders>
              <w:top w:val="single" w:color="auto" w:sz="4" w:space="0"/>
              <w:left w:val="single" w:color="auto" w:sz="4" w:space="0"/>
              <w:bottom w:val="single" w:color="auto" w:sz="4" w:space="0"/>
              <w:right w:val="single" w:color="auto" w:sz="4" w:space="0"/>
            </w:tcBorders>
            <w:vAlign w:val="center"/>
          </w:tcPr>
          <w:p w14:paraId="4A0D1B9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土地利用类型</w:t>
            </w:r>
          </w:p>
        </w:tc>
        <w:tc>
          <w:tcPr>
            <w:tcW w:w="5852" w:type="dxa"/>
            <w:gridSpan w:val="5"/>
            <w:tcBorders>
              <w:top w:val="single" w:color="auto" w:sz="4" w:space="0"/>
              <w:left w:val="single" w:color="auto" w:sz="4" w:space="0"/>
              <w:bottom w:val="single" w:color="auto" w:sz="4" w:space="0"/>
              <w:right w:val="single" w:color="auto" w:sz="4" w:space="0"/>
            </w:tcBorders>
            <w:vAlign w:val="center"/>
          </w:tcPr>
          <w:p w14:paraId="2C3818F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建设用地</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4"/>
                <w:sz w:val="21"/>
                <w:szCs w:val="21"/>
                <w:highlight w:val="none"/>
              </w:rPr>
              <w:instrText xml:space="preserve">□</w:instrText>
            </w:r>
            <w:r>
              <w:rPr>
                <w:rFonts w:hint="default" w:ascii="Times New Roman" w:hAnsi="Times New Roman" w:eastAsia="宋体" w:cs="Times New Roman"/>
                <w:color w:val="auto"/>
                <w:position w:val="0"/>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；农用地</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4"/>
                <w:sz w:val="21"/>
                <w:szCs w:val="21"/>
                <w:highlight w:val="none"/>
              </w:rPr>
              <w:instrText xml:space="preserve">□</w:instrText>
            </w:r>
            <w:r>
              <w:rPr>
                <w:rFonts w:hint="default" w:ascii="Times New Roman" w:hAnsi="Times New Roman" w:eastAsia="宋体" w:cs="Times New Roman"/>
                <w:color w:val="auto"/>
                <w:position w:val="-4"/>
                <w:sz w:val="21"/>
                <w:szCs w:val="21"/>
                <w:highlight w:val="none"/>
                <w:lang w:eastAsia="zh-CN"/>
              </w:rPr>
              <w:instrText xml:space="preserve">,</w:instrText>
            </w:r>
            <w:r>
              <w:rPr>
                <w:rFonts w:hint="default" w:ascii="Times New Roman" w:hAnsi="Times New Roman" w:eastAsia="宋体" w:cs="Times New Roman"/>
                <w:color w:val="auto"/>
                <w:position w:val="-1"/>
                <w:sz w:val="21"/>
                <w:szCs w:val="21"/>
                <w:highlight w:val="none"/>
                <w:lang w:eastAsia="zh-CN"/>
              </w:rPr>
              <w:instrText xml:space="preserve">√</w:instrText>
            </w:r>
            <w:r>
              <w:rPr>
                <w:rFonts w:hint="default" w:ascii="Times New Roman" w:hAnsi="Times New Roman" w:eastAsia="宋体" w:cs="Times New Roman"/>
                <w:color w:val="auto"/>
                <w:position w:val="0"/>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；未利用地□</w:t>
            </w:r>
          </w:p>
        </w:tc>
        <w:tc>
          <w:tcPr>
            <w:tcW w:w="1113" w:type="dxa"/>
            <w:tcBorders>
              <w:top w:val="single" w:color="auto" w:sz="4" w:space="0"/>
              <w:left w:val="single" w:color="auto" w:sz="4" w:space="0"/>
              <w:bottom w:val="single" w:color="auto" w:sz="4" w:space="0"/>
              <w:right w:val="single" w:color="auto" w:sz="4" w:space="0"/>
            </w:tcBorders>
            <w:vAlign w:val="center"/>
          </w:tcPr>
          <w:p w14:paraId="5416CBE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土地利用类</w:t>
            </w:r>
          </w:p>
          <w:p w14:paraId="495B227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型图</w:t>
            </w:r>
          </w:p>
        </w:tc>
      </w:tr>
      <w:tr w14:paraId="221EC98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continue"/>
            <w:tcBorders>
              <w:top w:val="single" w:color="auto" w:sz="4" w:space="0"/>
              <w:left w:val="single" w:color="auto" w:sz="4" w:space="0"/>
              <w:bottom w:val="single" w:color="auto" w:sz="4" w:space="0"/>
              <w:right w:val="single" w:color="auto" w:sz="4" w:space="0"/>
            </w:tcBorders>
            <w:vAlign w:val="center"/>
          </w:tcPr>
          <w:p w14:paraId="15E0AFA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626" w:type="dxa"/>
            <w:tcBorders>
              <w:top w:val="single" w:color="auto" w:sz="4" w:space="0"/>
              <w:left w:val="single" w:color="auto" w:sz="4" w:space="0"/>
              <w:bottom w:val="single" w:color="auto" w:sz="4" w:space="0"/>
              <w:right w:val="single" w:color="auto" w:sz="4" w:space="0"/>
            </w:tcBorders>
            <w:vAlign w:val="center"/>
          </w:tcPr>
          <w:p w14:paraId="78217F8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占地规模</w:t>
            </w:r>
          </w:p>
        </w:tc>
        <w:tc>
          <w:tcPr>
            <w:tcW w:w="5852" w:type="dxa"/>
            <w:gridSpan w:val="5"/>
            <w:tcBorders>
              <w:top w:val="single" w:color="auto" w:sz="4" w:space="0"/>
              <w:left w:val="single" w:color="auto" w:sz="4" w:space="0"/>
              <w:bottom w:val="single" w:color="auto" w:sz="4" w:space="0"/>
              <w:right w:val="single" w:color="auto" w:sz="4" w:space="0"/>
            </w:tcBorders>
            <w:vAlign w:val="center"/>
          </w:tcPr>
          <w:p w14:paraId="1DCF975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（16.155536）hm</w:t>
            </w:r>
            <w:r>
              <w:rPr>
                <w:rFonts w:hint="default" w:ascii="Times New Roman" w:hAnsi="Times New Roman" w:eastAsia="宋体" w:cs="Times New Roman"/>
                <w:color w:val="auto"/>
                <w:position w:val="6"/>
                <w:sz w:val="21"/>
                <w:szCs w:val="21"/>
                <w:highlight w:val="none"/>
                <w:vertAlign w:val="superscript"/>
              </w:rPr>
              <w:t>2</w:t>
            </w:r>
          </w:p>
        </w:tc>
        <w:tc>
          <w:tcPr>
            <w:tcW w:w="1113" w:type="dxa"/>
            <w:tcBorders>
              <w:top w:val="single" w:color="auto" w:sz="4" w:space="0"/>
              <w:left w:val="single" w:color="auto" w:sz="4" w:space="0"/>
              <w:bottom w:val="single" w:color="auto" w:sz="4" w:space="0"/>
              <w:right w:val="single" w:color="auto" w:sz="4" w:space="0"/>
            </w:tcBorders>
            <w:vAlign w:val="center"/>
          </w:tcPr>
          <w:p w14:paraId="1C61EEF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6E9D71F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continue"/>
            <w:tcBorders>
              <w:top w:val="single" w:color="auto" w:sz="4" w:space="0"/>
              <w:left w:val="single" w:color="auto" w:sz="4" w:space="0"/>
              <w:bottom w:val="single" w:color="auto" w:sz="4" w:space="0"/>
              <w:right w:val="single" w:color="auto" w:sz="4" w:space="0"/>
            </w:tcBorders>
            <w:vAlign w:val="center"/>
          </w:tcPr>
          <w:p w14:paraId="2CA1B01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626" w:type="dxa"/>
            <w:tcBorders>
              <w:top w:val="single" w:color="auto" w:sz="4" w:space="0"/>
              <w:left w:val="single" w:color="auto" w:sz="4" w:space="0"/>
              <w:bottom w:val="single" w:color="auto" w:sz="4" w:space="0"/>
              <w:right w:val="single" w:color="auto" w:sz="4" w:space="0"/>
            </w:tcBorders>
            <w:vAlign w:val="center"/>
          </w:tcPr>
          <w:p w14:paraId="3863DBC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敏感目标信息</w:t>
            </w:r>
          </w:p>
        </w:tc>
        <w:tc>
          <w:tcPr>
            <w:tcW w:w="5852" w:type="dxa"/>
            <w:gridSpan w:val="5"/>
            <w:tcBorders>
              <w:top w:val="single" w:color="auto" w:sz="4" w:space="0"/>
              <w:left w:val="single" w:color="auto" w:sz="4" w:space="0"/>
              <w:bottom w:val="single" w:color="auto" w:sz="4" w:space="0"/>
              <w:right w:val="single" w:color="auto" w:sz="4" w:space="0"/>
            </w:tcBorders>
            <w:vAlign w:val="center"/>
          </w:tcPr>
          <w:p w14:paraId="62626BC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敏感目标（牧草地）、方位（四周）、距离（50m）</w:t>
            </w:r>
          </w:p>
        </w:tc>
        <w:tc>
          <w:tcPr>
            <w:tcW w:w="1113" w:type="dxa"/>
            <w:tcBorders>
              <w:top w:val="single" w:color="auto" w:sz="4" w:space="0"/>
              <w:left w:val="single" w:color="auto" w:sz="4" w:space="0"/>
              <w:bottom w:val="single" w:color="auto" w:sz="4" w:space="0"/>
              <w:right w:val="single" w:color="auto" w:sz="4" w:space="0"/>
            </w:tcBorders>
            <w:vAlign w:val="center"/>
          </w:tcPr>
          <w:p w14:paraId="3B7E0A8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19A6F87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continue"/>
            <w:tcBorders>
              <w:top w:val="single" w:color="auto" w:sz="4" w:space="0"/>
              <w:left w:val="single" w:color="auto" w:sz="4" w:space="0"/>
              <w:bottom w:val="single" w:color="auto" w:sz="4" w:space="0"/>
              <w:right w:val="single" w:color="auto" w:sz="4" w:space="0"/>
            </w:tcBorders>
            <w:vAlign w:val="center"/>
          </w:tcPr>
          <w:p w14:paraId="2C7D8F4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626" w:type="dxa"/>
            <w:tcBorders>
              <w:top w:val="single" w:color="auto" w:sz="4" w:space="0"/>
              <w:left w:val="single" w:color="auto" w:sz="4" w:space="0"/>
              <w:bottom w:val="single" w:color="auto" w:sz="4" w:space="0"/>
              <w:right w:val="single" w:color="auto" w:sz="4" w:space="0"/>
            </w:tcBorders>
            <w:vAlign w:val="center"/>
          </w:tcPr>
          <w:p w14:paraId="19A1A2E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影响途径</w:t>
            </w:r>
          </w:p>
        </w:tc>
        <w:tc>
          <w:tcPr>
            <w:tcW w:w="5852" w:type="dxa"/>
            <w:gridSpan w:val="5"/>
            <w:tcBorders>
              <w:top w:val="single" w:color="auto" w:sz="4" w:space="0"/>
              <w:left w:val="single" w:color="auto" w:sz="4" w:space="0"/>
              <w:bottom w:val="single" w:color="auto" w:sz="4" w:space="0"/>
              <w:right w:val="single" w:color="auto" w:sz="4" w:space="0"/>
            </w:tcBorders>
            <w:vAlign w:val="center"/>
          </w:tcPr>
          <w:p w14:paraId="5F8F585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大气沉降□；地面漫流□；垂直入渗</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4"/>
                <w:sz w:val="21"/>
                <w:szCs w:val="21"/>
                <w:highlight w:val="none"/>
              </w:rPr>
              <w:instrText xml:space="preserve">□</w:instrText>
            </w:r>
            <w:r>
              <w:rPr>
                <w:rFonts w:hint="default" w:ascii="Times New Roman" w:hAnsi="Times New Roman" w:eastAsia="宋体" w:cs="Times New Roman"/>
                <w:color w:val="auto"/>
                <w:position w:val="0"/>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；地下水位□；其他（）</w:t>
            </w:r>
          </w:p>
        </w:tc>
        <w:tc>
          <w:tcPr>
            <w:tcW w:w="1113" w:type="dxa"/>
            <w:tcBorders>
              <w:top w:val="single" w:color="auto" w:sz="4" w:space="0"/>
              <w:left w:val="single" w:color="auto" w:sz="4" w:space="0"/>
              <w:bottom w:val="single" w:color="auto" w:sz="4" w:space="0"/>
              <w:right w:val="single" w:color="auto" w:sz="4" w:space="0"/>
            </w:tcBorders>
            <w:vAlign w:val="center"/>
          </w:tcPr>
          <w:p w14:paraId="11643A2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312665B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continue"/>
            <w:tcBorders>
              <w:top w:val="single" w:color="auto" w:sz="4" w:space="0"/>
              <w:left w:val="single" w:color="auto" w:sz="4" w:space="0"/>
              <w:bottom w:val="single" w:color="auto" w:sz="4" w:space="0"/>
              <w:right w:val="single" w:color="auto" w:sz="4" w:space="0"/>
            </w:tcBorders>
            <w:vAlign w:val="center"/>
          </w:tcPr>
          <w:p w14:paraId="594F92E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626" w:type="dxa"/>
            <w:tcBorders>
              <w:top w:val="single" w:color="auto" w:sz="4" w:space="0"/>
              <w:left w:val="single" w:color="auto" w:sz="4" w:space="0"/>
              <w:bottom w:val="single" w:color="auto" w:sz="4" w:space="0"/>
              <w:right w:val="single" w:color="auto" w:sz="4" w:space="0"/>
            </w:tcBorders>
            <w:vAlign w:val="center"/>
          </w:tcPr>
          <w:p w14:paraId="25B4507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全部污染物</w:t>
            </w:r>
          </w:p>
        </w:tc>
        <w:tc>
          <w:tcPr>
            <w:tcW w:w="5852" w:type="dxa"/>
            <w:gridSpan w:val="5"/>
            <w:tcBorders>
              <w:top w:val="single" w:color="auto" w:sz="4" w:space="0"/>
              <w:left w:val="single" w:color="auto" w:sz="4" w:space="0"/>
              <w:bottom w:val="single" w:color="auto" w:sz="4" w:space="0"/>
              <w:right w:val="single" w:color="auto" w:sz="4" w:space="0"/>
            </w:tcBorders>
            <w:vAlign w:val="center"/>
          </w:tcPr>
          <w:p w14:paraId="4C9AE53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COD、SS、BOD</w:t>
            </w:r>
            <w:r>
              <w:rPr>
                <w:rFonts w:hint="default" w:ascii="Times New Roman" w:hAnsi="Times New Roman" w:eastAsia="宋体" w:cs="Times New Roman"/>
                <w:color w:val="auto"/>
                <w:sz w:val="21"/>
                <w:szCs w:val="21"/>
                <w:highlight w:val="none"/>
                <w:vertAlign w:val="subscript"/>
                <w:lang w:bidi="ar"/>
              </w:rPr>
              <w:t>5</w:t>
            </w:r>
            <w:r>
              <w:rPr>
                <w:rFonts w:hint="default" w:ascii="Times New Roman" w:hAnsi="Times New Roman" w:eastAsia="宋体" w:cs="Times New Roman"/>
                <w:color w:val="auto"/>
                <w:sz w:val="21"/>
                <w:szCs w:val="21"/>
                <w:highlight w:val="none"/>
                <w:lang w:bidi="ar"/>
              </w:rPr>
              <w:t>、氨氮</w:t>
            </w:r>
          </w:p>
        </w:tc>
        <w:tc>
          <w:tcPr>
            <w:tcW w:w="1113" w:type="dxa"/>
            <w:tcBorders>
              <w:top w:val="single" w:color="auto" w:sz="4" w:space="0"/>
              <w:left w:val="single" w:color="auto" w:sz="4" w:space="0"/>
              <w:bottom w:val="single" w:color="auto" w:sz="4" w:space="0"/>
              <w:right w:val="single" w:color="auto" w:sz="4" w:space="0"/>
            </w:tcBorders>
            <w:vAlign w:val="center"/>
          </w:tcPr>
          <w:p w14:paraId="7EA4B44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50E1929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continue"/>
            <w:tcBorders>
              <w:top w:val="single" w:color="auto" w:sz="4" w:space="0"/>
              <w:left w:val="single" w:color="auto" w:sz="4" w:space="0"/>
              <w:bottom w:val="single" w:color="auto" w:sz="4" w:space="0"/>
              <w:right w:val="single" w:color="auto" w:sz="4" w:space="0"/>
            </w:tcBorders>
            <w:vAlign w:val="center"/>
          </w:tcPr>
          <w:p w14:paraId="23B1266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626" w:type="dxa"/>
            <w:tcBorders>
              <w:top w:val="single" w:color="auto" w:sz="4" w:space="0"/>
              <w:left w:val="single" w:color="auto" w:sz="4" w:space="0"/>
              <w:bottom w:val="single" w:color="auto" w:sz="4" w:space="0"/>
              <w:right w:val="single" w:color="auto" w:sz="4" w:space="0"/>
            </w:tcBorders>
            <w:vAlign w:val="center"/>
          </w:tcPr>
          <w:p w14:paraId="5A8BD87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特征因子</w:t>
            </w:r>
          </w:p>
        </w:tc>
        <w:tc>
          <w:tcPr>
            <w:tcW w:w="5852" w:type="dxa"/>
            <w:gridSpan w:val="5"/>
            <w:tcBorders>
              <w:top w:val="single" w:color="auto" w:sz="4" w:space="0"/>
              <w:left w:val="single" w:color="auto" w:sz="4" w:space="0"/>
              <w:bottom w:val="single" w:color="auto" w:sz="4" w:space="0"/>
              <w:right w:val="single" w:color="auto" w:sz="4" w:space="0"/>
            </w:tcBorders>
            <w:vAlign w:val="center"/>
          </w:tcPr>
          <w:p w14:paraId="5B64218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1113" w:type="dxa"/>
            <w:tcBorders>
              <w:top w:val="single" w:color="auto" w:sz="4" w:space="0"/>
              <w:left w:val="single" w:color="auto" w:sz="4" w:space="0"/>
              <w:bottom w:val="single" w:color="auto" w:sz="4" w:space="0"/>
              <w:right w:val="single" w:color="auto" w:sz="4" w:space="0"/>
            </w:tcBorders>
            <w:vAlign w:val="center"/>
          </w:tcPr>
          <w:p w14:paraId="0417989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3C0AC9D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continue"/>
            <w:tcBorders>
              <w:top w:val="single" w:color="auto" w:sz="4" w:space="0"/>
              <w:left w:val="single" w:color="auto" w:sz="4" w:space="0"/>
              <w:bottom w:val="single" w:color="auto" w:sz="4" w:space="0"/>
              <w:right w:val="single" w:color="auto" w:sz="4" w:space="0"/>
            </w:tcBorders>
            <w:vAlign w:val="center"/>
          </w:tcPr>
          <w:p w14:paraId="1927E29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626" w:type="dxa"/>
            <w:tcBorders>
              <w:top w:val="single" w:color="auto" w:sz="4" w:space="0"/>
              <w:left w:val="single" w:color="auto" w:sz="4" w:space="0"/>
              <w:bottom w:val="single" w:color="auto" w:sz="4" w:space="0"/>
              <w:right w:val="single" w:color="auto" w:sz="4" w:space="0"/>
            </w:tcBorders>
            <w:vAlign w:val="center"/>
          </w:tcPr>
          <w:p w14:paraId="6C95253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所属土壤环境影响评价项目类别</w:t>
            </w:r>
          </w:p>
        </w:tc>
        <w:tc>
          <w:tcPr>
            <w:tcW w:w="5852" w:type="dxa"/>
            <w:gridSpan w:val="5"/>
            <w:tcBorders>
              <w:top w:val="single" w:color="auto" w:sz="4" w:space="0"/>
              <w:left w:val="single" w:color="auto" w:sz="4" w:space="0"/>
              <w:bottom w:val="single" w:color="auto" w:sz="4" w:space="0"/>
              <w:right w:val="single" w:color="auto" w:sz="4" w:space="0"/>
            </w:tcBorders>
            <w:vAlign w:val="center"/>
          </w:tcPr>
          <w:p w14:paraId="26A391F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Ⅰ类□；Ⅱ类□；Ⅲ类</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4"/>
                <w:sz w:val="21"/>
                <w:szCs w:val="21"/>
                <w:highlight w:val="none"/>
              </w:rPr>
              <w:instrText xml:space="preserve">□</w:instrText>
            </w:r>
            <w:r>
              <w:rPr>
                <w:rFonts w:hint="default" w:ascii="Times New Roman" w:hAnsi="Times New Roman" w:eastAsia="宋体" w:cs="Times New Roman"/>
                <w:color w:val="auto"/>
                <w:position w:val="0"/>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；Ⅳ类□</w:t>
            </w:r>
          </w:p>
        </w:tc>
        <w:tc>
          <w:tcPr>
            <w:tcW w:w="1113" w:type="dxa"/>
            <w:tcBorders>
              <w:top w:val="single" w:color="auto" w:sz="4" w:space="0"/>
              <w:left w:val="single" w:color="auto" w:sz="4" w:space="0"/>
              <w:bottom w:val="single" w:color="auto" w:sz="4" w:space="0"/>
              <w:right w:val="single" w:color="auto" w:sz="4" w:space="0"/>
            </w:tcBorders>
            <w:vAlign w:val="center"/>
          </w:tcPr>
          <w:p w14:paraId="02BA619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7274F29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continue"/>
            <w:tcBorders>
              <w:top w:val="single" w:color="auto" w:sz="4" w:space="0"/>
              <w:left w:val="single" w:color="auto" w:sz="4" w:space="0"/>
              <w:bottom w:val="single" w:color="auto" w:sz="4" w:space="0"/>
              <w:right w:val="single" w:color="auto" w:sz="4" w:space="0"/>
            </w:tcBorders>
            <w:vAlign w:val="center"/>
          </w:tcPr>
          <w:p w14:paraId="104A644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626" w:type="dxa"/>
            <w:tcBorders>
              <w:top w:val="single" w:color="auto" w:sz="4" w:space="0"/>
              <w:left w:val="single" w:color="auto" w:sz="4" w:space="0"/>
              <w:bottom w:val="single" w:color="auto" w:sz="4" w:space="0"/>
              <w:right w:val="single" w:color="auto" w:sz="4" w:space="0"/>
            </w:tcBorders>
            <w:vAlign w:val="center"/>
          </w:tcPr>
          <w:p w14:paraId="7A4B8C9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敏感程度</w:t>
            </w:r>
          </w:p>
        </w:tc>
        <w:tc>
          <w:tcPr>
            <w:tcW w:w="5852" w:type="dxa"/>
            <w:gridSpan w:val="5"/>
            <w:tcBorders>
              <w:top w:val="single" w:color="auto" w:sz="4" w:space="0"/>
              <w:left w:val="single" w:color="auto" w:sz="4" w:space="0"/>
              <w:bottom w:val="single" w:color="auto" w:sz="4" w:space="0"/>
              <w:right w:val="single" w:color="auto" w:sz="4" w:space="0"/>
            </w:tcBorders>
            <w:vAlign w:val="center"/>
          </w:tcPr>
          <w:p w14:paraId="62CE90A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敏感</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4"/>
                <w:sz w:val="21"/>
                <w:szCs w:val="21"/>
                <w:highlight w:val="none"/>
              </w:rPr>
              <w:instrText xml:space="preserve">□</w:instrText>
            </w:r>
            <w:r>
              <w:rPr>
                <w:rFonts w:hint="default" w:ascii="Times New Roman" w:hAnsi="Times New Roman" w:eastAsia="宋体" w:cs="Times New Roman"/>
                <w:color w:val="auto"/>
                <w:position w:val="0"/>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；较敏感□；不敏感□</w:t>
            </w:r>
          </w:p>
        </w:tc>
        <w:tc>
          <w:tcPr>
            <w:tcW w:w="1113" w:type="dxa"/>
            <w:tcBorders>
              <w:top w:val="single" w:color="auto" w:sz="4" w:space="0"/>
              <w:left w:val="single" w:color="auto" w:sz="4" w:space="0"/>
              <w:bottom w:val="single" w:color="auto" w:sz="4" w:space="0"/>
              <w:right w:val="single" w:color="auto" w:sz="4" w:space="0"/>
            </w:tcBorders>
            <w:vAlign w:val="center"/>
          </w:tcPr>
          <w:p w14:paraId="4C0FD32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1E7C07C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038" w:type="dxa"/>
            <w:gridSpan w:val="2"/>
            <w:tcBorders>
              <w:top w:val="single" w:color="auto" w:sz="4" w:space="0"/>
              <w:left w:val="single" w:color="auto" w:sz="4" w:space="0"/>
              <w:bottom w:val="single" w:color="auto" w:sz="4" w:space="0"/>
              <w:right w:val="single" w:color="auto" w:sz="4" w:space="0"/>
            </w:tcBorders>
            <w:vAlign w:val="center"/>
          </w:tcPr>
          <w:p w14:paraId="344A801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评价工作等级</w:t>
            </w:r>
          </w:p>
        </w:tc>
        <w:tc>
          <w:tcPr>
            <w:tcW w:w="5852" w:type="dxa"/>
            <w:gridSpan w:val="5"/>
            <w:tcBorders>
              <w:top w:val="single" w:color="auto" w:sz="4" w:space="0"/>
              <w:left w:val="single" w:color="auto" w:sz="4" w:space="0"/>
              <w:bottom w:val="single" w:color="auto" w:sz="4" w:space="0"/>
              <w:right w:val="single" w:color="auto" w:sz="4" w:space="0"/>
            </w:tcBorders>
            <w:vAlign w:val="center"/>
          </w:tcPr>
          <w:p w14:paraId="2154E38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一级□；二级□；三级</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4"/>
                <w:sz w:val="21"/>
                <w:szCs w:val="21"/>
                <w:highlight w:val="none"/>
              </w:rPr>
              <w:instrText xml:space="preserve">□</w:instrText>
            </w:r>
            <w:r>
              <w:rPr>
                <w:rFonts w:hint="default" w:ascii="Times New Roman" w:hAnsi="Times New Roman" w:eastAsia="宋体" w:cs="Times New Roman"/>
                <w:color w:val="auto"/>
                <w:position w:val="0"/>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p>
        </w:tc>
        <w:tc>
          <w:tcPr>
            <w:tcW w:w="1113" w:type="dxa"/>
            <w:tcBorders>
              <w:top w:val="single" w:color="auto" w:sz="4" w:space="0"/>
              <w:left w:val="single" w:color="auto" w:sz="4" w:space="0"/>
              <w:bottom w:val="single" w:color="auto" w:sz="4" w:space="0"/>
              <w:right w:val="single" w:color="auto" w:sz="4" w:space="0"/>
            </w:tcBorders>
            <w:vAlign w:val="center"/>
          </w:tcPr>
          <w:p w14:paraId="563AE2E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468328C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restart"/>
            <w:tcBorders>
              <w:top w:val="single" w:color="auto" w:sz="4" w:space="0"/>
              <w:left w:val="single" w:color="auto" w:sz="4" w:space="0"/>
              <w:bottom w:val="single" w:color="auto" w:sz="4" w:space="0"/>
              <w:right w:val="single" w:color="auto" w:sz="4" w:space="0"/>
            </w:tcBorders>
            <w:vAlign w:val="center"/>
          </w:tcPr>
          <w:p w14:paraId="237D737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现状调查内容</w:t>
            </w:r>
          </w:p>
        </w:tc>
        <w:tc>
          <w:tcPr>
            <w:tcW w:w="1626" w:type="dxa"/>
            <w:tcBorders>
              <w:top w:val="single" w:color="auto" w:sz="4" w:space="0"/>
              <w:left w:val="single" w:color="auto" w:sz="4" w:space="0"/>
              <w:bottom w:val="single" w:color="auto" w:sz="4" w:space="0"/>
              <w:right w:val="single" w:color="auto" w:sz="4" w:space="0"/>
            </w:tcBorders>
            <w:vAlign w:val="center"/>
          </w:tcPr>
          <w:p w14:paraId="38BE096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资料收集</w:t>
            </w:r>
          </w:p>
        </w:tc>
        <w:tc>
          <w:tcPr>
            <w:tcW w:w="5852" w:type="dxa"/>
            <w:gridSpan w:val="5"/>
            <w:tcBorders>
              <w:top w:val="single" w:color="auto" w:sz="4" w:space="0"/>
              <w:left w:val="single" w:color="auto" w:sz="4" w:space="0"/>
              <w:bottom w:val="single" w:color="auto" w:sz="4" w:space="0"/>
              <w:right w:val="single" w:color="auto" w:sz="4" w:space="0"/>
            </w:tcBorders>
            <w:vAlign w:val="center"/>
          </w:tcPr>
          <w:p w14:paraId="1CF82A4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4"/>
                <w:sz w:val="21"/>
                <w:szCs w:val="21"/>
                <w:highlight w:val="none"/>
              </w:rPr>
              <w:instrText xml:space="preserve">□</w:instrText>
            </w:r>
            <w:r>
              <w:rPr>
                <w:rFonts w:hint="default" w:ascii="Times New Roman" w:hAnsi="Times New Roman" w:eastAsia="宋体" w:cs="Times New Roman"/>
                <w:color w:val="auto"/>
                <w:position w:val="0"/>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；b）</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4"/>
                <w:sz w:val="21"/>
                <w:szCs w:val="21"/>
                <w:highlight w:val="none"/>
              </w:rPr>
              <w:instrText xml:space="preserve">□</w:instrText>
            </w:r>
            <w:r>
              <w:rPr>
                <w:rFonts w:hint="default" w:ascii="Times New Roman" w:hAnsi="Times New Roman" w:eastAsia="宋体" w:cs="Times New Roman"/>
                <w:color w:val="auto"/>
                <w:position w:val="0"/>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；c）</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4"/>
                <w:sz w:val="21"/>
                <w:szCs w:val="21"/>
                <w:highlight w:val="none"/>
              </w:rPr>
              <w:instrText xml:space="preserve">□</w:instrText>
            </w:r>
            <w:r>
              <w:rPr>
                <w:rFonts w:hint="default" w:ascii="Times New Roman" w:hAnsi="Times New Roman" w:eastAsia="宋体" w:cs="Times New Roman"/>
                <w:color w:val="auto"/>
                <w:position w:val="0"/>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；d）</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4"/>
                <w:sz w:val="21"/>
                <w:szCs w:val="21"/>
                <w:highlight w:val="none"/>
              </w:rPr>
              <w:instrText xml:space="preserve">□</w:instrText>
            </w:r>
            <w:r>
              <w:rPr>
                <w:rFonts w:hint="default" w:ascii="Times New Roman" w:hAnsi="Times New Roman" w:eastAsia="宋体" w:cs="Times New Roman"/>
                <w:color w:val="auto"/>
                <w:position w:val="0"/>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p>
        </w:tc>
        <w:tc>
          <w:tcPr>
            <w:tcW w:w="1113" w:type="dxa"/>
            <w:tcBorders>
              <w:top w:val="single" w:color="auto" w:sz="4" w:space="0"/>
              <w:left w:val="single" w:color="auto" w:sz="4" w:space="0"/>
              <w:bottom w:val="single" w:color="auto" w:sz="4" w:space="0"/>
              <w:right w:val="single" w:color="auto" w:sz="4" w:space="0"/>
            </w:tcBorders>
            <w:vAlign w:val="center"/>
          </w:tcPr>
          <w:p w14:paraId="6CD404A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46B3B69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continue"/>
            <w:tcBorders>
              <w:top w:val="single" w:color="auto" w:sz="4" w:space="0"/>
              <w:left w:val="single" w:color="auto" w:sz="4" w:space="0"/>
              <w:bottom w:val="single" w:color="auto" w:sz="4" w:space="0"/>
              <w:right w:val="single" w:color="auto" w:sz="4" w:space="0"/>
            </w:tcBorders>
            <w:vAlign w:val="center"/>
          </w:tcPr>
          <w:p w14:paraId="54DF41D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626" w:type="dxa"/>
            <w:tcBorders>
              <w:top w:val="single" w:color="auto" w:sz="4" w:space="0"/>
              <w:left w:val="single" w:color="auto" w:sz="4" w:space="0"/>
              <w:bottom w:val="single" w:color="auto" w:sz="4" w:space="0"/>
              <w:right w:val="single" w:color="auto" w:sz="4" w:space="0"/>
            </w:tcBorders>
            <w:vAlign w:val="center"/>
          </w:tcPr>
          <w:p w14:paraId="3038BFB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理化特性</w:t>
            </w:r>
          </w:p>
        </w:tc>
        <w:tc>
          <w:tcPr>
            <w:tcW w:w="5852" w:type="dxa"/>
            <w:gridSpan w:val="5"/>
            <w:tcBorders>
              <w:top w:val="single" w:color="auto" w:sz="4" w:space="0"/>
              <w:left w:val="single" w:color="auto" w:sz="4" w:space="0"/>
              <w:bottom w:val="single" w:color="auto" w:sz="4" w:space="0"/>
              <w:right w:val="single" w:color="auto" w:sz="4" w:space="0"/>
            </w:tcBorders>
            <w:vAlign w:val="center"/>
          </w:tcPr>
          <w:p w14:paraId="3EF64BD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见表5.3-3</w:t>
            </w:r>
          </w:p>
        </w:tc>
        <w:tc>
          <w:tcPr>
            <w:tcW w:w="1113" w:type="dxa"/>
            <w:tcBorders>
              <w:top w:val="single" w:color="auto" w:sz="4" w:space="0"/>
              <w:left w:val="single" w:color="auto" w:sz="4" w:space="0"/>
              <w:bottom w:val="single" w:color="auto" w:sz="4" w:space="0"/>
              <w:right w:val="single" w:color="auto" w:sz="4" w:space="0"/>
            </w:tcBorders>
            <w:vAlign w:val="center"/>
          </w:tcPr>
          <w:p w14:paraId="3162373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同附录C</w:t>
            </w:r>
          </w:p>
        </w:tc>
      </w:tr>
      <w:tr w14:paraId="7B0E2EA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continue"/>
            <w:tcBorders>
              <w:top w:val="single" w:color="auto" w:sz="4" w:space="0"/>
              <w:left w:val="single" w:color="auto" w:sz="4" w:space="0"/>
              <w:bottom w:val="single" w:color="auto" w:sz="4" w:space="0"/>
              <w:right w:val="single" w:color="auto" w:sz="4" w:space="0"/>
            </w:tcBorders>
            <w:vAlign w:val="center"/>
          </w:tcPr>
          <w:p w14:paraId="62B1BAD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626" w:type="dxa"/>
            <w:vMerge w:val="restart"/>
            <w:tcBorders>
              <w:top w:val="single" w:color="auto" w:sz="4" w:space="0"/>
              <w:left w:val="single" w:color="auto" w:sz="4" w:space="0"/>
              <w:bottom w:val="single" w:color="auto" w:sz="4" w:space="0"/>
              <w:right w:val="single" w:color="auto" w:sz="4" w:space="0"/>
            </w:tcBorders>
            <w:vAlign w:val="center"/>
          </w:tcPr>
          <w:p w14:paraId="0535ABC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现状监测点位</w:t>
            </w:r>
          </w:p>
        </w:tc>
        <w:tc>
          <w:tcPr>
            <w:tcW w:w="1374" w:type="dxa"/>
            <w:tcBorders>
              <w:top w:val="single" w:color="auto" w:sz="4" w:space="0"/>
              <w:left w:val="single" w:color="auto" w:sz="4" w:space="0"/>
              <w:bottom w:val="single" w:color="auto" w:sz="4" w:space="0"/>
              <w:right w:val="single" w:color="auto" w:sz="4" w:space="0"/>
            </w:tcBorders>
            <w:vAlign w:val="center"/>
          </w:tcPr>
          <w:p w14:paraId="042B27C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487" w:type="dxa"/>
            <w:tcBorders>
              <w:top w:val="single" w:color="auto" w:sz="4" w:space="0"/>
              <w:left w:val="single" w:color="auto" w:sz="4" w:space="0"/>
              <w:bottom w:val="single" w:color="auto" w:sz="4" w:space="0"/>
              <w:right w:val="single" w:color="auto" w:sz="4" w:space="0"/>
            </w:tcBorders>
            <w:vAlign w:val="center"/>
          </w:tcPr>
          <w:p w14:paraId="1B4F629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占地范围内</w:t>
            </w:r>
          </w:p>
        </w:tc>
        <w:tc>
          <w:tcPr>
            <w:tcW w:w="2210" w:type="dxa"/>
            <w:gridSpan w:val="2"/>
            <w:tcBorders>
              <w:top w:val="single" w:color="auto" w:sz="4" w:space="0"/>
              <w:left w:val="single" w:color="auto" w:sz="4" w:space="0"/>
              <w:bottom w:val="single" w:color="auto" w:sz="4" w:space="0"/>
              <w:right w:val="single" w:color="auto" w:sz="4" w:space="0"/>
            </w:tcBorders>
            <w:vAlign w:val="center"/>
          </w:tcPr>
          <w:p w14:paraId="28AA0A3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占地范围外</w:t>
            </w:r>
          </w:p>
        </w:tc>
        <w:tc>
          <w:tcPr>
            <w:tcW w:w="781" w:type="dxa"/>
            <w:tcBorders>
              <w:top w:val="single" w:color="auto" w:sz="4" w:space="0"/>
              <w:left w:val="single" w:color="auto" w:sz="4" w:space="0"/>
              <w:bottom w:val="single" w:color="auto" w:sz="4" w:space="0"/>
              <w:right w:val="single" w:color="auto" w:sz="4" w:space="0"/>
            </w:tcBorders>
            <w:vAlign w:val="center"/>
          </w:tcPr>
          <w:p w14:paraId="1C76EE1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深度</w:t>
            </w:r>
          </w:p>
        </w:tc>
        <w:tc>
          <w:tcPr>
            <w:tcW w:w="1113" w:type="dxa"/>
            <w:vMerge w:val="restart"/>
            <w:tcBorders>
              <w:top w:val="single" w:color="auto" w:sz="4" w:space="0"/>
              <w:left w:val="single" w:color="auto" w:sz="4" w:space="0"/>
              <w:bottom w:val="single" w:color="auto" w:sz="4" w:space="0"/>
              <w:right w:val="single" w:color="auto" w:sz="4" w:space="0"/>
            </w:tcBorders>
            <w:vAlign w:val="center"/>
          </w:tcPr>
          <w:p w14:paraId="3CEFEB6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p w14:paraId="2155811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点位布置图</w:t>
            </w:r>
          </w:p>
        </w:tc>
      </w:tr>
      <w:tr w14:paraId="61F85E7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continue"/>
            <w:tcBorders>
              <w:top w:val="single" w:color="auto" w:sz="4" w:space="0"/>
              <w:left w:val="single" w:color="auto" w:sz="4" w:space="0"/>
              <w:bottom w:val="single" w:color="auto" w:sz="4" w:space="0"/>
              <w:right w:val="single" w:color="auto" w:sz="4" w:space="0"/>
            </w:tcBorders>
            <w:vAlign w:val="center"/>
          </w:tcPr>
          <w:p w14:paraId="77CF4E0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626" w:type="dxa"/>
            <w:vMerge w:val="continue"/>
            <w:tcBorders>
              <w:top w:val="single" w:color="auto" w:sz="4" w:space="0"/>
              <w:left w:val="single" w:color="auto" w:sz="4" w:space="0"/>
              <w:bottom w:val="single" w:color="auto" w:sz="4" w:space="0"/>
              <w:right w:val="single" w:color="auto" w:sz="4" w:space="0"/>
            </w:tcBorders>
            <w:vAlign w:val="center"/>
          </w:tcPr>
          <w:p w14:paraId="0444A27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374" w:type="dxa"/>
            <w:tcBorders>
              <w:top w:val="single" w:color="auto" w:sz="4" w:space="0"/>
              <w:left w:val="single" w:color="auto" w:sz="4" w:space="0"/>
              <w:bottom w:val="single" w:color="auto" w:sz="4" w:space="0"/>
              <w:right w:val="single" w:color="auto" w:sz="4" w:space="0"/>
            </w:tcBorders>
            <w:vAlign w:val="center"/>
          </w:tcPr>
          <w:p w14:paraId="072C3A5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表层样点数</w:t>
            </w:r>
          </w:p>
        </w:tc>
        <w:tc>
          <w:tcPr>
            <w:tcW w:w="1487" w:type="dxa"/>
            <w:tcBorders>
              <w:top w:val="single" w:color="auto" w:sz="4" w:space="0"/>
              <w:left w:val="single" w:color="auto" w:sz="4" w:space="0"/>
              <w:bottom w:val="single" w:color="auto" w:sz="4" w:space="0"/>
              <w:right w:val="single" w:color="auto" w:sz="4" w:space="0"/>
            </w:tcBorders>
            <w:vAlign w:val="center"/>
          </w:tcPr>
          <w:p w14:paraId="6939AC3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2210" w:type="dxa"/>
            <w:gridSpan w:val="2"/>
            <w:tcBorders>
              <w:top w:val="single" w:color="auto" w:sz="4" w:space="0"/>
              <w:left w:val="single" w:color="auto" w:sz="4" w:space="0"/>
              <w:bottom w:val="single" w:color="auto" w:sz="4" w:space="0"/>
              <w:right w:val="single" w:color="auto" w:sz="4" w:space="0"/>
            </w:tcBorders>
            <w:vAlign w:val="center"/>
          </w:tcPr>
          <w:p w14:paraId="3BDA115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c>
          <w:tcPr>
            <w:tcW w:w="781" w:type="dxa"/>
            <w:tcBorders>
              <w:top w:val="single" w:color="auto" w:sz="4" w:space="0"/>
              <w:left w:val="single" w:color="auto" w:sz="4" w:space="0"/>
              <w:bottom w:val="single" w:color="auto" w:sz="4" w:space="0"/>
              <w:right w:val="single" w:color="auto" w:sz="4" w:space="0"/>
            </w:tcBorders>
            <w:vAlign w:val="center"/>
          </w:tcPr>
          <w:p w14:paraId="22D8B01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0.2m</w:t>
            </w:r>
          </w:p>
        </w:tc>
        <w:tc>
          <w:tcPr>
            <w:tcW w:w="1113" w:type="dxa"/>
            <w:vMerge w:val="continue"/>
            <w:tcBorders>
              <w:top w:val="single" w:color="auto" w:sz="4" w:space="0"/>
              <w:left w:val="single" w:color="auto" w:sz="4" w:space="0"/>
              <w:bottom w:val="single" w:color="auto" w:sz="4" w:space="0"/>
              <w:right w:val="single" w:color="auto" w:sz="4" w:space="0"/>
            </w:tcBorders>
            <w:vAlign w:val="center"/>
          </w:tcPr>
          <w:p w14:paraId="467D987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684F0AD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continue"/>
            <w:tcBorders>
              <w:top w:val="single" w:color="auto" w:sz="4" w:space="0"/>
              <w:left w:val="single" w:color="auto" w:sz="4" w:space="0"/>
              <w:bottom w:val="single" w:color="auto" w:sz="4" w:space="0"/>
              <w:right w:val="single" w:color="auto" w:sz="4" w:space="0"/>
            </w:tcBorders>
            <w:vAlign w:val="center"/>
          </w:tcPr>
          <w:p w14:paraId="4CA4C5E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626" w:type="dxa"/>
            <w:vMerge w:val="continue"/>
            <w:tcBorders>
              <w:top w:val="single" w:color="auto" w:sz="4" w:space="0"/>
              <w:left w:val="single" w:color="auto" w:sz="4" w:space="0"/>
              <w:bottom w:val="single" w:color="auto" w:sz="4" w:space="0"/>
              <w:right w:val="single" w:color="auto" w:sz="4" w:space="0"/>
            </w:tcBorders>
            <w:vAlign w:val="center"/>
          </w:tcPr>
          <w:p w14:paraId="0C800A8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374" w:type="dxa"/>
            <w:tcBorders>
              <w:top w:val="single" w:color="auto" w:sz="4" w:space="0"/>
              <w:left w:val="single" w:color="auto" w:sz="4" w:space="0"/>
              <w:bottom w:val="single" w:color="auto" w:sz="4" w:space="0"/>
              <w:right w:val="single" w:color="auto" w:sz="4" w:space="0"/>
            </w:tcBorders>
            <w:vAlign w:val="center"/>
          </w:tcPr>
          <w:p w14:paraId="03D0BD9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柱状样点数</w:t>
            </w:r>
          </w:p>
        </w:tc>
        <w:tc>
          <w:tcPr>
            <w:tcW w:w="1487" w:type="dxa"/>
            <w:tcBorders>
              <w:top w:val="single" w:color="auto" w:sz="4" w:space="0"/>
              <w:left w:val="single" w:color="auto" w:sz="4" w:space="0"/>
              <w:bottom w:val="single" w:color="auto" w:sz="4" w:space="0"/>
              <w:right w:val="single" w:color="auto" w:sz="4" w:space="0"/>
            </w:tcBorders>
            <w:vAlign w:val="center"/>
          </w:tcPr>
          <w:p w14:paraId="43C8B23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c>
          <w:tcPr>
            <w:tcW w:w="2210" w:type="dxa"/>
            <w:gridSpan w:val="2"/>
            <w:tcBorders>
              <w:top w:val="single" w:color="auto" w:sz="4" w:space="0"/>
              <w:left w:val="single" w:color="auto" w:sz="4" w:space="0"/>
              <w:bottom w:val="single" w:color="auto" w:sz="4" w:space="0"/>
              <w:right w:val="single" w:color="auto" w:sz="4" w:space="0"/>
            </w:tcBorders>
            <w:vAlign w:val="center"/>
          </w:tcPr>
          <w:p w14:paraId="33AE9D5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c>
          <w:tcPr>
            <w:tcW w:w="781" w:type="dxa"/>
            <w:tcBorders>
              <w:top w:val="single" w:color="auto" w:sz="4" w:space="0"/>
              <w:left w:val="single" w:color="auto" w:sz="4" w:space="0"/>
              <w:bottom w:val="single" w:color="auto" w:sz="4" w:space="0"/>
              <w:right w:val="single" w:color="auto" w:sz="4" w:space="0"/>
            </w:tcBorders>
            <w:vAlign w:val="center"/>
          </w:tcPr>
          <w:p w14:paraId="098E05F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113" w:type="dxa"/>
            <w:vMerge w:val="continue"/>
            <w:tcBorders>
              <w:top w:val="single" w:color="auto" w:sz="4" w:space="0"/>
              <w:left w:val="single" w:color="auto" w:sz="4" w:space="0"/>
              <w:bottom w:val="single" w:color="auto" w:sz="4" w:space="0"/>
              <w:right w:val="single" w:color="auto" w:sz="4" w:space="0"/>
            </w:tcBorders>
            <w:vAlign w:val="center"/>
          </w:tcPr>
          <w:p w14:paraId="6CFB9F1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3BC603D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continue"/>
            <w:tcBorders>
              <w:top w:val="single" w:color="auto" w:sz="4" w:space="0"/>
              <w:left w:val="single" w:color="auto" w:sz="4" w:space="0"/>
              <w:bottom w:val="single" w:color="auto" w:sz="4" w:space="0"/>
              <w:right w:val="single" w:color="auto" w:sz="4" w:space="0"/>
            </w:tcBorders>
            <w:vAlign w:val="center"/>
          </w:tcPr>
          <w:p w14:paraId="5AD8C06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626" w:type="dxa"/>
            <w:tcBorders>
              <w:top w:val="single" w:color="auto" w:sz="4" w:space="0"/>
              <w:left w:val="single" w:color="auto" w:sz="4" w:space="0"/>
              <w:bottom w:val="single" w:color="auto" w:sz="4" w:space="0"/>
              <w:right w:val="single" w:color="auto" w:sz="4" w:space="0"/>
            </w:tcBorders>
            <w:vAlign w:val="center"/>
          </w:tcPr>
          <w:p w14:paraId="76A0670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现状监测因子</w:t>
            </w:r>
          </w:p>
        </w:tc>
        <w:tc>
          <w:tcPr>
            <w:tcW w:w="5852" w:type="dxa"/>
            <w:gridSpan w:val="5"/>
            <w:tcBorders>
              <w:top w:val="single" w:color="auto" w:sz="4" w:space="0"/>
              <w:left w:val="single" w:color="auto" w:sz="4" w:space="0"/>
              <w:bottom w:val="single" w:color="auto" w:sz="4" w:space="0"/>
              <w:right w:val="single" w:color="auto" w:sz="4" w:space="0"/>
            </w:tcBorders>
            <w:vAlign w:val="center"/>
          </w:tcPr>
          <w:p w14:paraId="47D906C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GB15618</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4"/>
                <w:sz w:val="21"/>
                <w:szCs w:val="21"/>
                <w:highlight w:val="none"/>
              </w:rPr>
              <w:instrText xml:space="preserve">□</w:instrText>
            </w:r>
            <w:r>
              <w:rPr>
                <w:rFonts w:hint="default" w:ascii="Times New Roman" w:hAnsi="Times New Roman" w:eastAsia="宋体" w:cs="Times New Roman"/>
                <w:color w:val="auto"/>
                <w:position w:val="-4"/>
                <w:sz w:val="21"/>
                <w:szCs w:val="21"/>
                <w:highlight w:val="none"/>
                <w:lang w:eastAsia="zh-CN"/>
              </w:rPr>
              <w:instrText xml:space="preserve">,</w:instrText>
            </w:r>
            <w:r>
              <w:rPr>
                <w:rFonts w:hint="default" w:ascii="Times New Roman" w:hAnsi="Times New Roman" w:eastAsia="宋体" w:cs="Times New Roman"/>
                <w:color w:val="auto"/>
                <w:position w:val="0"/>
                <w:sz w:val="21"/>
                <w:szCs w:val="21"/>
                <w:highlight w:val="none"/>
                <w:lang w:eastAsia="zh-CN"/>
              </w:rPr>
              <w:instrText xml:space="preserve">√</w:instrText>
            </w:r>
            <w:r>
              <w:rPr>
                <w:rFonts w:hint="default" w:ascii="Times New Roman" w:hAnsi="Times New Roman" w:eastAsia="宋体" w:cs="Times New Roman"/>
                <w:color w:val="auto"/>
                <w:position w:val="0"/>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；GB36600□；表D.1□；表D.2□；其他（）</w:t>
            </w:r>
          </w:p>
        </w:tc>
        <w:tc>
          <w:tcPr>
            <w:tcW w:w="1113" w:type="dxa"/>
            <w:tcBorders>
              <w:top w:val="single" w:color="auto" w:sz="4" w:space="0"/>
              <w:left w:val="single" w:color="auto" w:sz="4" w:space="0"/>
              <w:bottom w:val="single" w:color="auto" w:sz="4" w:space="0"/>
              <w:right w:val="single" w:color="auto" w:sz="4" w:space="0"/>
            </w:tcBorders>
            <w:vAlign w:val="center"/>
          </w:tcPr>
          <w:p w14:paraId="1A1D3C5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7275D5C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restart"/>
            <w:tcBorders>
              <w:top w:val="single" w:color="auto" w:sz="4" w:space="0"/>
              <w:left w:val="single" w:color="auto" w:sz="4" w:space="0"/>
              <w:bottom w:val="single" w:color="auto" w:sz="4" w:space="0"/>
              <w:right w:val="single" w:color="auto" w:sz="4" w:space="0"/>
            </w:tcBorders>
            <w:vAlign w:val="center"/>
          </w:tcPr>
          <w:p w14:paraId="0EF8F82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w:t>
            </w:r>
          </w:p>
          <w:p w14:paraId="30D9D58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价</w:t>
            </w:r>
          </w:p>
        </w:tc>
        <w:tc>
          <w:tcPr>
            <w:tcW w:w="1626" w:type="dxa"/>
            <w:tcBorders>
              <w:top w:val="single" w:color="auto" w:sz="4" w:space="0"/>
              <w:left w:val="single" w:color="auto" w:sz="4" w:space="0"/>
              <w:bottom w:val="single" w:color="auto" w:sz="4" w:space="0"/>
              <w:right w:val="single" w:color="auto" w:sz="4" w:space="0"/>
            </w:tcBorders>
            <w:vAlign w:val="center"/>
          </w:tcPr>
          <w:p w14:paraId="6A4EA7C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评价因子</w:t>
            </w:r>
          </w:p>
        </w:tc>
        <w:tc>
          <w:tcPr>
            <w:tcW w:w="5852" w:type="dxa"/>
            <w:gridSpan w:val="5"/>
            <w:tcBorders>
              <w:top w:val="single" w:color="auto" w:sz="4" w:space="0"/>
              <w:left w:val="single" w:color="auto" w:sz="4" w:space="0"/>
              <w:bottom w:val="single" w:color="auto" w:sz="4" w:space="0"/>
              <w:right w:val="single" w:color="auto" w:sz="4" w:space="0"/>
            </w:tcBorders>
            <w:vAlign w:val="center"/>
          </w:tcPr>
          <w:p w14:paraId="60DEA4E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满足《</w:t>
            </w:r>
            <w:r>
              <w:rPr>
                <w:rFonts w:hint="default" w:ascii="Times New Roman" w:hAnsi="Times New Roman" w:eastAsia="宋体" w:cs="Times New Roman"/>
                <w:color w:val="auto"/>
                <w:sz w:val="21"/>
                <w:szCs w:val="21"/>
                <w:highlight w:val="none"/>
                <w:lang w:eastAsia="zh-CN"/>
              </w:rPr>
              <w:t>土壤环境质量农用地土壤污染风险管控标准</w:t>
            </w:r>
            <w:r>
              <w:rPr>
                <w:rFonts w:hint="default" w:ascii="Times New Roman" w:hAnsi="Times New Roman" w:eastAsia="宋体" w:cs="Times New Roman"/>
                <w:color w:val="auto"/>
                <w:sz w:val="21"/>
                <w:szCs w:val="21"/>
                <w:highlight w:val="none"/>
              </w:rPr>
              <w:t>（试行）》（</w:t>
            </w:r>
            <w:r>
              <w:rPr>
                <w:rFonts w:hint="default" w:ascii="Times New Roman" w:hAnsi="Times New Roman" w:eastAsia="宋体" w:cs="Times New Roman"/>
                <w:color w:val="auto"/>
                <w:sz w:val="21"/>
                <w:szCs w:val="21"/>
                <w:highlight w:val="none"/>
                <w:lang w:eastAsia="zh-CN"/>
              </w:rPr>
              <w:t>GB15618</w:t>
            </w:r>
            <w:r>
              <w:rPr>
                <w:rFonts w:hint="default" w:ascii="Times New Roman" w:hAnsi="Times New Roman" w:eastAsia="宋体" w:cs="Times New Roman"/>
                <w:color w:val="auto"/>
                <w:sz w:val="21"/>
                <w:szCs w:val="21"/>
                <w:highlight w:val="none"/>
              </w:rPr>
              <w:t>-2018）表1农用地土壤污染风险筛选值（基本项目）--“其他”标准</w:t>
            </w:r>
          </w:p>
        </w:tc>
        <w:tc>
          <w:tcPr>
            <w:tcW w:w="1113" w:type="dxa"/>
            <w:tcBorders>
              <w:top w:val="single" w:color="auto" w:sz="4" w:space="0"/>
              <w:left w:val="single" w:color="auto" w:sz="4" w:space="0"/>
              <w:bottom w:val="single" w:color="auto" w:sz="4" w:space="0"/>
              <w:right w:val="single" w:color="auto" w:sz="4" w:space="0"/>
            </w:tcBorders>
            <w:vAlign w:val="center"/>
          </w:tcPr>
          <w:p w14:paraId="3BBF686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5D9E3AA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continue"/>
            <w:tcBorders>
              <w:top w:val="single" w:color="auto" w:sz="4" w:space="0"/>
              <w:left w:val="single" w:color="auto" w:sz="4" w:space="0"/>
              <w:bottom w:val="single" w:color="auto" w:sz="4" w:space="0"/>
              <w:right w:val="single" w:color="auto" w:sz="4" w:space="0"/>
            </w:tcBorders>
            <w:vAlign w:val="center"/>
          </w:tcPr>
          <w:p w14:paraId="5A6BDCB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626" w:type="dxa"/>
            <w:tcBorders>
              <w:top w:val="single" w:color="auto" w:sz="4" w:space="0"/>
              <w:left w:val="single" w:color="auto" w:sz="4" w:space="0"/>
              <w:bottom w:val="single" w:color="auto" w:sz="4" w:space="0"/>
              <w:right w:val="single" w:color="auto" w:sz="4" w:space="0"/>
            </w:tcBorders>
            <w:vAlign w:val="center"/>
          </w:tcPr>
          <w:p w14:paraId="2A02805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评价标准</w:t>
            </w:r>
          </w:p>
        </w:tc>
        <w:tc>
          <w:tcPr>
            <w:tcW w:w="5852" w:type="dxa"/>
            <w:gridSpan w:val="5"/>
            <w:tcBorders>
              <w:top w:val="single" w:color="auto" w:sz="4" w:space="0"/>
              <w:left w:val="single" w:color="auto" w:sz="4" w:space="0"/>
              <w:bottom w:val="single" w:color="auto" w:sz="4" w:space="0"/>
              <w:right w:val="single" w:color="auto" w:sz="4" w:space="0"/>
            </w:tcBorders>
            <w:vAlign w:val="center"/>
          </w:tcPr>
          <w:p w14:paraId="7AF9BEE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lang w:eastAsia="zh-CN"/>
              </w:rPr>
              <w:t>GB15618</w:t>
            </w:r>
            <w:r>
              <w:rPr>
                <w:rFonts w:hint="default" w:ascii="Times New Roman" w:hAnsi="Times New Roman" w:eastAsia="宋体" w:cs="Times New Roman"/>
                <w:color w:val="0000FF"/>
                <w:sz w:val="21"/>
                <w:szCs w:val="21"/>
                <w:highlight w:val="none"/>
              </w:rPr>
              <w:fldChar w:fldCharType="begin"/>
            </w:r>
            <w:r>
              <w:rPr>
                <w:rFonts w:hint="default" w:ascii="Times New Roman" w:hAnsi="Times New Roman" w:eastAsia="宋体" w:cs="Times New Roman"/>
                <w:color w:val="0000FF"/>
                <w:sz w:val="21"/>
                <w:szCs w:val="21"/>
                <w:highlight w:val="none"/>
              </w:rPr>
              <w:instrText xml:space="preserve"> eq \o\ac(</w:instrText>
            </w:r>
            <w:r>
              <w:rPr>
                <w:rFonts w:hint="default" w:ascii="Times New Roman" w:hAnsi="Times New Roman" w:eastAsia="宋体" w:cs="Times New Roman"/>
                <w:color w:val="0000FF"/>
                <w:position w:val="-4"/>
                <w:sz w:val="21"/>
                <w:szCs w:val="21"/>
                <w:highlight w:val="none"/>
              </w:rPr>
              <w:instrText xml:space="preserve">□</w:instrText>
            </w:r>
            <w:r>
              <w:rPr>
                <w:rFonts w:hint="default" w:ascii="Times New Roman" w:hAnsi="Times New Roman" w:eastAsia="宋体" w:cs="Times New Roman"/>
                <w:color w:val="0000FF"/>
                <w:position w:val="-4"/>
                <w:sz w:val="21"/>
                <w:szCs w:val="21"/>
                <w:highlight w:val="none"/>
                <w:lang w:eastAsia="zh-CN"/>
              </w:rPr>
              <w:instrText xml:space="preserve">,</w:instrText>
            </w:r>
            <w:r>
              <w:rPr>
                <w:rFonts w:hint="default" w:ascii="Times New Roman" w:hAnsi="Times New Roman" w:eastAsia="宋体" w:cs="Times New Roman"/>
                <w:color w:val="0000FF"/>
                <w:position w:val="0"/>
                <w:sz w:val="21"/>
                <w:szCs w:val="21"/>
                <w:highlight w:val="none"/>
                <w:lang w:eastAsia="zh-CN"/>
              </w:rPr>
              <w:instrText xml:space="preserve">√</w:instrText>
            </w:r>
            <w:r>
              <w:rPr>
                <w:rFonts w:hint="default" w:ascii="Times New Roman" w:hAnsi="Times New Roman" w:eastAsia="宋体" w:cs="Times New Roman"/>
                <w:color w:val="0000FF"/>
                <w:position w:val="0"/>
                <w:sz w:val="21"/>
                <w:szCs w:val="21"/>
                <w:highlight w:val="none"/>
              </w:rPr>
              <w:instrText xml:space="preserve">)</w:instrText>
            </w:r>
            <w:r>
              <w:rPr>
                <w:rFonts w:hint="default" w:ascii="Times New Roman" w:hAnsi="Times New Roman" w:eastAsia="宋体" w:cs="Times New Roman"/>
                <w:color w:val="0000FF"/>
                <w:sz w:val="21"/>
                <w:szCs w:val="21"/>
                <w:highlight w:val="none"/>
              </w:rPr>
              <w:fldChar w:fldCharType="end"/>
            </w:r>
            <w:r>
              <w:rPr>
                <w:rFonts w:hint="default" w:ascii="Times New Roman" w:hAnsi="Times New Roman" w:eastAsia="宋体" w:cs="Times New Roman"/>
                <w:color w:val="0000FF"/>
                <w:sz w:val="21"/>
                <w:szCs w:val="21"/>
                <w:highlight w:val="none"/>
              </w:rPr>
              <w:t>；GB36600</w:t>
            </w:r>
            <w:r>
              <w:rPr>
                <w:rFonts w:hint="default" w:ascii="Times New Roman" w:hAnsi="Times New Roman" w:eastAsia="宋体" w:cs="Times New Roman"/>
                <w:color w:val="0000FF"/>
                <w:sz w:val="21"/>
                <w:szCs w:val="21"/>
                <w:highlight w:val="none"/>
              </w:rPr>
              <w:fldChar w:fldCharType="begin"/>
            </w:r>
            <w:r>
              <w:rPr>
                <w:rFonts w:hint="default" w:ascii="Times New Roman" w:hAnsi="Times New Roman" w:eastAsia="宋体" w:cs="Times New Roman"/>
                <w:color w:val="0000FF"/>
                <w:sz w:val="21"/>
                <w:szCs w:val="21"/>
                <w:highlight w:val="none"/>
              </w:rPr>
              <w:instrText xml:space="preserve"> eq \o\ac(</w:instrText>
            </w:r>
            <w:r>
              <w:rPr>
                <w:rFonts w:hint="default" w:ascii="Times New Roman" w:hAnsi="Times New Roman" w:eastAsia="宋体" w:cs="Times New Roman"/>
                <w:color w:val="0000FF"/>
                <w:position w:val="-4"/>
                <w:sz w:val="21"/>
                <w:szCs w:val="21"/>
                <w:highlight w:val="none"/>
              </w:rPr>
              <w:instrText xml:space="preserve">□</w:instrText>
            </w:r>
            <w:r>
              <w:rPr>
                <w:rFonts w:hint="default" w:ascii="Times New Roman" w:hAnsi="Times New Roman" w:eastAsia="宋体" w:cs="Times New Roman"/>
                <w:color w:val="0000FF"/>
                <w:position w:val="0"/>
                <w:sz w:val="21"/>
                <w:szCs w:val="21"/>
                <w:highlight w:val="none"/>
              </w:rPr>
              <w:instrText xml:space="preserve">)</w:instrText>
            </w:r>
            <w:r>
              <w:rPr>
                <w:rFonts w:hint="default" w:ascii="Times New Roman" w:hAnsi="Times New Roman" w:eastAsia="宋体" w:cs="Times New Roman"/>
                <w:color w:val="0000FF"/>
                <w:sz w:val="21"/>
                <w:szCs w:val="21"/>
                <w:highlight w:val="none"/>
              </w:rPr>
              <w:fldChar w:fldCharType="end"/>
            </w:r>
            <w:r>
              <w:rPr>
                <w:rFonts w:hint="default" w:ascii="Times New Roman" w:hAnsi="Times New Roman" w:eastAsia="宋体" w:cs="Times New Roman"/>
                <w:color w:val="0000FF"/>
                <w:sz w:val="21"/>
                <w:szCs w:val="21"/>
                <w:highlight w:val="none"/>
              </w:rPr>
              <w:t>；表D.1□；表D.2□；其他（）</w:t>
            </w:r>
          </w:p>
        </w:tc>
        <w:tc>
          <w:tcPr>
            <w:tcW w:w="1113" w:type="dxa"/>
            <w:tcBorders>
              <w:top w:val="single" w:color="auto" w:sz="4" w:space="0"/>
              <w:left w:val="single" w:color="auto" w:sz="4" w:space="0"/>
              <w:bottom w:val="single" w:color="auto" w:sz="4" w:space="0"/>
              <w:right w:val="single" w:color="auto" w:sz="4" w:space="0"/>
            </w:tcBorders>
            <w:vAlign w:val="center"/>
          </w:tcPr>
          <w:p w14:paraId="09CB982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332A772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continue"/>
            <w:tcBorders>
              <w:top w:val="single" w:color="auto" w:sz="4" w:space="0"/>
              <w:left w:val="single" w:color="auto" w:sz="4" w:space="0"/>
              <w:bottom w:val="single" w:color="auto" w:sz="4" w:space="0"/>
              <w:right w:val="single" w:color="auto" w:sz="4" w:space="0"/>
            </w:tcBorders>
            <w:vAlign w:val="center"/>
          </w:tcPr>
          <w:p w14:paraId="75FFA73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626" w:type="dxa"/>
            <w:tcBorders>
              <w:top w:val="single" w:color="auto" w:sz="4" w:space="0"/>
              <w:left w:val="single" w:color="auto" w:sz="4" w:space="0"/>
              <w:bottom w:val="single" w:color="auto" w:sz="4" w:space="0"/>
              <w:right w:val="single" w:color="auto" w:sz="4" w:space="0"/>
            </w:tcBorders>
            <w:vAlign w:val="center"/>
          </w:tcPr>
          <w:p w14:paraId="4636E63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现状评价结论</w:t>
            </w:r>
          </w:p>
        </w:tc>
        <w:tc>
          <w:tcPr>
            <w:tcW w:w="5852" w:type="dxa"/>
            <w:gridSpan w:val="5"/>
            <w:tcBorders>
              <w:top w:val="single" w:color="auto" w:sz="4" w:space="0"/>
              <w:left w:val="single" w:color="auto" w:sz="4" w:space="0"/>
              <w:bottom w:val="single" w:color="auto" w:sz="4" w:space="0"/>
              <w:right w:val="single" w:color="auto" w:sz="4" w:space="0"/>
            </w:tcBorders>
            <w:vAlign w:val="center"/>
          </w:tcPr>
          <w:p w14:paraId="2EC9CDC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满足</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土壤环境质量农用地土壤污染风险管控标准</w:t>
            </w:r>
            <w:r>
              <w:rPr>
                <w:rFonts w:hint="default" w:ascii="Times New Roman" w:hAnsi="Times New Roman" w:eastAsia="宋体" w:cs="Times New Roman"/>
                <w:color w:val="auto"/>
                <w:sz w:val="21"/>
                <w:szCs w:val="21"/>
                <w:highlight w:val="none"/>
                <w:lang w:eastAsia="zh-CN"/>
              </w:rPr>
              <w:t>（试行）》（GB15618-2018）表1农用地土壤污染风险筛选值（基本项目）--“其他”标准</w:t>
            </w:r>
          </w:p>
        </w:tc>
        <w:tc>
          <w:tcPr>
            <w:tcW w:w="1113" w:type="dxa"/>
            <w:tcBorders>
              <w:top w:val="single" w:color="auto" w:sz="4" w:space="0"/>
              <w:left w:val="single" w:color="auto" w:sz="4" w:space="0"/>
              <w:bottom w:val="single" w:color="auto" w:sz="4" w:space="0"/>
              <w:right w:val="single" w:color="auto" w:sz="4" w:space="0"/>
            </w:tcBorders>
            <w:vAlign w:val="center"/>
          </w:tcPr>
          <w:p w14:paraId="62D4F25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70A49C8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restart"/>
            <w:tcBorders>
              <w:top w:val="single" w:color="auto" w:sz="4" w:space="0"/>
              <w:left w:val="single" w:color="auto" w:sz="4" w:space="0"/>
              <w:bottom w:val="single" w:color="auto" w:sz="4" w:space="0"/>
              <w:right w:val="single" w:color="auto" w:sz="4" w:space="0"/>
            </w:tcBorders>
            <w:vAlign w:val="center"/>
          </w:tcPr>
          <w:p w14:paraId="7BC19CE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影响预测</w:t>
            </w:r>
          </w:p>
        </w:tc>
        <w:tc>
          <w:tcPr>
            <w:tcW w:w="1626" w:type="dxa"/>
            <w:tcBorders>
              <w:top w:val="single" w:color="auto" w:sz="4" w:space="0"/>
              <w:left w:val="single" w:color="auto" w:sz="4" w:space="0"/>
              <w:bottom w:val="single" w:color="auto" w:sz="4" w:space="0"/>
              <w:right w:val="single" w:color="auto" w:sz="4" w:space="0"/>
            </w:tcBorders>
            <w:vAlign w:val="center"/>
          </w:tcPr>
          <w:p w14:paraId="0496DCF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预测因子</w:t>
            </w:r>
          </w:p>
        </w:tc>
        <w:tc>
          <w:tcPr>
            <w:tcW w:w="5852" w:type="dxa"/>
            <w:gridSpan w:val="5"/>
            <w:tcBorders>
              <w:top w:val="single" w:color="auto" w:sz="4" w:space="0"/>
              <w:left w:val="single" w:color="auto" w:sz="4" w:space="0"/>
              <w:bottom w:val="single" w:color="auto" w:sz="4" w:space="0"/>
              <w:right w:val="single" w:color="auto" w:sz="4" w:space="0"/>
            </w:tcBorders>
            <w:vAlign w:val="center"/>
          </w:tcPr>
          <w:p w14:paraId="5B797DC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13" w:type="dxa"/>
            <w:tcBorders>
              <w:top w:val="single" w:color="auto" w:sz="4" w:space="0"/>
              <w:left w:val="single" w:color="auto" w:sz="4" w:space="0"/>
              <w:bottom w:val="single" w:color="auto" w:sz="4" w:space="0"/>
              <w:right w:val="single" w:color="auto" w:sz="4" w:space="0"/>
            </w:tcBorders>
            <w:vAlign w:val="center"/>
          </w:tcPr>
          <w:p w14:paraId="52C20B8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2E0204F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continue"/>
            <w:tcBorders>
              <w:top w:val="single" w:color="auto" w:sz="4" w:space="0"/>
              <w:left w:val="single" w:color="auto" w:sz="4" w:space="0"/>
              <w:bottom w:val="single" w:color="auto" w:sz="4" w:space="0"/>
              <w:right w:val="single" w:color="auto" w:sz="4" w:space="0"/>
            </w:tcBorders>
            <w:vAlign w:val="center"/>
          </w:tcPr>
          <w:p w14:paraId="486C395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626" w:type="dxa"/>
            <w:tcBorders>
              <w:top w:val="single" w:color="auto" w:sz="4" w:space="0"/>
              <w:left w:val="single" w:color="auto" w:sz="4" w:space="0"/>
              <w:bottom w:val="single" w:color="auto" w:sz="4" w:space="0"/>
              <w:right w:val="single" w:color="auto" w:sz="4" w:space="0"/>
            </w:tcBorders>
            <w:vAlign w:val="center"/>
          </w:tcPr>
          <w:p w14:paraId="2955394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预测方法</w:t>
            </w:r>
          </w:p>
        </w:tc>
        <w:tc>
          <w:tcPr>
            <w:tcW w:w="5852" w:type="dxa"/>
            <w:gridSpan w:val="5"/>
            <w:tcBorders>
              <w:top w:val="single" w:color="auto" w:sz="4" w:space="0"/>
              <w:left w:val="single" w:color="auto" w:sz="4" w:space="0"/>
              <w:bottom w:val="single" w:color="auto" w:sz="4" w:space="0"/>
              <w:right w:val="single" w:color="auto" w:sz="4" w:space="0"/>
            </w:tcBorders>
            <w:vAlign w:val="center"/>
          </w:tcPr>
          <w:p w14:paraId="5B0D142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附录E□；附录F□；其他（定性分析）</w:t>
            </w:r>
          </w:p>
        </w:tc>
        <w:tc>
          <w:tcPr>
            <w:tcW w:w="1113" w:type="dxa"/>
            <w:tcBorders>
              <w:top w:val="single" w:color="auto" w:sz="4" w:space="0"/>
              <w:left w:val="single" w:color="auto" w:sz="4" w:space="0"/>
              <w:bottom w:val="single" w:color="auto" w:sz="4" w:space="0"/>
              <w:right w:val="single" w:color="auto" w:sz="4" w:space="0"/>
            </w:tcBorders>
            <w:vAlign w:val="center"/>
          </w:tcPr>
          <w:p w14:paraId="0083863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7366743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continue"/>
            <w:tcBorders>
              <w:top w:val="single" w:color="auto" w:sz="4" w:space="0"/>
              <w:left w:val="single" w:color="auto" w:sz="4" w:space="0"/>
              <w:bottom w:val="single" w:color="auto" w:sz="4" w:space="0"/>
              <w:right w:val="single" w:color="auto" w:sz="4" w:space="0"/>
            </w:tcBorders>
            <w:vAlign w:val="center"/>
          </w:tcPr>
          <w:p w14:paraId="1F99AA9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626" w:type="dxa"/>
            <w:tcBorders>
              <w:top w:val="single" w:color="auto" w:sz="4" w:space="0"/>
              <w:left w:val="single" w:color="auto" w:sz="4" w:space="0"/>
              <w:bottom w:val="single" w:color="auto" w:sz="4" w:space="0"/>
              <w:right w:val="single" w:color="auto" w:sz="4" w:space="0"/>
            </w:tcBorders>
            <w:vAlign w:val="center"/>
          </w:tcPr>
          <w:p w14:paraId="6DCE518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预测分析内容</w:t>
            </w:r>
          </w:p>
        </w:tc>
        <w:tc>
          <w:tcPr>
            <w:tcW w:w="5852" w:type="dxa"/>
            <w:gridSpan w:val="5"/>
            <w:tcBorders>
              <w:top w:val="single" w:color="auto" w:sz="4" w:space="0"/>
              <w:left w:val="single" w:color="auto" w:sz="4" w:space="0"/>
              <w:bottom w:val="single" w:color="auto" w:sz="4" w:space="0"/>
              <w:right w:val="single" w:color="auto" w:sz="4" w:space="0"/>
            </w:tcBorders>
            <w:vAlign w:val="center"/>
          </w:tcPr>
          <w:p w14:paraId="5394180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影响范围（本场区内）</w:t>
            </w:r>
          </w:p>
          <w:p w14:paraId="05D8B94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影响程度（较小）</w:t>
            </w:r>
          </w:p>
        </w:tc>
        <w:tc>
          <w:tcPr>
            <w:tcW w:w="1113" w:type="dxa"/>
            <w:tcBorders>
              <w:top w:val="single" w:color="auto" w:sz="4" w:space="0"/>
              <w:left w:val="single" w:color="auto" w:sz="4" w:space="0"/>
              <w:bottom w:val="single" w:color="auto" w:sz="4" w:space="0"/>
              <w:right w:val="single" w:color="auto" w:sz="4" w:space="0"/>
            </w:tcBorders>
            <w:vAlign w:val="center"/>
          </w:tcPr>
          <w:p w14:paraId="62D37B6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602A8E1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continue"/>
            <w:tcBorders>
              <w:top w:val="single" w:color="auto" w:sz="4" w:space="0"/>
              <w:left w:val="single" w:color="auto" w:sz="4" w:space="0"/>
              <w:bottom w:val="single" w:color="auto" w:sz="4" w:space="0"/>
              <w:right w:val="single" w:color="auto" w:sz="4" w:space="0"/>
            </w:tcBorders>
            <w:vAlign w:val="center"/>
          </w:tcPr>
          <w:p w14:paraId="3DAE4A3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626" w:type="dxa"/>
            <w:tcBorders>
              <w:top w:val="single" w:color="auto" w:sz="4" w:space="0"/>
              <w:left w:val="single" w:color="auto" w:sz="4" w:space="0"/>
              <w:bottom w:val="single" w:color="auto" w:sz="4" w:space="0"/>
              <w:right w:val="single" w:color="auto" w:sz="4" w:space="0"/>
            </w:tcBorders>
            <w:vAlign w:val="center"/>
          </w:tcPr>
          <w:p w14:paraId="531B0F7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预测结论</w:t>
            </w:r>
          </w:p>
        </w:tc>
        <w:tc>
          <w:tcPr>
            <w:tcW w:w="5852" w:type="dxa"/>
            <w:gridSpan w:val="5"/>
            <w:tcBorders>
              <w:top w:val="single" w:color="auto" w:sz="4" w:space="0"/>
              <w:left w:val="single" w:color="auto" w:sz="4" w:space="0"/>
              <w:bottom w:val="single" w:color="auto" w:sz="4" w:space="0"/>
              <w:right w:val="single" w:color="auto" w:sz="4" w:space="0"/>
            </w:tcBorders>
            <w:vAlign w:val="center"/>
          </w:tcPr>
          <w:p w14:paraId="3B3AA61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达标结论：a）</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4"/>
                <w:sz w:val="21"/>
                <w:szCs w:val="21"/>
                <w:highlight w:val="none"/>
              </w:rPr>
              <w:instrText xml:space="preserve">□</w:instrText>
            </w:r>
            <w:r>
              <w:rPr>
                <w:rFonts w:hint="default" w:ascii="Times New Roman" w:hAnsi="Times New Roman" w:eastAsia="宋体" w:cs="Times New Roman"/>
                <w:color w:val="auto"/>
                <w:position w:val="0"/>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；b）□；c）□</w:t>
            </w:r>
          </w:p>
          <w:p w14:paraId="0449592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不达标结论：a）□；b）□</w:t>
            </w:r>
          </w:p>
        </w:tc>
        <w:tc>
          <w:tcPr>
            <w:tcW w:w="1113" w:type="dxa"/>
            <w:tcBorders>
              <w:top w:val="single" w:color="auto" w:sz="4" w:space="0"/>
              <w:left w:val="single" w:color="auto" w:sz="4" w:space="0"/>
              <w:bottom w:val="single" w:color="auto" w:sz="4" w:space="0"/>
              <w:right w:val="single" w:color="auto" w:sz="4" w:space="0"/>
            </w:tcBorders>
            <w:vAlign w:val="center"/>
          </w:tcPr>
          <w:p w14:paraId="75BBA95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13EAD21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restart"/>
            <w:tcBorders>
              <w:top w:val="single" w:color="auto" w:sz="4" w:space="0"/>
              <w:left w:val="single" w:color="auto" w:sz="4" w:space="0"/>
              <w:bottom w:val="single" w:color="auto" w:sz="4" w:space="0"/>
              <w:right w:val="single" w:color="auto" w:sz="4" w:space="0"/>
            </w:tcBorders>
            <w:vAlign w:val="center"/>
          </w:tcPr>
          <w:p w14:paraId="5421041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防治措</w:t>
            </w:r>
          </w:p>
          <w:p w14:paraId="3797800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w:t>
            </w:r>
          </w:p>
        </w:tc>
        <w:tc>
          <w:tcPr>
            <w:tcW w:w="1626" w:type="dxa"/>
            <w:tcBorders>
              <w:top w:val="single" w:color="auto" w:sz="4" w:space="0"/>
              <w:left w:val="single" w:color="auto" w:sz="4" w:space="0"/>
              <w:bottom w:val="single" w:color="auto" w:sz="4" w:space="0"/>
              <w:right w:val="single" w:color="auto" w:sz="4" w:space="0"/>
            </w:tcBorders>
            <w:vAlign w:val="center"/>
          </w:tcPr>
          <w:p w14:paraId="515D23C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防控措施</w:t>
            </w:r>
          </w:p>
        </w:tc>
        <w:tc>
          <w:tcPr>
            <w:tcW w:w="5852" w:type="dxa"/>
            <w:gridSpan w:val="5"/>
            <w:tcBorders>
              <w:top w:val="single" w:color="auto" w:sz="4" w:space="0"/>
              <w:left w:val="single" w:color="auto" w:sz="4" w:space="0"/>
              <w:bottom w:val="single" w:color="auto" w:sz="4" w:space="0"/>
              <w:right w:val="single" w:color="auto" w:sz="4" w:space="0"/>
            </w:tcBorders>
            <w:vAlign w:val="center"/>
          </w:tcPr>
          <w:p w14:paraId="7809FFD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土壤环境质量现状保障</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4"/>
                <w:sz w:val="21"/>
                <w:szCs w:val="21"/>
                <w:highlight w:val="none"/>
              </w:rPr>
              <w:instrText xml:space="preserve">□</w:instrText>
            </w:r>
            <w:r>
              <w:rPr>
                <w:rFonts w:hint="default" w:ascii="Times New Roman" w:hAnsi="Times New Roman" w:eastAsia="宋体" w:cs="Times New Roman"/>
                <w:color w:val="auto"/>
                <w:position w:val="0"/>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；源头控制</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4"/>
                <w:sz w:val="21"/>
                <w:szCs w:val="21"/>
                <w:highlight w:val="none"/>
              </w:rPr>
              <w:instrText xml:space="preserve">□</w:instrText>
            </w:r>
            <w:r>
              <w:rPr>
                <w:rFonts w:hint="default" w:ascii="Times New Roman" w:hAnsi="Times New Roman" w:eastAsia="宋体" w:cs="Times New Roman"/>
                <w:color w:val="auto"/>
                <w:position w:val="0"/>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；过程防控</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eq \o\ac(</w:instrText>
            </w:r>
            <w:r>
              <w:rPr>
                <w:rFonts w:hint="default" w:ascii="Times New Roman" w:hAnsi="Times New Roman" w:eastAsia="宋体" w:cs="Times New Roman"/>
                <w:color w:val="auto"/>
                <w:position w:val="-4"/>
                <w:sz w:val="21"/>
                <w:szCs w:val="21"/>
                <w:highlight w:val="none"/>
              </w:rPr>
              <w:instrText xml:space="preserve">□</w:instrText>
            </w:r>
            <w:r>
              <w:rPr>
                <w:rFonts w:hint="default" w:ascii="Times New Roman" w:hAnsi="Times New Roman" w:eastAsia="宋体" w:cs="Times New Roman"/>
                <w:color w:val="auto"/>
                <w:position w:val="0"/>
                <w:sz w:val="21"/>
                <w:szCs w:val="21"/>
                <w:highlight w:val="none"/>
              </w:rPr>
              <w:instrText xml:space="preserve">,√)</w:instrTex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；其他（）</w:t>
            </w:r>
          </w:p>
        </w:tc>
        <w:tc>
          <w:tcPr>
            <w:tcW w:w="1113" w:type="dxa"/>
            <w:tcBorders>
              <w:top w:val="single" w:color="auto" w:sz="4" w:space="0"/>
              <w:left w:val="single" w:color="auto" w:sz="4" w:space="0"/>
              <w:bottom w:val="single" w:color="auto" w:sz="4" w:space="0"/>
              <w:right w:val="single" w:color="auto" w:sz="4" w:space="0"/>
            </w:tcBorders>
            <w:vAlign w:val="center"/>
          </w:tcPr>
          <w:p w14:paraId="0A34306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68A4F6C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continue"/>
            <w:tcBorders>
              <w:top w:val="single" w:color="auto" w:sz="4" w:space="0"/>
              <w:left w:val="single" w:color="auto" w:sz="4" w:space="0"/>
              <w:bottom w:val="single" w:color="auto" w:sz="4" w:space="0"/>
              <w:right w:val="single" w:color="auto" w:sz="4" w:space="0"/>
            </w:tcBorders>
            <w:vAlign w:val="center"/>
          </w:tcPr>
          <w:p w14:paraId="6D81577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626" w:type="dxa"/>
            <w:vMerge w:val="restart"/>
            <w:tcBorders>
              <w:top w:val="single" w:color="auto" w:sz="4" w:space="0"/>
              <w:left w:val="single" w:color="auto" w:sz="4" w:space="0"/>
              <w:bottom w:val="single" w:color="auto" w:sz="4" w:space="0"/>
              <w:right w:val="single" w:color="auto" w:sz="4" w:space="0"/>
            </w:tcBorders>
            <w:vAlign w:val="center"/>
          </w:tcPr>
          <w:p w14:paraId="363F0AB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跟踪监测</w:t>
            </w:r>
          </w:p>
        </w:tc>
        <w:tc>
          <w:tcPr>
            <w:tcW w:w="2861" w:type="dxa"/>
            <w:gridSpan w:val="2"/>
            <w:tcBorders>
              <w:top w:val="single" w:color="auto" w:sz="4" w:space="0"/>
              <w:left w:val="single" w:color="auto" w:sz="4" w:space="0"/>
              <w:bottom w:val="single" w:color="auto" w:sz="4" w:space="0"/>
              <w:right w:val="single" w:color="auto" w:sz="4" w:space="0"/>
            </w:tcBorders>
            <w:vAlign w:val="center"/>
          </w:tcPr>
          <w:p w14:paraId="4885BF5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监测点数</w:t>
            </w:r>
          </w:p>
        </w:tc>
        <w:tc>
          <w:tcPr>
            <w:tcW w:w="1576" w:type="dxa"/>
            <w:tcBorders>
              <w:top w:val="single" w:color="auto" w:sz="4" w:space="0"/>
              <w:left w:val="single" w:color="auto" w:sz="4" w:space="0"/>
              <w:bottom w:val="single" w:color="auto" w:sz="4" w:space="0"/>
              <w:right w:val="single" w:color="auto" w:sz="4" w:space="0"/>
            </w:tcBorders>
            <w:vAlign w:val="center"/>
          </w:tcPr>
          <w:p w14:paraId="51D9703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监测指标</w:t>
            </w:r>
          </w:p>
        </w:tc>
        <w:tc>
          <w:tcPr>
            <w:tcW w:w="1415" w:type="dxa"/>
            <w:gridSpan w:val="2"/>
            <w:tcBorders>
              <w:top w:val="single" w:color="auto" w:sz="4" w:space="0"/>
              <w:left w:val="single" w:color="auto" w:sz="4" w:space="0"/>
              <w:bottom w:val="single" w:color="auto" w:sz="4" w:space="0"/>
              <w:right w:val="single" w:color="auto" w:sz="4" w:space="0"/>
            </w:tcBorders>
            <w:vAlign w:val="center"/>
          </w:tcPr>
          <w:p w14:paraId="6F90CF6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监测频次</w:t>
            </w:r>
          </w:p>
        </w:tc>
        <w:tc>
          <w:tcPr>
            <w:tcW w:w="1113" w:type="dxa"/>
            <w:vMerge w:val="restart"/>
            <w:tcBorders>
              <w:top w:val="single" w:color="auto" w:sz="4" w:space="0"/>
              <w:left w:val="single" w:color="auto" w:sz="4" w:space="0"/>
              <w:bottom w:val="single" w:color="auto" w:sz="4" w:space="0"/>
              <w:right w:val="single" w:color="auto" w:sz="4" w:space="0"/>
            </w:tcBorders>
            <w:vAlign w:val="center"/>
          </w:tcPr>
          <w:p w14:paraId="3C4DA57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527A0FA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continue"/>
            <w:tcBorders>
              <w:top w:val="single" w:color="auto" w:sz="4" w:space="0"/>
              <w:left w:val="single" w:color="auto" w:sz="4" w:space="0"/>
              <w:bottom w:val="single" w:color="auto" w:sz="4" w:space="0"/>
              <w:right w:val="single" w:color="auto" w:sz="4" w:space="0"/>
            </w:tcBorders>
            <w:vAlign w:val="center"/>
          </w:tcPr>
          <w:p w14:paraId="329B6E1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626" w:type="dxa"/>
            <w:vMerge w:val="continue"/>
            <w:tcBorders>
              <w:top w:val="single" w:color="auto" w:sz="4" w:space="0"/>
              <w:left w:val="single" w:color="auto" w:sz="4" w:space="0"/>
              <w:bottom w:val="single" w:color="auto" w:sz="4" w:space="0"/>
              <w:right w:val="single" w:color="auto" w:sz="4" w:space="0"/>
            </w:tcBorders>
            <w:vAlign w:val="center"/>
          </w:tcPr>
          <w:p w14:paraId="75D52EC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2861" w:type="dxa"/>
            <w:gridSpan w:val="2"/>
            <w:tcBorders>
              <w:top w:val="single" w:color="auto" w:sz="4" w:space="0"/>
              <w:left w:val="single" w:color="auto" w:sz="4" w:space="0"/>
              <w:bottom w:val="single" w:color="auto" w:sz="4" w:space="0"/>
              <w:right w:val="single" w:color="auto" w:sz="4" w:space="0"/>
            </w:tcBorders>
            <w:vAlign w:val="center"/>
          </w:tcPr>
          <w:p w14:paraId="775C7EF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576" w:type="dxa"/>
            <w:tcBorders>
              <w:top w:val="single" w:color="auto" w:sz="4" w:space="0"/>
              <w:left w:val="single" w:color="auto" w:sz="4" w:space="0"/>
              <w:bottom w:val="single" w:color="auto" w:sz="4" w:space="0"/>
              <w:right w:val="single" w:color="auto" w:sz="4" w:space="0"/>
            </w:tcBorders>
            <w:vAlign w:val="center"/>
          </w:tcPr>
          <w:p w14:paraId="6A03E78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415" w:type="dxa"/>
            <w:gridSpan w:val="2"/>
            <w:tcBorders>
              <w:top w:val="single" w:color="auto" w:sz="4" w:space="0"/>
              <w:left w:val="single" w:color="auto" w:sz="4" w:space="0"/>
              <w:bottom w:val="single" w:color="auto" w:sz="4" w:space="0"/>
              <w:right w:val="single" w:color="auto" w:sz="4" w:space="0"/>
            </w:tcBorders>
            <w:vAlign w:val="center"/>
          </w:tcPr>
          <w:p w14:paraId="171E3C1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113" w:type="dxa"/>
            <w:vMerge w:val="continue"/>
            <w:tcBorders>
              <w:top w:val="single" w:color="auto" w:sz="4" w:space="0"/>
              <w:left w:val="single" w:color="auto" w:sz="4" w:space="0"/>
              <w:bottom w:val="single" w:color="auto" w:sz="4" w:space="0"/>
              <w:right w:val="single" w:color="auto" w:sz="4" w:space="0"/>
            </w:tcBorders>
            <w:vAlign w:val="center"/>
          </w:tcPr>
          <w:p w14:paraId="5BFCED5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47C4612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412" w:type="dxa"/>
            <w:vMerge w:val="continue"/>
            <w:tcBorders>
              <w:top w:val="single" w:color="auto" w:sz="4" w:space="0"/>
              <w:left w:val="single" w:color="auto" w:sz="4" w:space="0"/>
              <w:bottom w:val="single" w:color="auto" w:sz="4" w:space="0"/>
              <w:right w:val="single" w:color="auto" w:sz="4" w:space="0"/>
            </w:tcBorders>
            <w:vAlign w:val="center"/>
          </w:tcPr>
          <w:p w14:paraId="04F5BCE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626" w:type="dxa"/>
            <w:tcBorders>
              <w:top w:val="single" w:color="auto" w:sz="4" w:space="0"/>
              <w:left w:val="single" w:color="auto" w:sz="4" w:space="0"/>
              <w:bottom w:val="single" w:color="auto" w:sz="4" w:space="0"/>
              <w:right w:val="single" w:color="auto" w:sz="4" w:space="0"/>
            </w:tcBorders>
            <w:vAlign w:val="center"/>
          </w:tcPr>
          <w:p w14:paraId="76C6AA4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信息公开指标</w:t>
            </w:r>
          </w:p>
        </w:tc>
        <w:tc>
          <w:tcPr>
            <w:tcW w:w="5852" w:type="dxa"/>
            <w:gridSpan w:val="5"/>
            <w:tcBorders>
              <w:top w:val="single" w:color="auto" w:sz="4" w:space="0"/>
              <w:left w:val="single" w:color="auto" w:sz="4" w:space="0"/>
              <w:bottom w:val="single" w:color="auto" w:sz="4" w:space="0"/>
              <w:right w:val="single" w:color="auto" w:sz="4" w:space="0"/>
            </w:tcBorders>
            <w:vAlign w:val="center"/>
          </w:tcPr>
          <w:p w14:paraId="72C4118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项目土壤监测计划</w:t>
            </w:r>
          </w:p>
        </w:tc>
        <w:tc>
          <w:tcPr>
            <w:tcW w:w="1113" w:type="dxa"/>
            <w:vMerge w:val="continue"/>
            <w:tcBorders>
              <w:top w:val="single" w:color="auto" w:sz="4" w:space="0"/>
              <w:left w:val="single" w:color="auto" w:sz="4" w:space="0"/>
              <w:bottom w:val="single" w:color="auto" w:sz="4" w:space="0"/>
              <w:right w:val="single" w:color="auto" w:sz="4" w:space="0"/>
            </w:tcBorders>
            <w:vAlign w:val="center"/>
          </w:tcPr>
          <w:p w14:paraId="0C7A684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18C5D07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2038" w:type="dxa"/>
            <w:gridSpan w:val="2"/>
            <w:tcBorders>
              <w:top w:val="single" w:color="auto" w:sz="4" w:space="0"/>
              <w:left w:val="single" w:color="auto" w:sz="4" w:space="0"/>
              <w:bottom w:val="single" w:color="auto" w:sz="4" w:space="0"/>
              <w:right w:val="single" w:color="auto" w:sz="4" w:space="0"/>
            </w:tcBorders>
            <w:vAlign w:val="center"/>
          </w:tcPr>
          <w:p w14:paraId="019E66E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评价结论</w:t>
            </w:r>
          </w:p>
        </w:tc>
        <w:tc>
          <w:tcPr>
            <w:tcW w:w="5852" w:type="dxa"/>
            <w:gridSpan w:val="5"/>
            <w:tcBorders>
              <w:top w:val="single" w:color="auto" w:sz="4" w:space="0"/>
              <w:left w:val="single" w:color="auto" w:sz="4" w:space="0"/>
              <w:bottom w:val="single" w:color="auto" w:sz="4" w:space="0"/>
              <w:right w:val="single" w:color="auto" w:sz="4" w:space="0"/>
            </w:tcBorders>
            <w:vAlign w:val="center"/>
          </w:tcPr>
          <w:p w14:paraId="0D36D50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本项目对土壤环境影响较小，在可接受范围内，建设可行</w:t>
            </w:r>
          </w:p>
        </w:tc>
        <w:tc>
          <w:tcPr>
            <w:tcW w:w="1113" w:type="dxa"/>
            <w:tcBorders>
              <w:top w:val="single" w:color="auto" w:sz="4" w:space="0"/>
              <w:left w:val="single" w:color="auto" w:sz="4" w:space="0"/>
              <w:bottom w:val="single" w:color="auto" w:sz="4" w:space="0"/>
              <w:right w:val="single" w:color="auto" w:sz="4" w:space="0"/>
            </w:tcBorders>
            <w:vAlign w:val="center"/>
          </w:tcPr>
          <w:p w14:paraId="28DAFA8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4B9FD2E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9003" w:type="dxa"/>
            <w:gridSpan w:val="8"/>
            <w:tcBorders>
              <w:top w:val="single" w:color="auto" w:sz="4" w:space="0"/>
              <w:left w:val="single" w:color="auto" w:sz="4" w:space="0"/>
              <w:bottom w:val="single" w:color="auto" w:sz="4" w:space="0"/>
              <w:right w:val="single" w:color="auto" w:sz="4" w:space="0"/>
            </w:tcBorders>
            <w:vAlign w:val="center"/>
          </w:tcPr>
          <w:p w14:paraId="581821C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注1：“□”为勾选项，可√；“（）”为内容填写项；“备注”为其他补充内容。</w:t>
            </w:r>
          </w:p>
          <w:p w14:paraId="3EAF69D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注2：需要分别开展土壤环境影响评级工作的，分别填写自查表。</w:t>
            </w:r>
          </w:p>
        </w:tc>
      </w:tr>
    </w:tbl>
    <w:p w14:paraId="07A0CF52">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447" w:name="_Toc12961"/>
      <w:r>
        <w:rPr>
          <w:rFonts w:hint="default" w:ascii="Times New Roman" w:hAnsi="Times New Roman" w:eastAsia="宋体" w:cs="Times New Roman"/>
          <w:color w:val="auto"/>
          <w:highlight w:val="none"/>
        </w:rPr>
        <w:t>5.6运营期声环境影响分析</w:t>
      </w:r>
      <w:bookmarkEnd w:id="443"/>
      <w:bookmarkEnd w:id="444"/>
      <w:bookmarkEnd w:id="447"/>
    </w:p>
    <w:p w14:paraId="2A2D40F1">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448" w:name="_Toc18591"/>
      <w:r>
        <w:rPr>
          <w:rFonts w:hint="default" w:ascii="Times New Roman" w:hAnsi="Times New Roman" w:eastAsia="宋体" w:cs="Times New Roman"/>
          <w:color w:val="auto"/>
          <w:highlight w:val="none"/>
        </w:rPr>
        <w:t>5.6.1主要声源源强</w:t>
      </w:r>
      <w:bookmarkEnd w:id="448"/>
    </w:p>
    <w:p w14:paraId="5A983F0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本项目的噪声产生源强情况见下表。</w:t>
      </w:r>
    </w:p>
    <w:p w14:paraId="1E151758">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default" w:ascii="Times New Roman" w:hAnsi="Times New Roman" w:eastAsia="宋体" w:cs="Times New Roman"/>
          <w:color w:val="auto"/>
          <w:highlight w:val="none"/>
          <w:lang w:val="en-US" w:eastAsia="zh-CN"/>
        </w:rPr>
        <w:t>5.6-1</w:t>
      </w:r>
      <w:r>
        <w:rPr>
          <w:rFonts w:hint="default" w:ascii="Times New Roman" w:hAnsi="Times New Roman" w:eastAsia="宋体" w:cs="Times New Roman"/>
          <w:color w:val="auto"/>
          <w:highlight w:val="none"/>
        </w:rPr>
        <w:t>噪声产生源强一览表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0" w:type="dxa"/>
          <w:bottom w:w="0" w:type="dxa"/>
          <w:right w:w="0" w:type="dxa"/>
        </w:tblCellMar>
      </w:tblPr>
      <w:tblGrid>
        <w:gridCol w:w="407"/>
        <w:gridCol w:w="1060"/>
        <w:gridCol w:w="1484"/>
        <w:gridCol w:w="743"/>
        <w:gridCol w:w="2226"/>
        <w:gridCol w:w="984"/>
        <w:gridCol w:w="1373"/>
      </w:tblGrid>
      <w:tr w14:paraId="193032D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42" w:type="dxa"/>
            <w:tcBorders>
              <w:top w:val="single" w:color="auto" w:sz="4" w:space="0"/>
              <w:left w:val="single" w:color="auto" w:sz="4" w:space="0"/>
              <w:bottom w:val="single" w:color="auto" w:sz="4" w:space="0"/>
              <w:right w:val="single" w:color="auto" w:sz="4" w:space="0"/>
            </w:tcBorders>
            <w:vAlign w:val="center"/>
          </w:tcPr>
          <w:p w14:paraId="6A50995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2770" w:type="dxa"/>
            <w:gridSpan w:val="2"/>
            <w:tcBorders>
              <w:top w:val="single" w:color="auto" w:sz="4" w:space="0"/>
              <w:left w:val="single" w:color="auto" w:sz="4" w:space="0"/>
              <w:bottom w:val="single" w:color="auto" w:sz="4" w:space="0"/>
              <w:right w:val="single" w:color="auto" w:sz="4" w:space="0"/>
            </w:tcBorders>
            <w:vAlign w:val="center"/>
          </w:tcPr>
          <w:p w14:paraId="2E3F081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噪声源</w:t>
            </w:r>
          </w:p>
        </w:tc>
        <w:tc>
          <w:tcPr>
            <w:tcW w:w="809" w:type="dxa"/>
            <w:tcBorders>
              <w:top w:val="single" w:color="auto" w:sz="4" w:space="0"/>
              <w:left w:val="single" w:color="auto" w:sz="4" w:space="0"/>
              <w:bottom w:val="single" w:color="auto" w:sz="4" w:space="0"/>
              <w:right w:val="single" w:color="auto" w:sz="4" w:space="0"/>
            </w:tcBorders>
            <w:vAlign w:val="center"/>
          </w:tcPr>
          <w:p w14:paraId="3F72495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数量</w:t>
            </w:r>
          </w:p>
        </w:tc>
        <w:tc>
          <w:tcPr>
            <w:tcW w:w="2426" w:type="dxa"/>
            <w:tcBorders>
              <w:top w:val="single" w:color="auto" w:sz="4" w:space="0"/>
              <w:left w:val="single" w:color="auto" w:sz="4" w:space="0"/>
              <w:bottom w:val="single" w:color="auto" w:sz="4" w:space="0"/>
              <w:right w:val="single" w:color="auto" w:sz="4" w:space="0"/>
            </w:tcBorders>
            <w:vAlign w:val="center"/>
          </w:tcPr>
          <w:p w14:paraId="7A4232A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治理措施</w:t>
            </w:r>
          </w:p>
        </w:tc>
        <w:tc>
          <w:tcPr>
            <w:tcW w:w="1071" w:type="dxa"/>
            <w:tcBorders>
              <w:top w:val="single" w:color="auto" w:sz="4" w:space="0"/>
              <w:left w:val="single" w:color="auto" w:sz="4" w:space="0"/>
              <w:bottom w:val="single" w:color="auto" w:sz="4" w:space="0"/>
              <w:right w:val="single" w:color="auto" w:sz="4" w:space="0"/>
            </w:tcBorders>
            <w:vAlign w:val="center"/>
          </w:tcPr>
          <w:p w14:paraId="5E9AE5F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源强dB</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A</w:t>
            </w:r>
            <w:r>
              <w:rPr>
                <w:rFonts w:hint="default" w:ascii="Times New Roman" w:hAnsi="Times New Roman" w:eastAsia="宋体" w:cs="Times New Roman"/>
                <w:color w:val="auto"/>
                <w:sz w:val="21"/>
                <w:szCs w:val="21"/>
                <w:highlight w:val="none"/>
                <w:lang w:eastAsia="zh-CN"/>
              </w:rPr>
              <w:t>）</w:t>
            </w:r>
          </w:p>
        </w:tc>
        <w:tc>
          <w:tcPr>
            <w:tcW w:w="1496" w:type="dxa"/>
            <w:tcBorders>
              <w:top w:val="single" w:color="auto" w:sz="4" w:space="0"/>
              <w:left w:val="single" w:color="auto" w:sz="4" w:space="0"/>
              <w:bottom w:val="single" w:color="auto" w:sz="4" w:space="0"/>
              <w:right w:val="single" w:color="auto" w:sz="4" w:space="0"/>
            </w:tcBorders>
            <w:vAlign w:val="center"/>
          </w:tcPr>
          <w:p w14:paraId="54CC743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排放强度dB</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A</w:t>
            </w:r>
            <w:r>
              <w:rPr>
                <w:rFonts w:hint="default" w:ascii="Times New Roman" w:hAnsi="Times New Roman" w:eastAsia="宋体" w:cs="Times New Roman"/>
                <w:color w:val="auto"/>
                <w:sz w:val="21"/>
                <w:szCs w:val="21"/>
                <w:highlight w:val="none"/>
                <w:lang w:eastAsia="zh-CN"/>
              </w:rPr>
              <w:t>）</w:t>
            </w:r>
          </w:p>
        </w:tc>
      </w:tr>
      <w:tr w14:paraId="72AC028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42" w:type="dxa"/>
            <w:tcBorders>
              <w:top w:val="single" w:color="auto" w:sz="4" w:space="0"/>
              <w:left w:val="single" w:color="auto" w:sz="4" w:space="0"/>
              <w:bottom w:val="single" w:color="auto" w:sz="4" w:space="0"/>
              <w:right w:val="single" w:color="auto" w:sz="4" w:space="0"/>
            </w:tcBorders>
            <w:vAlign w:val="center"/>
          </w:tcPr>
          <w:p w14:paraId="7C4B500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p>
        </w:tc>
        <w:tc>
          <w:tcPr>
            <w:tcW w:w="1154" w:type="dxa"/>
            <w:tcBorders>
              <w:top w:val="single" w:color="auto" w:sz="4" w:space="0"/>
              <w:left w:val="single" w:color="auto" w:sz="4" w:space="0"/>
              <w:bottom w:val="single" w:color="auto" w:sz="4" w:space="0"/>
              <w:right w:val="single" w:color="auto" w:sz="4" w:space="0"/>
            </w:tcBorders>
            <w:vAlign w:val="center"/>
          </w:tcPr>
          <w:p w14:paraId="28A5A86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牛舍</w:t>
            </w:r>
          </w:p>
        </w:tc>
        <w:tc>
          <w:tcPr>
            <w:tcW w:w="1616" w:type="dxa"/>
            <w:tcBorders>
              <w:top w:val="single" w:color="auto" w:sz="4" w:space="0"/>
              <w:left w:val="single" w:color="auto" w:sz="4" w:space="0"/>
              <w:bottom w:val="single" w:color="auto" w:sz="4" w:space="0"/>
              <w:right w:val="single" w:color="auto" w:sz="4" w:space="0"/>
            </w:tcBorders>
            <w:vAlign w:val="center"/>
          </w:tcPr>
          <w:p w14:paraId="4343830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降温风扇</w:t>
            </w:r>
          </w:p>
        </w:tc>
        <w:tc>
          <w:tcPr>
            <w:tcW w:w="809" w:type="dxa"/>
            <w:tcBorders>
              <w:top w:val="single" w:color="auto" w:sz="4" w:space="0"/>
              <w:left w:val="single" w:color="auto" w:sz="4" w:space="0"/>
              <w:bottom w:val="single" w:color="auto" w:sz="4" w:space="0"/>
              <w:right w:val="single" w:color="auto" w:sz="4" w:space="0"/>
            </w:tcBorders>
            <w:vAlign w:val="center"/>
          </w:tcPr>
          <w:p w14:paraId="0188F5D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w:t>
            </w:r>
          </w:p>
        </w:tc>
        <w:tc>
          <w:tcPr>
            <w:tcW w:w="2426" w:type="dxa"/>
            <w:tcBorders>
              <w:top w:val="single" w:color="auto" w:sz="4" w:space="0"/>
              <w:left w:val="single" w:color="auto" w:sz="4" w:space="0"/>
              <w:bottom w:val="single" w:color="auto" w:sz="4" w:space="0"/>
              <w:right w:val="single" w:color="auto" w:sz="4" w:space="0"/>
            </w:tcBorders>
            <w:vAlign w:val="center"/>
          </w:tcPr>
          <w:p w14:paraId="6F37F96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置于室内</w:t>
            </w:r>
          </w:p>
        </w:tc>
        <w:tc>
          <w:tcPr>
            <w:tcW w:w="1071" w:type="dxa"/>
            <w:tcBorders>
              <w:top w:val="single" w:color="auto" w:sz="4" w:space="0"/>
              <w:left w:val="single" w:color="auto" w:sz="4" w:space="0"/>
              <w:bottom w:val="single" w:color="auto" w:sz="4" w:space="0"/>
              <w:right w:val="single" w:color="auto" w:sz="4" w:space="0"/>
            </w:tcBorders>
            <w:vAlign w:val="center"/>
          </w:tcPr>
          <w:p w14:paraId="4DA1945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c>
          <w:tcPr>
            <w:tcW w:w="1496" w:type="dxa"/>
            <w:tcBorders>
              <w:top w:val="single" w:color="auto" w:sz="4" w:space="0"/>
              <w:left w:val="single" w:color="auto" w:sz="4" w:space="0"/>
              <w:bottom w:val="single" w:color="auto" w:sz="4" w:space="0"/>
              <w:right w:val="single" w:color="auto" w:sz="4" w:space="0"/>
            </w:tcBorders>
            <w:vAlign w:val="center"/>
          </w:tcPr>
          <w:p w14:paraId="6D5CEC6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r>
      <w:tr w14:paraId="5BF7522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42" w:type="dxa"/>
            <w:tcBorders>
              <w:top w:val="single" w:color="auto" w:sz="4" w:space="0"/>
              <w:left w:val="single" w:color="auto" w:sz="4" w:space="0"/>
              <w:bottom w:val="single" w:color="auto" w:sz="4" w:space="0"/>
              <w:right w:val="single" w:color="auto" w:sz="4" w:space="0"/>
            </w:tcBorders>
            <w:vAlign w:val="center"/>
          </w:tcPr>
          <w:p w14:paraId="56C8619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1154" w:type="dxa"/>
            <w:vMerge w:val="restart"/>
            <w:tcBorders>
              <w:top w:val="single" w:color="auto" w:sz="4" w:space="0"/>
              <w:left w:val="single" w:color="auto" w:sz="4" w:space="0"/>
              <w:bottom w:val="single" w:color="auto" w:sz="4" w:space="0"/>
              <w:right w:val="single" w:color="auto" w:sz="4" w:space="0"/>
            </w:tcBorders>
            <w:vAlign w:val="center"/>
          </w:tcPr>
          <w:p w14:paraId="6125658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饲料配料</w:t>
            </w:r>
          </w:p>
        </w:tc>
        <w:tc>
          <w:tcPr>
            <w:tcW w:w="1616" w:type="dxa"/>
            <w:tcBorders>
              <w:top w:val="single" w:color="auto" w:sz="4" w:space="0"/>
              <w:left w:val="single" w:color="auto" w:sz="4" w:space="0"/>
              <w:bottom w:val="single" w:color="auto" w:sz="4" w:space="0"/>
              <w:right w:val="single" w:color="auto" w:sz="4" w:space="0"/>
            </w:tcBorders>
            <w:vAlign w:val="center"/>
          </w:tcPr>
          <w:p w14:paraId="52B959FA">
            <w:pPr>
              <w:pageBreakBefore w:val="0"/>
              <w:kinsoku/>
              <w:wordWrap/>
              <w:bidi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TMR混合机</w:t>
            </w:r>
          </w:p>
        </w:tc>
        <w:tc>
          <w:tcPr>
            <w:tcW w:w="809" w:type="dxa"/>
            <w:tcBorders>
              <w:top w:val="single" w:color="auto" w:sz="4" w:space="0"/>
              <w:left w:val="single" w:color="auto" w:sz="4" w:space="0"/>
              <w:bottom w:val="single" w:color="auto" w:sz="4" w:space="0"/>
              <w:right w:val="single" w:color="auto" w:sz="4" w:space="0"/>
            </w:tcBorders>
            <w:vAlign w:val="center"/>
          </w:tcPr>
          <w:p w14:paraId="5BC845FA">
            <w:pPr>
              <w:pageBreakBefore w:val="0"/>
              <w:kinsoku/>
              <w:wordWrap/>
              <w:bidi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c>
          <w:tcPr>
            <w:tcW w:w="2426" w:type="dxa"/>
            <w:tcBorders>
              <w:top w:val="single" w:color="auto" w:sz="4" w:space="0"/>
              <w:left w:val="single" w:color="auto" w:sz="4" w:space="0"/>
              <w:bottom w:val="single" w:color="auto" w:sz="4" w:space="0"/>
              <w:right w:val="single" w:color="auto" w:sz="4" w:space="0"/>
            </w:tcBorders>
            <w:vAlign w:val="center"/>
          </w:tcPr>
          <w:p w14:paraId="5AF3A72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基础减振、建筑隔声</w:t>
            </w:r>
          </w:p>
        </w:tc>
        <w:tc>
          <w:tcPr>
            <w:tcW w:w="1071" w:type="dxa"/>
            <w:tcBorders>
              <w:top w:val="single" w:color="auto" w:sz="4" w:space="0"/>
              <w:left w:val="single" w:color="auto" w:sz="4" w:space="0"/>
              <w:bottom w:val="single" w:color="auto" w:sz="4" w:space="0"/>
              <w:right w:val="single" w:color="auto" w:sz="4" w:space="0"/>
            </w:tcBorders>
            <w:vAlign w:val="center"/>
          </w:tcPr>
          <w:p w14:paraId="5CE8DAD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85</w:t>
            </w:r>
          </w:p>
        </w:tc>
        <w:tc>
          <w:tcPr>
            <w:tcW w:w="1496" w:type="dxa"/>
            <w:tcBorders>
              <w:top w:val="single" w:color="auto" w:sz="4" w:space="0"/>
              <w:left w:val="single" w:color="auto" w:sz="4" w:space="0"/>
              <w:bottom w:val="single" w:color="auto" w:sz="4" w:space="0"/>
              <w:right w:val="single" w:color="auto" w:sz="4" w:space="0"/>
            </w:tcBorders>
            <w:vAlign w:val="center"/>
          </w:tcPr>
          <w:p w14:paraId="2A597A7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60</w:t>
            </w:r>
          </w:p>
        </w:tc>
      </w:tr>
      <w:tr w14:paraId="0315195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42" w:type="dxa"/>
            <w:tcBorders>
              <w:top w:val="single" w:color="auto" w:sz="4" w:space="0"/>
              <w:left w:val="single" w:color="auto" w:sz="4" w:space="0"/>
              <w:bottom w:val="single" w:color="auto" w:sz="4" w:space="0"/>
              <w:right w:val="single" w:color="auto" w:sz="4" w:space="0"/>
            </w:tcBorders>
            <w:vAlign w:val="center"/>
          </w:tcPr>
          <w:p w14:paraId="7DDEAF1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c>
          <w:tcPr>
            <w:tcW w:w="1154" w:type="dxa"/>
            <w:vMerge w:val="continue"/>
            <w:tcBorders>
              <w:top w:val="single" w:color="auto" w:sz="4" w:space="0"/>
              <w:left w:val="single" w:color="auto" w:sz="4" w:space="0"/>
              <w:bottom w:val="single" w:color="auto" w:sz="4" w:space="0"/>
              <w:right w:val="single" w:color="auto" w:sz="4" w:space="0"/>
            </w:tcBorders>
            <w:vAlign w:val="center"/>
          </w:tcPr>
          <w:p w14:paraId="6DF9BE9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p>
        </w:tc>
        <w:tc>
          <w:tcPr>
            <w:tcW w:w="1616" w:type="dxa"/>
            <w:tcBorders>
              <w:top w:val="single" w:color="auto" w:sz="4" w:space="0"/>
              <w:left w:val="single" w:color="auto" w:sz="4" w:space="0"/>
              <w:bottom w:val="single" w:color="auto" w:sz="4" w:space="0"/>
              <w:right w:val="single" w:color="auto" w:sz="4" w:space="0"/>
            </w:tcBorders>
            <w:vAlign w:val="center"/>
          </w:tcPr>
          <w:p w14:paraId="6507B999">
            <w:pPr>
              <w:pageBreakBefore w:val="0"/>
              <w:kinsoku/>
              <w:wordWrap/>
              <w:bidi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饲料粉碎机</w:t>
            </w:r>
          </w:p>
        </w:tc>
        <w:tc>
          <w:tcPr>
            <w:tcW w:w="809" w:type="dxa"/>
            <w:tcBorders>
              <w:top w:val="single" w:color="auto" w:sz="4" w:space="0"/>
              <w:left w:val="single" w:color="auto" w:sz="4" w:space="0"/>
              <w:bottom w:val="single" w:color="auto" w:sz="4" w:space="0"/>
              <w:right w:val="single" w:color="auto" w:sz="4" w:space="0"/>
            </w:tcBorders>
            <w:vAlign w:val="center"/>
          </w:tcPr>
          <w:p w14:paraId="23282CBE">
            <w:pPr>
              <w:pageBreakBefore w:val="0"/>
              <w:kinsoku/>
              <w:wordWrap/>
              <w:bidi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p>
        </w:tc>
        <w:tc>
          <w:tcPr>
            <w:tcW w:w="2426" w:type="dxa"/>
            <w:tcBorders>
              <w:top w:val="single" w:color="auto" w:sz="4" w:space="0"/>
              <w:left w:val="single" w:color="auto" w:sz="4" w:space="0"/>
              <w:bottom w:val="single" w:color="auto" w:sz="4" w:space="0"/>
              <w:right w:val="single" w:color="auto" w:sz="4" w:space="0"/>
            </w:tcBorders>
            <w:vAlign w:val="center"/>
          </w:tcPr>
          <w:p w14:paraId="7F4ED89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基础减振、建筑隔声</w:t>
            </w:r>
          </w:p>
        </w:tc>
        <w:tc>
          <w:tcPr>
            <w:tcW w:w="1071" w:type="dxa"/>
            <w:tcBorders>
              <w:top w:val="single" w:color="auto" w:sz="4" w:space="0"/>
              <w:left w:val="single" w:color="auto" w:sz="4" w:space="0"/>
              <w:bottom w:val="single" w:color="auto" w:sz="4" w:space="0"/>
              <w:right w:val="single" w:color="auto" w:sz="4" w:space="0"/>
            </w:tcBorders>
            <w:vAlign w:val="center"/>
          </w:tcPr>
          <w:p w14:paraId="739A8D8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85</w:t>
            </w:r>
          </w:p>
        </w:tc>
        <w:tc>
          <w:tcPr>
            <w:tcW w:w="1496" w:type="dxa"/>
            <w:tcBorders>
              <w:top w:val="single" w:color="auto" w:sz="4" w:space="0"/>
              <w:left w:val="single" w:color="auto" w:sz="4" w:space="0"/>
              <w:bottom w:val="single" w:color="auto" w:sz="4" w:space="0"/>
              <w:right w:val="single" w:color="auto" w:sz="4" w:space="0"/>
            </w:tcBorders>
            <w:vAlign w:val="center"/>
          </w:tcPr>
          <w:p w14:paraId="0BA842E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r>
      <w:tr w14:paraId="344B6F7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42" w:type="dxa"/>
            <w:tcBorders>
              <w:top w:val="single" w:color="auto" w:sz="4" w:space="0"/>
              <w:left w:val="single" w:color="auto" w:sz="4" w:space="0"/>
              <w:bottom w:val="single" w:color="auto" w:sz="4" w:space="0"/>
              <w:right w:val="single" w:color="auto" w:sz="4" w:space="0"/>
            </w:tcBorders>
            <w:vAlign w:val="center"/>
          </w:tcPr>
          <w:p w14:paraId="028CCE9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w:t>
            </w:r>
          </w:p>
        </w:tc>
        <w:tc>
          <w:tcPr>
            <w:tcW w:w="1154" w:type="dxa"/>
            <w:vMerge w:val="continue"/>
            <w:tcBorders>
              <w:top w:val="single" w:color="auto" w:sz="4" w:space="0"/>
              <w:left w:val="single" w:color="auto" w:sz="4" w:space="0"/>
              <w:bottom w:val="single" w:color="auto" w:sz="4" w:space="0"/>
              <w:right w:val="single" w:color="auto" w:sz="4" w:space="0"/>
            </w:tcBorders>
            <w:vAlign w:val="center"/>
          </w:tcPr>
          <w:p w14:paraId="19FC02C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p>
        </w:tc>
        <w:tc>
          <w:tcPr>
            <w:tcW w:w="1616" w:type="dxa"/>
            <w:tcBorders>
              <w:top w:val="single" w:color="auto" w:sz="4" w:space="0"/>
              <w:left w:val="single" w:color="auto" w:sz="4" w:space="0"/>
              <w:bottom w:val="single" w:color="auto" w:sz="4" w:space="0"/>
              <w:right w:val="single" w:color="auto" w:sz="4" w:space="0"/>
            </w:tcBorders>
            <w:vAlign w:val="center"/>
          </w:tcPr>
          <w:p w14:paraId="03D805E6">
            <w:pPr>
              <w:pageBreakBefore w:val="0"/>
              <w:kinsoku/>
              <w:wordWrap/>
              <w:bidi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精饲料配料机</w:t>
            </w:r>
          </w:p>
        </w:tc>
        <w:tc>
          <w:tcPr>
            <w:tcW w:w="809" w:type="dxa"/>
            <w:tcBorders>
              <w:top w:val="single" w:color="auto" w:sz="4" w:space="0"/>
              <w:left w:val="single" w:color="auto" w:sz="4" w:space="0"/>
              <w:bottom w:val="single" w:color="auto" w:sz="4" w:space="0"/>
              <w:right w:val="single" w:color="auto" w:sz="4" w:space="0"/>
            </w:tcBorders>
            <w:vAlign w:val="center"/>
          </w:tcPr>
          <w:p w14:paraId="167FDD2D">
            <w:pPr>
              <w:pageBreakBefore w:val="0"/>
              <w:kinsoku/>
              <w:wordWrap/>
              <w:bidi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2426" w:type="dxa"/>
            <w:tcBorders>
              <w:top w:val="single" w:color="auto" w:sz="4" w:space="0"/>
              <w:left w:val="single" w:color="auto" w:sz="4" w:space="0"/>
              <w:bottom w:val="single" w:color="auto" w:sz="4" w:space="0"/>
              <w:right w:val="single" w:color="auto" w:sz="4" w:space="0"/>
            </w:tcBorders>
            <w:vAlign w:val="center"/>
          </w:tcPr>
          <w:p w14:paraId="4CF9C07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基础减振、建筑隔声</w:t>
            </w:r>
          </w:p>
        </w:tc>
        <w:tc>
          <w:tcPr>
            <w:tcW w:w="1071" w:type="dxa"/>
            <w:tcBorders>
              <w:top w:val="single" w:color="auto" w:sz="4" w:space="0"/>
              <w:left w:val="single" w:color="auto" w:sz="4" w:space="0"/>
              <w:bottom w:val="single" w:color="auto" w:sz="4" w:space="0"/>
              <w:right w:val="single" w:color="auto" w:sz="4" w:space="0"/>
            </w:tcBorders>
            <w:vAlign w:val="center"/>
          </w:tcPr>
          <w:p w14:paraId="320411F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85</w:t>
            </w:r>
          </w:p>
        </w:tc>
        <w:tc>
          <w:tcPr>
            <w:tcW w:w="1496" w:type="dxa"/>
            <w:tcBorders>
              <w:top w:val="single" w:color="auto" w:sz="4" w:space="0"/>
              <w:left w:val="single" w:color="auto" w:sz="4" w:space="0"/>
              <w:bottom w:val="single" w:color="auto" w:sz="4" w:space="0"/>
              <w:right w:val="single" w:color="auto" w:sz="4" w:space="0"/>
            </w:tcBorders>
            <w:vAlign w:val="center"/>
          </w:tcPr>
          <w:p w14:paraId="3B494AE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r>
      <w:tr w14:paraId="1A536D8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42" w:type="dxa"/>
            <w:tcBorders>
              <w:top w:val="single" w:color="auto" w:sz="4" w:space="0"/>
              <w:left w:val="single" w:color="auto" w:sz="4" w:space="0"/>
              <w:bottom w:val="single" w:color="auto" w:sz="4" w:space="0"/>
              <w:right w:val="single" w:color="auto" w:sz="4" w:space="0"/>
            </w:tcBorders>
            <w:vAlign w:val="center"/>
          </w:tcPr>
          <w:p w14:paraId="48FDA8C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1154" w:type="dxa"/>
            <w:vMerge w:val="continue"/>
            <w:tcBorders>
              <w:top w:val="single" w:color="auto" w:sz="4" w:space="0"/>
              <w:left w:val="single" w:color="auto" w:sz="4" w:space="0"/>
              <w:bottom w:val="single" w:color="auto" w:sz="4" w:space="0"/>
              <w:right w:val="single" w:color="auto" w:sz="4" w:space="0"/>
            </w:tcBorders>
            <w:vAlign w:val="center"/>
          </w:tcPr>
          <w:p w14:paraId="5600DB2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p>
        </w:tc>
        <w:tc>
          <w:tcPr>
            <w:tcW w:w="1616" w:type="dxa"/>
            <w:tcBorders>
              <w:top w:val="single" w:color="auto" w:sz="4" w:space="0"/>
              <w:left w:val="single" w:color="auto" w:sz="4" w:space="0"/>
              <w:bottom w:val="single" w:color="auto" w:sz="4" w:space="0"/>
              <w:right w:val="single" w:color="auto" w:sz="4" w:space="0"/>
            </w:tcBorders>
            <w:vAlign w:val="center"/>
          </w:tcPr>
          <w:p w14:paraId="1CE58DAC">
            <w:pPr>
              <w:pageBreakBefore w:val="0"/>
              <w:kinsoku/>
              <w:wordWrap/>
              <w:bidi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饲料分选设备</w:t>
            </w:r>
          </w:p>
        </w:tc>
        <w:tc>
          <w:tcPr>
            <w:tcW w:w="809" w:type="dxa"/>
            <w:tcBorders>
              <w:top w:val="single" w:color="auto" w:sz="4" w:space="0"/>
              <w:left w:val="single" w:color="auto" w:sz="4" w:space="0"/>
              <w:bottom w:val="single" w:color="auto" w:sz="4" w:space="0"/>
              <w:right w:val="single" w:color="auto" w:sz="4" w:space="0"/>
            </w:tcBorders>
            <w:vAlign w:val="center"/>
          </w:tcPr>
          <w:p w14:paraId="5019DA42">
            <w:pPr>
              <w:pageBreakBefore w:val="0"/>
              <w:kinsoku/>
              <w:wordWrap/>
              <w:bidi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2426" w:type="dxa"/>
            <w:tcBorders>
              <w:top w:val="single" w:color="auto" w:sz="4" w:space="0"/>
              <w:left w:val="single" w:color="auto" w:sz="4" w:space="0"/>
              <w:bottom w:val="single" w:color="auto" w:sz="4" w:space="0"/>
              <w:right w:val="single" w:color="auto" w:sz="4" w:space="0"/>
            </w:tcBorders>
            <w:vAlign w:val="center"/>
          </w:tcPr>
          <w:p w14:paraId="453358C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基础减振、建筑隔声</w:t>
            </w:r>
          </w:p>
        </w:tc>
        <w:tc>
          <w:tcPr>
            <w:tcW w:w="1071" w:type="dxa"/>
            <w:tcBorders>
              <w:top w:val="single" w:color="auto" w:sz="4" w:space="0"/>
              <w:left w:val="single" w:color="auto" w:sz="4" w:space="0"/>
              <w:bottom w:val="single" w:color="auto" w:sz="4" w:space="0"/>
              <w:right w:val="single" w:color="auto" w:sz="4" w:space="0"/>
            </w:tcBorders>
            <w:vAlign w:val="center"/>
          </w:tcPr>
          <w:p w14:paraId="7FCB26D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85</w:t>
            </w:r>
          </w:p>
        </w:tc>
        <w:tc>
          <w:tcPr>
            <w:tcW w:w="1496" w:type="dxa"/>
            <w:tcBorders>
              <w:top w:val="single" w:color="auto" w:sz="4" w:space="0"/>
              <w:left w:val="single" w:color="auto" w:sz="4" w:space="0"/>
              <w:bottom w:val="single" w:color="auto" w:sz="4" w:space="0"/>
              <w:right w:val="single" w:color="auto" w:sz="4" w:space="0"/>
            </w:tcBorders>
            <w:vAlign w:val="center"/>
          </w:tcPr>
          <w:p w14:paraId="20D8A63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r>
      <w:tr w14:paraId="0BFE33E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42" w:type="dxa"/>
            <w:tcBorders>
              <w:top w:val="single" w:color="auto" w:sz="4" w:space="0"/>
              <w:left w:val="single" w:color="auto" w:sz="4" w:space="0"/>
              <w:bottom w:val="single" w:color="auto" w:sz="4" w:space="0"/>
              <w:right w:val="single" w:color="auto" w:sz="4" w:space="0"/>
            </w:tcBorders>
            <w:vAlign w:val="center"/>
          </w:tcPr>
          <w:p w14:paraId="1F51FC0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6</w:t>
            </w:r>
          </w:p>
        </w:tc>
        <w:tc>
          <w:tcPr>
            <w:tcW w:w="1154" w:type="dxa"/>
            <w:tcBorders>
              <w:top w:val="single" w:color="auto" w:sz="4" w:space="0"/>
              <w:left w:val="single" w:color="auto" w:sz="4" w:space="0"/>
              <w:bottom w:val="single" w:color="auto" w:sz="4" w:space="0"/>
              <w:right w:val="single" w:color="auto" w:sz="4" w:space="0"/>
            </w:tcBorders>
            <w:vAlign w:val="center"/>
          </w:tcPr>
          <w:p w14:paraId="7932E6FA">
            <w:pPr>
              <w:keepNext w:val="0"/>
              <w:keepLines w:val="0"/>
              <w:pageBreakBefore w:val="0"/>
              <w:kinsoku/>
              <w:wordWrap/>
              <w:overflowPunct/>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供暖</w:t>
            </w:r>
          </w:p>
        </w:tc>
        <w:tc>
          <w:tcPr>
            <w:tcW w:w="1616" w:type="dxa"/>
            <w:tcBorders>
              <w:top w:val="single" w:color="auto" w:sz="4" w:space="0"/>
              <w:left w:val="single" w:color="auto" w:sz="4" w:space="0"/>
              <w:bottom w:val="single" w:color="auto" w:sz="4" w:space="0"/>
              <w:right w:val="single" w:color="auto" w:sz="4" w:space="0"/>
            </w:tcBorders>
            <w:vAlign w:val="center"/>
          </w:tcPr>
          <w:p w14:paraId="605BC08C">
            <w:pPr>
              <w:keepNext w:val="0"/>
              <w:keepLines w:val="0"/>
              <w:pageBreakBefore w:val="0"/>
              <w:kinsoku/>
              <w:wordWrap/>
              <w:overflowPunct/>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eastAsia="宋体" w:cs="Times New Roman"/>
                <w:bCs/>
                <w:color w:val="0000FF"/>
                <w:sz w:val="21"/>
                <w:szCs w:val="21"/>
                <w:highlight w:val="none"/>
                <w:lang w:eastAsia="zh-CN"/>
              </w:rPr>
              <w:t>电锅炉</w:t>
            </w:r>
          </w:p>
        </w:tc>
        <w:tc>
          <w:tcPr>
            <w:tcW w:w="809" w:type="dxa"/>
            <w:tcBorders>
              <w:top w:val="single" w:color="auto" w:sz="4" w:space="0"/>
              <w:left w:val="single" w:color="auto" w:sz="4" w:space="0"/>
              <w:bottom w:val="single" w:color="auto" w:sz="4" w:space="0"/>
              <w:right w:val="single" w:color="auto" w:sz="4" w:space="0"/>
            </w:tcBorders>
            <w:vAlign w:val="center"/>
          </w:tcPr>
          <w:p w14:paraId="3A24410D">
            <w:pPr>
              <w:keepNext w:val="0"/>
              <w:keepLines w:val="0"/>
              <w:pageBreakBefore w:val="0"/>
              <w:kinsoku/>
              <w:wordWrap/>
              <w:overflowPunct/>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b w:val="0"/>
                <w:bCs w:val="0"/>
                <w:i w:val="0"/>
                <w:color w:val="0000FF"/>
                <w:kern w:val="0"/>
                <w:sz w:val="21"/>
                <w:szCs w:val="21"/>
                <w:highlight w:val="none"/>
                <w:u w:val="none"/>
                <w:lang w:val="en-US" w:eastAsia="zh-CN" w:bidi="ar"/>
              </w:rPr>
            </w:pPr>
            <w:r>
              <w:rPr>
                <w:rFonts w:hint="default" w:ascii="Times New Roman" w:hAnsi="Times New Roman" w:eastAsia="宋体" w:cs="Times New Roman"/>
                <w:color w:val="0000FF"/>
                <w:sz w:val="21"/>
                <w:szCs w:val="21"/>
                <w:highlight w:val="none"/>
                <w:lang w:val="en-US" w:eastAsia="zh-CN"/>
              </w:rPr>
              <w:t>2</w:t>
            </w:r>
          </w:p>
        </w:tc>
        <w:tc>
          <w:tcPr>
            <w:tcW w:w="2426" w:type="dxa"/>
            <w:tcBorders>
              <w:top w:val="single" w:color="auto" w:sz="4" w:space="0"/>
              <w:left w:val="single" w:color="auto" w:sz="4" w:space="0"/>
              <w:bottom w:val="single" w:color="auto" w:sz="4" w:space="0"/>
              <w:right w:val="single" w:color="auto" w:sz="4" w:space="0"/>
            </w:tcBorders>
            <w:vAlign w:val="center"/>
          </w:tcPr>
          <w:p w14:paraId="072828B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基础减振、建筑隔声</w:t>
            </w:r>
          </w:p>
        </w:tc>
        <w:tc>
          <w:tcPr>
            <w:tcW w:w="1071" w:type="dxa"/>
            <w:tcBorders>
              <w:top w:val="single" w:color="auto" w:sz="4" w:space="0"/>
              <w:left w:val="single" w:color="auto" w:sz="4" w:space="0"/>
              <w:bottom w:val="single" w:color="auto" w:sz="4" w:space="0"/>
              <w:right w:val="single" w:color="auto" w:sz="4" w:space="0"/>
            </w:tcBorders>
            <w:vAlign w:val="center"/>
          </w:tcPr>
          <w:p w14:paraId="5FD0F3B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8</w:t>
            </w:r>
            <w:r>
              <w:rPr>
                <w:rFonts w:hint="default" w:ascii="Times New Roman" w:hAnsi="Times New Roman" w:eastAsia="宋体" w:cs="Times New Roman"/>
                <w:color w:val="auto"/>
                <w:sz w:val="21"/>
                <w:szCs w:val="21"/>
                <w:highlight w:val="none"/>
                <w:lang w:val="en-US" w:eastAsia="zh-CN"/>
              </w:rPr>
              <w:t>0</w:t>
            </w:r>
          </w:p>
        </w:tc>
        <w:tc>
          <w:tcPr>
            <w:tcW w:w="1496" w:type="dxa"/>
            <w:tcBorders>
              <w:top w:val="single" w:color="auto" w:sz="4" w:space="0"/>
              <w:left w:val="single" w:color="auto" w:sz="4" w:space="0"/>
              <w:bottom w:val="single" w:color="auto" w:sz="4" w:space="0"/>
              <w:right w:val="single" w:color="auto" w:sz="4" w:space="0"/>
            </w:tcBorders>
            <w:vAlign w:val="center"/>
          </w:tcPr>
          <w:p w14:paraId="20754DD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55</w:t>
            </w:r>
          </w:p>
        </w:tc>
      </w:tr>
      <w:tr w14:paraId="50DB94C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42" w:type="dxa"/>
            <w:tcBorders>
              <w:top w:val="single" w:color="auto" w:sz="4" w:space="0"/>
              <w:left w:val="single" w:color="auto" w:sz="4" w:space="0"/>
              <w:bottom w:val="single" w:color="auto" w:sz="4" w:space="0"/>
              <w:right w:val="single" w:color="auto" w:sz="4" w:space="0"/>
            </w:tcBorders>
            <w:vAlign w:val="center"/>
          </w:tcPr>
          <w:p w14:paraId="53A1554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7</w:t>
            </w:r>
          </w:p>
        </w:tc>
        <w:tc>
          <w:tcPr>
            <w:tcW w:w="1154" w:type="dxa"/>
            <w:tcBorders>
              <w:top w:val="single" w:color="auto" w:sz="4" w:space="0"/>
              <w:left w:val="single" w:color="auto" w:sz="4" w:space="0"/>
              <w:bottom w:val="single" w:color="auto" w:sz="4" w:space="0"/>
              <w:right w:val="single" w:color="auto" w:sz="4" w:space="0"/>
            </w:tcBorders>
            <w:vAlign w:val="center"/>
          </w:tcPr>
          <w:p w14:paraId="1255536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移动声源</w:t>
            </w:r>
          </w:p>
        </w:tc>
        <w:tc>
          <w:tcPr>
            <w:tcW w:w="1616" w:type="dxa"/>
            <w:tcBorders>
              <w:top w:val="single" w:color="auto" w:sz="4" w:space="0"/>
              <w:left w:val="single" w:color="auto" w:sz="4" w:space="0"/>
              <w:bottom w:val="single" w:color="auto" w:sz="4" w:space="0"/>
              <w:right w:val="single" w:color="auto" w:sz="4" w:space="0"/>
            </w:tcBorders>
            <w:vAlign w:val="center"/>
          </w:tcPr>
          <w:p w14:paraId="6F26E5E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装载机</w:t>
            </w:r>
          </w:p>
        </w:tc>
        <w:tc>
          <w:tcPr>
            <w:tcW w:w="809" w:type="dxa"/>
            <w:tcBorders>
              <w:top w:val="single" w:color="auto" w:sz="4" w:space="0"/>
              <w:left w:val="single" w:color="auto" w:sz="4" w:space="0"/>
              <w:bottom w:val="single" w:color="auto" w:sz="4" w:space="0"/>
              <w:right w:val="single" w:color="auto" w:sz="4" w:space="0"/>
            </w:tcBorders>
            <w:vAlign w:val="center"/>
          </w:tcPr>
          <w:p w14:paraId="33D0E32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w:t>
            </w:r>
          </w:p>
        </w:tc>
        <w:tc>
          <w:tcPr>
            <w:tcW w:w="2426" w:type="dxa"/>
            <w:tcBorders>
              <w:top w:val="single" w:color="auto" w:sz="4" w:space="0"/>
              <w:left w:val="single" w:color="auto" w:sz="4" w:space="0"/>
              <w:bottom w:val="single" w:color="auto" w:sz="4" w:space="0"/>
              <w:right w:val="single" w:color="auto" w:sz="4" w:space="0"/>
            </w:tcBorders>
            <w:vAlign w:val="center"/>
          </w:tcPr>
          <w:p w14:paraId="1AE2663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选用低噪声设备，定期维护保养</w:t>
            </w:r>
          </w:p>
        </w:tc>
        <w:tc>
          <w:tcPr>
            <w:tcW w:w="1071" w:type="dxa"/>
            <w:tcBorders>
              <w:top w:val="single" w:color="auto" w:sz="4" w:space="0"/>
              <w:left w:val="single" w:color="auto" w:sz="4" w:space="0"/>
              <w:bottom w:val="single" w:color="auto" w:sz="4" w:space="0"/>
              <w:right w:val="single" w:color="auto" w:sz="4" w:space="0"/>
            </w:tcBorders>
            <w:vAlign w:val="center"/>
          </w:tcPr>
          <w:p w14:paraId="18605D5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85</w:t>
            </w:r>
          </w:p>
        </w:tc>
        <w:tc>
          <w:tcPr>
            <w:tcW w:w="1496" w:type="dxa"/>
            <w:tcBorders>
              <w:top w:val="single" w:color="auto" w:sz="4" w:space="0"/>
              <w:left w:val="single" w:color="auto" w:sz="4" w:space="0"/>
              <w:bottom w:val="single" w:color="auto" w:sz="4" w:space="0"/>
              <w:right w:val="single" w:color="auto" w:sz="4" w:space="0"/>
            </w:tcBorders>
            <w:vAlign w:val="center"/>
          </w:tcPr>
          <w:p w14:paraId="5EC6E9D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75</w:t>
            </w:r>
          </w:p>
        </w:tc>
      </w:tr>
      <w:tr w14:paraId="431265F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42" w:type="dxa"/>
            <w:tcBorders>
              <w:top w:val="single" w:color="auto" w:sz="4" w:space="0"/>
              <w:left w:val="single" w:color="auto" w:sz="4" w:space="0"/>
              <w:bottom w:val="single" w:color="auto" w:sz="4" w:space="0"/>
              <w:right w:val="single" w:color="auto" w:sz="4" w:space="0"/>
            </w:tcBorders>
            <w:vAlign w:val="center"/>
          </w:tcPr>
          <w:p w14:paraId="5E648CF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w:t>
            </w:r>
          </w:p>
        </w:tc>
        <w:tc>
          <w:tcPr>
            <w:tcW w:w="1154" w:type="dxa"/>
            <w:tcBorders>
              <w:top w:val="single" w:color="auto" w:sz="4" w:space="0"/>
              <w:left w:val="single" w:color="auto" w:sz="4" w:space="0"/>
              <w:bottom w:val="single" w:color="auto" w:sz="4" w:space="0"/>
              <w:right w:val="single" w:color="auto" w:sz="4" w:space="0"/>
            </w:tcBorders>
            <w:vAlign w:val="center"/>
          </w:tcPr>
          <w:p w14:paraId="7997AAC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水泵室</w:t>
            </w:r>
          </w:p>
        </w:tc>
        <w:tc>
          <w:tcPr>
            <w:tcW w:w="1616" w:type="dxa"/>
            <w:tcBorders>
              <w:top w:val="single" w:color="auto" w:sz="4" w:space="0"/>
              <w:left w:val="single" w:color="auto" w:sz="4" w:space="0"/>
              <w:bottom w:val="single" w:color="auto" w:sz="4" w:space="0"/>
              <w:right w:val="single" w:color="auto" w:sz="4" w:space="0"/>
            </w:tcBorders>
            <w:vAlign w:val="center"/>
          </w:tcPr>
          <w:p w14:paraId="3A109C2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水泵</w:t>
            </w:r>
          </w:p>
        </w:tc>
        <w:tc>
          <w:tcPr>
            <w:tcW w:w="809" w:type="dxa"/>
            <w:tcBorders>
              <w:top w:val="single" w:color="auto" w:sz="4" w:space="0"/>
              <w:left w:val="single" w:color="auto" w:sz="4" w:space="0"/>
              <w:bottom w:val="single" w:color="auto" w:sz="4" w:space="0"/>
              <w:right w:val="single" w:color="auto" w:sz="4" w:space="0"/>
            </w:tcBorders>
            <w:vAlign w:val="center"/>
          </w:tcPr>
          <w:p w14:paraId="2997BF4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w:t>
            </w:r>
          </w:p>
        </w:tc>
        <w:tc>
          <w:tcPr>
            <w:tcW w:w="2426" w:type="dxa"/>
            <w:tcBorders>
              <w:top w:val="single" w:color="auto" w:sz="4" w:space="0"/>
              <w:left w:val="single" w:color="auto" w:sz="4" w:space="0"/>
              <w:bottom w:val="single" w:color="auto" w:sz="4" w:space="0"/>
              <w:right w:val="single" w:color="auto" w:sz="4" w:space="0"/>
            </w:tcBorders>
            <w:vAlign w:val="center"/>
          </w:tcPr>
          <w:p w14:paraId="29BD9E7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基础减振、建筑隔声</w:t>
            </w:r>
          </w:p>
        </w:tc>
        <w:tc>
          <w:tcPr>
            <w:tcW w:w="1071" w:type="dxa"/>
            <w:tcBorders>
              <w:top w:val="single" w:color="auto" w:sz="4" w:space="0"/>
              <w:left w:val="single" w:color="auto" w:sz="4" w:space="0"/>
              <w:bottom w:val="single" w:color="auto" w:sz="4" w:space="0"/>
              <w:right w:val="single" w:color="auto" w:sz="4" w:space="0"/>
            </w:tcBorders>
            <w:vAlign w:val="center"/>
          </w:tcPr>
          <w:p w14:paraId="3408940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85</w:t>
            </w:r>
          </w:p>
        </w:tc>
        <w:tc>
          <w:tcPr>
            <w:tcW w:w="1496" w:type="dxa"/>
            <w:tcBorders>
              <w:top w:val="single" w:color="auto" w:sz="4" w:space="0"/>
              <w:left w:val="single" w:color="auto" w:sz="4" w:space="0"/>
              <w:bottom w:val="single" w:color="auto" w:sz="4" w:space="0"/>
              <w:right w:val="single" w:color="auto" w:sz="4" w:space="0"/>
            </w:tcBorders>
            <w:vAlign w:val="center"/>
          </w:tcPr>
          <w:p w14:paraId="3D63180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65</w:t>
            </w:r>
          </w:p>
        </w:tc>
      </w:tr>
    </w:tbl>
    <w:p w14:paraId="54D16A4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本项目在选用低噪声新型设备基础上，将生产设备安置在厂房内，并对设备进行基础减振、封闭门窗等，可使噪声排放减少20~25dB</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A</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w:t>
      </w:r>
    </w:p>
    <w:p w14:paraId="79D8EA87">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449" w:name="_Toc23779"/>
      <w:r>
        <w:rPr>
          <w:rFonts w:hint="default" w:ascii="Times New Roman" w:hAnsi="Times New Roman" w:eastAsia="宋体" w:cs="Times New Roman"/>
          <w:color w:val="auto"/>
          <w:highlight w:val="none"/>
        </w:rPr>
        <w:t>5.6.2声环境预测方法</w:t>
      </w:r>
      <w:bookmarkEnd w:id="449"/>
    </w:p>
    <w:p w14:paraId="6FE1F10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bookmarkStart w:id="450" w:name="_Toc255298748"/>
      <w:bookmarkStart w:id="451" w:name="_Toc253320781"/>
      <w:bookmarkStart w:id="452" w:name="_Toc241406780"/>
      <w:r>
        <w:rPr>
          <w:rFonts w:hint="default" w:ascii="Times New Roman" w:hAnsi="Times New Roman" w:eastAsia="宋体" w:cs="Times New Roman"/>
          <w:color w:val="auto"/>
          <w:highlight w:val="none"/>
        </w:rPr>
        <w:t>本次环境噪声预测，采用《</w:t>
      </w:r>
      <w:r>
        <w:rPr>
          <w:rFonts w:hint="default" w:ascii="Times New Roman" w:hAnsi="Times New Roman" w:eastAsia="宋体" w:cs="Times New Roman"/>
          <w:color w:val="auto"/>
          <w:highlight w:val="none"/>
          <w:lang w:eastAsia="zh-CN"/>
        </w:rPr>
        <w:t>环境影响评价技术导则</w:t>
      </w:r>
      <w:r>
        <w:rPr>
          <w:rFonts w:hint="default" w:ascii="Times New Roman" w:hAnsi="Times New Roman" w:eastAsia="宋体" w:cs="Times New Roman"/>
          <w:color w:val="auto"/>
          <w:highlight w:val="none"/>
        </w:rPr>
        <w:t>声环境》（</w:t>
      </w:r>
      <w:r>
        <w:rPr>
          <w:rFonts w:hint="default" w:ascii="Times New Roman" w:hAnsi="Times New Roman" w:eastAsia="宋体" w:cs="Times New Roman"/>
          <w:color w:val="auto"/>
          <w:highlight w:val="none"/>
          <w:lang w:eastAsia="zh-CN"/>
        </w:rPr>
        <w:t>HJ2.4-2021</w:t>
      </w:r>
      <w:r>
        <w:rPr>
          <w:rFonts w:hint="default" w:ascii="Times New Roman" w:hAnsi="Times New Roman" w:eastAsia="宋体" w:cs="Times New Roman"/>
          <w:color w:val="auto"/>
          <w:highlight w:val="none"/>
        </w:rPr>
        <w:t>）中的工业噪声预测模式，主要是对拟建项目噪声源对厂界的影响进行预测，厂界以现状</w:t>
      </w:r>
      <w:r>
        <w:rPr>
          <w:rFonts w:hint="default" w:ascii="Times New Roman" w:hAnsi="Times New Roman" w:eastAsia="宋体" w:cs="Times New Roman"/>
          <w:color w:val="auto"/>
          <w:highlight w:val="none"/>
          <w:lang w:eastAsia="zh-CN"/>
        </w:rPr>
        <w:t>监测点</w:t>
      </w:r>
      <w:r>
        <w:rPr>
          <w:rFonts w:hint="default" w:ascii="Times New Roman" w:hAnsi="Times New Roman" w:eastAsia="宋体" w:cs="Times New Roman"/>
          <w:color w:val="auto"/>
          <w:highlight w:val="none"/>
          <w:lang w:eastAsia="zh-CN"/>
        </w:rPr>
        <w:t>为</w:t>
      </w:r>
      <w:r>
        <w:rPr>
          <w:rFonts w:hint="default" w:ascii="Times New Roman" w:hAnsi="Times New Roman" w:eastAsia="宋体" w:cs="Times New Roman"/>
          <w:color w:val="auto"/>
          <w:highlight w:val="none"/>
        </w:rPr>
        <w:t>预测点。预测模式如下：</w:t>
      </w:r>
    </w:p>
    <w:p w14:paraId="2C67DC09">
      <w:pPr>
        <w:pageBreakBefore w:val="0"/>
        <w:kinsoku/>
        <w:wordWrap/>
        <w:bidi w:val="0"/>
        <w:snapToGrid w:val="0"/>
        <w:spacing w:line="360" w:lineRule="auto"/>
        <w:ind w:left="0" w:leftChars="0" w:right="0" w:rightChars="0" w:firstLine="480"/>
        <w:outlineLvl w:val="2"/>
        <w:rPr>
          <w:rFonts w:hint="default" w:ascii="Times New Roman" w:hAnsi="Times New Roman" w:eastAsia="宋体" w:cs="Times New Roman"/>
          <w:color w:val="auto"/>
          <w:highlight w:val="none"/>
        </w:rPr>
      </w:pPr>
      <w:bookmarkStart w:id="453" w:name="_Toc17216"/>
      <w:bookmarkStart w:id="454" w:name="_Toc8841"/>
      <w:r>
        <w:rPr>
          <w:rFonts w:hint="default" w:ascii="Times New Roman" w:hAnsi="Times New Roman" w:eastAsia="宋体" w:cs="Times New Roman"/>
          <w:color w:val="auto"/>
          <w:highlight w:val="none"/>
        </w:rPr>
        <w:t>1）单个室外的点声源在预测点产生的声级计算公式</w:t>
      </w:r>
      <w:bookmarkEnd w:id="453"/>
      <w:bookmarkEnd w:id="454"/>
    </w:p>
    <w:p w14:paraId="360CFF9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相同方向预测点位置的倍频带声压级L</w:t>
      </w:r>
      <w:r>
        <w:rPr>
          <w:rFonts w:hint="default" w:ascii="Times New Roman" w:hAnsi="Times New Roman" w:eastAsia="宋体" w:cs="Times New Roman"/>
          <w:color w:val="auto"/>
          <w:highlight w:val="none"/>
          <w:vertAlign w:val="subscript"/>
        </w:rPr>
        <w:t>P</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r</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计算公式：</w:t>
      </w:r>
    </w:p>
    <w:p w14:paraId="10B08A00">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position w:val="-14"/>
          <w:highlight w:val="none"/>
        </w:rPr>
        <w:object>
          <v:shape id="_x0000_i1033" o:spt="75" type="#_x0000_t75" style="height:26.5pt;width:93.75pt;" o:ole="t" filled="f" o:preferrelative="t" stroked="f" coordsize="21600,21600">
            <v:path/>
            <v:fill on="f" focussize="0,0"/>
            <v:stroke on="f" joinstyle="miter"/>
            <v:imagedata r:id="rId55" o:title=""/>
            <o:lock v:ext="edit" aspectratio="t"/>
            <w10:wrap type="none"/>
            <w10:anchorlock/>
          </v:shape>
          <o:OLEObject Type="Embed" ProgID="Equation.3" ShapeID="_x0000_i1033" DrawAspect="Content" ObjectID="_1468075733" r:id="rId54">
            <o:LockedField>false</o:LockedField>
          </o:OLEObject>
        </w:object>
      </w:r>
    </w:p>
    <w:p w14:paraId="695752FC">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position w:val="-14"/>
          <w:highlight w:val="none"/>
        </w:rPr>
        <w:object>
          <v:shape id="_x0000_i1034" o:spt="75" type="#_x0000_t75" style="height:26.5pt;width:169.15pt;" o:ole="t" filled="f" o:preferrelative="t" stroked="f" coordsize="21600,21600">
            <v:path/>
            <v:fill on="f" focussize="0,0"/>
            <v:stroke on="f" joinstyle="miter"/>
            <v:imagedata r:id="rId57" o:title=""/>
            <o:lock v:ext="edit" aspectratio="t"/>
            <w10:wrap type="none"/>
            <w10:anchorlock/>
          </v:shape>
          <o:OLEObject Type="Embed" ProgID="Equation.3" ShapeID="_x0000_i1034" DrawAspect="Content" ObjectID="_1468075734" r:id="rId56">
            <o:LockedField>false</o:LockedField>
          </o:OLEObject>
        </w:object>
      </w:r>
    </w:p>
    <w:p w14:paraId="5B21259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p>
    <w:p w14:paraId="4CD29B9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L</w:t>
      </w:r>
      <w:r>
        <w:rPr>
          <w:rFonts w:hint="default" w:ascii="Times New Roman" w:hAnsi="Times New Roman" w:eastAsia="宋体" w:cs="Times New Roman"/>
          <w:color w:val="auto"/>
          <w:highlight w:val="none"/>
          <w:vertAlign w:val="subscript"/>
        </w:rPr>
        <w:t>p</w:t>
      </w:r>
      <w:r>
        <w:rPr>
          <w:rFonts w:hint="default" w:ascii="Times New Roman" w:hAnsi="Times New Roman" w:eastAsia="宋体" w:cs="Times New Roman"/>
          <w:color w:val="auto"/>
          <w:highlight w:val="none"/>
          <w:vertAlign w:val="subscript"/>
          <w:lang w:eastAsia="zh-CN"/>
        </w:rPr>
        <w:t>（</w:t>
      </w:r>
      <w:r>
        <w:rPr>
          <w:rFonts w:hint="default" w:ascii="Times New Roman" w:hAnsi="Times New Roman" w:eastAsia="宋体" w:cs="Times New Roman"/>
          <w:color w:val="auto"/>
          <w:highlight w:val="none"/>
          <w:vertAlign w:val="subscript"/>
        </w:rPr>
        <w:t>r0</w:t>
      </w:r>
      <w:r>
        <w:rPr>
          <w:rFonts w:hint="default" w:ascii="Times New Roman" w:hAnsi="Times New Roman" w:eastAsia="宋体" w:cs="Times New Roman"/>
          <w:color w:val="auto"/>
          <w:highlight w:val="none"/>
          <w:vertAlign w:val="subscript"/>
          <w:lang w:eastAsia="zh-CN"/>
        </w:rPr>
        <w:t>）</w:t>
      </w:r>
      <w:r>
        <w:rPr>
          <w:rFonts w:hint="default" w:ascii="Times New Roman" w:hAnsi="Times New Roman" w:eastAsia="宋体" w:cs="Times New Roman"/>
          <w:color w:val="auto"/>
          <w:highlight w:val="none"/>
        </w:rPr>
        <w:t>—靠近声源处某点的倍频带声压级，dB；</w:t>
      </w:r>
    </w:p>
    <w:p w14:paraId="00D1DDC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A—倍频带衰减，dB；</w:t>
      </w:r>
    </w:p>
    <w:p w14:paraId="085C335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w:t>
      </w:r>
      <w:r>
        <w:rPr>
          <w:rFonts w:hint="default" w:ascii="Times New Roman" w:hAnsi="Times New Roman" w:eastAsia="宋体" w:cs="Times New Roman"/>
          <w:color w:val="auto"/>
          <w:highlight w:val="none"/>
          <w:vertAlign w:val="subscript"/>
        </w:rPr>
        <w:t>d</w:t>
      </w:r>
      <w:r>
        <w:rPr>
          <w:rFonts w:hint="default" w:ascii="Times New Roman" w:hAnsi="Times New Roman" w:eastAsia="宋体" w:cs="Times New Roman"/>
          <w:color w:val="auto"/>
          <w:highlight w:val="none"/>
          <w:vertAlign w:val="subscript"/>
          <w:lang w:eastAsia="zh-CN"/>
        </w:rPr>
        <w:t>Ⅳ</w:t>
      </w:r>
      <w:r>
        <w:rPr>
          <w:rFonts w:hint="default" w:ascii="Times New Roman" w:hAnsi="Times New Roman" w:eastAsia="宋体" w:cs="Times New Roman"/>
          <w:color w:val="auto"/>
          <w:highlight w:val="none"/>
        </w:rPr>
        <w:t>—几何发散引起的倍频带衰减，dB；</w:t>
      </w:r>
    </w:p>
    <w:p w14:paraId="2E882EA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w:t>
      </w:r>
      <w:r>
        <w:rPr>
          <w:rFonts w:hint="default" w:ascii="Times New Roman" w:hAnsi="Times New Roman" w:eastAsia="宋体" w:cs="Times New Roman"/>
          <w:color w:val="auto"/>
          <w:highlight w:val="none"/>
          <w:vertAlign w:val="subscript"/>
        </w:rPr>
        <w:t>atm</w:t>
      </w:r>
      <w:r>
        <w:rPr>
          <w:rFonts w:hint="default" w:ascii="Times New Roman" w:hAnsi="Times New Roman" w:eastAsia="宋体" w:cs="Times New Roman"/>
          <w:color w:val="auto"/>
          <w:highlight w:val="none"/>
        </w:rPr>
        <w:t>—大气吸收引起的倍频带衰减，dB；</w:t>
      </w:r>
    </w:p>
    <w:p w14:paraId="68ED076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w:t>
      </w:r>
      <w:r>
        <w:rPr>
          <w:rFonts w:hint="default" w:ascii="Times New Roman" w:hAnsi="Times New Roman" w:eastAsia="宋体" w:cs="Times New Roman"/>
          <w:color w:val="auto"/>
          <w:highlight w:val="none"/>
          <w:vertAlign w:val="subscript"/>
        </w:rPr>
        <w:t>gr</w:t>
      </w:r>
      <w:r>
        <w:rPr>
          <w:rFonts w:hint="default" w:ascii="Times New Roman" w:hAnsi="Times New Roman" w:eastAsia="宋体" w:cs="Times New Roman"/>
          <w:color w:val="auto"/>
          <w:highlight w:val="none"/>
        </w:rPr>
        <w:t>—地面效应引起的倍频带衰减，dB；</w:t>
      </w:r>
    </w:p>
    <w:p w14:paraId="2CD27CB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w:t>
      </w:r>
      <w:r>
        <w:rPr>
          <w:rFonts w:hint="default" w:ascii="Times New Roman" w:hAnsi="Times New Roman" w:eastAsia="宋体" w:cs="Times New Roman"/>
          <w:color w:val="auto"/>
          <w:highlight w:val="none"/>
          <w:vertAlign w:val="subscript"/>
        </w:rPr>
        <w:t>bar</w:t>
      </w:r>
      <w:r>
        <w:rPr>
          <w:rFonts w:hint="default" w:ascii="Times New Roman" w:hAnsi="Times New Roman" w:eastAsia="宋体" w:cs="Times New Roman"/>
          <w:color w:val="auto"/>
          <w:highlight w:val="none"/>
        </w:rPr>
        <w:t>—声屏障引起的倍频带衰减，dB；</w:t>
      </w:r>
    </w:p>
    <w:p w14:paraId="22E6980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w:t>
      </w:r>
      <w:r>
        <w:rPr>
          <w:rFonts w:hint="default" w:ascii="Times New Roman" w:hAnsi="Times New Roman" w:eastAsia="宋体" w:cs="Times New Roman"/>
          <w:color w:val="auto"/>
          <w:highlight w:val="none"/>
          <w:vertAlign w:val="subscript"/>
        </w:rPr>
        <w:t>misc</w:t>
      </w:r>
      <w:r>
        <w:rPr>
          <w:rFonts w:hint="default" w:ascii="Times New Roman" w:hAnsi="Times New Roman" w:eastAsia="宋体" w:cs="Times New Roman"/>
          <w:color w:val="auto"/>
          <w:highlight w:val="none"/>
        </w:rPr>
        <w:t>—其他多方面效应引起的倍频带衰减，dB。</w:t>
      </w:r>
    </w:p>
    <w:p w14:paraId="745EDAAD">
      <w:pPr>
        <w:pageBreakBefore w:val="0"/>
        <w:kinsoku/>
        <w:wordWrap/>
        <w:bidi w:val="0"/>
        <w:snapToGrid w:val="0"/>
        <w:spacing w:line="360" w:lineRule="auto"/>
        <w:ind w:left="0" w:leftChars="0" w:right="0" w:rightChars="0" w:firstLine="480"/>
        <w:outlineLvl w:val="2"/>
        <w:rPr>
          <w:rFonts w:hint="default" w:ascii="Times New Roman" w:hAnsi="Times New Roman" w:eastAsia="宋体" w:cs="Times New Roman"/>
          <w:color w:val="auto"/>
          <w:highlight w:val="none"/>
        </w:rPr>
      </w:pPr>
      <w:bookmarkStart w:id="455" w:name="_Toc31411"/>
      <w:bookmarkStart w:id="456" w:name="_Toc1584"/>
      <w:r>
        <w:rPr>
          <w:rFonts w:hint="default" w:ascii="Times New Roman" w:hAnsi="Times New Roman" w:eastAsia="宋体" w:cs="Times New Roman"/>
          <w:color w:val="auto"/>
          <w:highlight w:val="none"/>
        </w:rPr>
        <w:t>2）室内声源等效室外声源声功率级计算方法</w:t>
      </w:r>
      <w:bookmarkEnd w:id="455"/>
      <w:bookmarkEnd w:id="456"/>
    </w:p>
    <w:p w14:paraId="25145D1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室外的倍频带声压级</w:t>
      </w:r>
    </w:p>
    <w:p w14:paraId="3896A4B0">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position w:val="-14"/>
          <w:highlight w:val="none"/>
        </w:rPr>
        <w:object>
          <v:shape id="_x0000_i1035" o:spt="75" type="#_x0000_t75" style="height:21.75pt;width:102.55pt;" o:ole="t" filled="f" o:preferrelative="t" stroked="f" coordsize="21600,21600">
            <v:path/>
            <v:fill on="f" focussize="0,0"/>
            <v:stroke on="f" joinstyle="miter"/>
            <v:imagedata r:id="rId59" o:title=""/>
            <o:lock v:ext="edit" aspectratio="t"/>
            <w10:wrap type="none"/>
            <w10:anchorlock/>
          </v:shape>
          <o:OLEObject Type="Embed" ProgID="Equation.3" ShapeID="_x0000_i1035" DrawAspect="Content" ObjectID="_1468075735" r:id="rId58">
            <o:LockedField>false</o:LockedField>
          </o:OLEObject>
        </w:object>
      </w:r>
    </w:p>
    <w:p w14:paraId="28FF92C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p>
    <w:p w14:paraId="35452D5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TL—隔墙（或窗户）倍频带的隔声量，dB。</w:t>
      </w:r>
    </w:p>
    <w:p w14:paraId="47898E8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某一室内声源靠近围护结构处产生的倍频带声压级</w:t>
      </w:r>
    </w:p>
    <w:p w14:paraId="74DB90A0">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position w:val="-24"/>
          <w:highlight w:val="none"/>
        </w:rPr>
        <w:object>
          <v:shape id="_x0000_i1036" o:spt="75" type="#_x0000_t75" style="height:30.55pt;width:139.25pt;" o:ole="t" filled="f" o:preferrelative="t" stroked="f" coordsize="21600,21600">
            <v:path/>
            <v:fill on="f" focussize="0,0"/>
            <v:stroke on="f" joinstyle="miter"/>
            <v:imagedata r:id="rId61" o:title=""/>
            <o:lock v:ext="edit" aspectratio="t"/>
            <w10:wrap type="none"/>
            <w10:anchorlock/>
          </v:shape>
          <o:OLEObject Type="Embed" ProgID="Equation.3" ShapeID="_x0000_i1036" DrawAspect="Content" ObjectID="_1468075736" r:id="rId60">
            <o:LockedField>false</o:LockedField>
          </o:OLEObject>
        </w:object>
      </w:r>
    </w:p>
    <w:p w14:paraId="33F5B20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p>
    <w:p w14:paraId="62B00C5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Q—指向性因数；</w:t>
      </w:r>
    </w:p>
    <w:p w14:paraId="18CE4F1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R—房间常数；</w:t>
      </w:r>
    </w:p>
    <w:p w14:paraId="27C9CEC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r—声源在靠近围护结构某点处的距离，m。</w:t>
      </w:r>
    </w:p>
    <w:p w14:paraId="7992EA3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室内声源在围护结构处产生的i倍频带叠加声压级：</w:t>
      </w:r>
    </w:p>
    <w:p w14:paraId="6DBAA0E3">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position w:val="-30"/>
          <w:highlight w:val="none"/>
        </w:rPr>
        <w:object>
          <v:shape id="_x0000_i1037" o:spt="75" type="#_x0000_t75" style="height:36.7pt;width:133.15pt;" o:ole="t" filled="f" o:preferrelative="t" stroked="f" coordsize="21600,21600">
            <v:path/>
            <v:fill on="f" focussize="0,0"/>
            <v:stroke on="f" joinstyle="miter"/>
            <v:imagedata r:id="rId63" o:title=""/>
            <o:lock v:ext="edit" aspectratio="t"/>
            <w10:wrap type="none"/>
            <w10:anchorlock/>
          </v:shape>
          <o:OLEObject Type="Embed" ProgID="Equation.3" ShapeID="_x0000_i1037" DrawAspect="Content" ObjectID="_1468075737" r:id="rId62">
            <o:LockedField>false</o:LockedField>
          </o:OLEObject>
        </w:object>
      </w:r>
    </w:p>
    <w:p w14:paraId="7C2E24E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p>
    <w:p w14:paraId="6F8C331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bookmarkStart w:id="457" w:name="_Toc471227766"/>
      <w:r>
        <w:rPr>
          <w:rFonts w:hint="default" w:ascii="Times New Roman" w:hAnsi="Times New Roman" w:eastAsia="宋体" w:cs="Times New Roman"/>
          <w:color w:val="auto"/>
          <w:highlight w:val="none"/>
        </w:rPr>
        <w:t>Lp1i</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T</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—靠近围护结构处室内N个声源i倍频带的叠加声压级，dB；</w:t>
      </w:r>
      <w:bookmarkEnd w:id="457"/>
    </w:p>
    <w:p w14:paraId="49A7736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L</w:t>
      </w:r>
      <w:r>
        <w:rPr>
          <w:rFonts w:hint="default" w:ascii="Times New Roman" w:hAnsi="Times New Roman" w:eastAsia="宋体" w:cs="Times New Roman"/>
          <w:color w:val="auto"/>
          <w:highlight w:val="none"/>
          <w:vertAlign w:val="subscript"/>
        </w:rPr>
        <w:t>p1ij</w:t>
      </w:r>
      <w:r>
        <w:rPr>
          <w:rFonts w:hint="default" w:ascii="Times New Roman" w:hAnsi="Times New Roman" w:eastAsia="宋体" w:cs="Times New Roman"/>
          <w:color w:val="auto"/>
          <w:highlight w:val="none"/>
        </w:rPr>
        <w:t>—室内j声源i倍频带的声压级，dB；</w:t>
      </w:r>
    </w:p>
    <w:p w14:paraId="48D4CD7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N—室内声源总数。</w:t>
      </w:r>
    </w:p>
    <w:p w14:paraId="48C82C95">
      <w:pPr>
        <w:pageBreakBefore w:val="0"/>
        <w:kinsoku/>
        <w:wordWrap/>
        <w:bidi w:val="0"/>
        <w:snapToGrid w:val="0"/>
        <w:spacing w:line="360" w:lineRule="auto"/>
        <w:ind w:left="0" w:leftChars="0" w:right="0" w:rightChars="0" w:firstLine="480"/>
        <w:outlineLvl w:val="2"/>
        <w:rPr>
          <w:rFonts w:hint="default" w:ascii="Times New Roman" w:hAnsi="Times New Roman" w:eastAsia="宋体" w:cs="Times New Roman"/>
          <w:color w:val="auto"/>
          <w:highlight w:val="none"/>
        </w:rPr>
      </w:pPr>
      <w:bookmarkStart w:id="458" w:name="_Toc9617"/>
      <w:bookmarkStart w:id="459" w:name="_Toc30982"/>
      <w:r>
        <w:rPr>
          <w:rFonts w:hint="default" w:ascii="Times New Roman" w:hAnsi="Times New Roman" w:eastAsia="宋体" w:cs="Times New Roman"/>
          <w:color w:val="auto"/>
          <w:highlight w:val="none"/>
        </w:rPr>
        <w:t>3）噪声贡献值计算</w:t>
      </w:r>
      <w:bookmarkEnd w:id="458"/>
      <w:bookmarkEnd w:id="459"/>
    </w:p>
    <w:p w14:paraId="1A350A3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拟建项目声源对预测点产生的贡献值为：</w:t>
      </w:r>
    </w:p>
    <w:p w14:paraId="1694BB04">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position w:val="-34"/>
          <w:highlight w:val="none"/>
        </w:rPr>
        <w:object>
          <v:shape id="_x0000_i1038" o:spt="75" type="#_x0000_t75" style="height:41.45pt;width:205.15pt;" o:ole="t" filled="f" o:preferrelative="t" stroked="f" coordsize="21600,21600">
            <v:path/>
            <v:fill on="f" focussize="0,0"/>
            <v:stroke on="f" joinstyle="miter"/>
            <v:imagedata r:id="rId65" o:title=""/>
            <o:lock v:ext="edit" aspectratio="t"/>
            <w10:wrap type="none"/>
            <w10:anchorlock/>
          </v:shape>
          <o:OLEObject Type="Embed" ProgID="Equation.3" ShapeID="_x0000_i1038" DrawAspect="Content" ObjectID="_1468075738" r:id="rId64">
            <o:LockedField>false</o:LockedField>
          </o:OLEObject>
        </w:object>
      </w:r>
    </w:p>
    <w:p w14:paraId="68C98BE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p>
    <w:p w14:paraId="4C18A23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w:t>
      </w:r>
      <w:r>
        <w:rPr>
          <w:rFonts w:hint="default" w:ascii="Times New Roman" w:hAnsi="Times New Roman" w:eastAsia="宋体" w:cs="Times New Roman"/>
          <w:color w:val="auto"/>
          <w:highlight w:val="none"/>
          <w:vertAlign w:val="subscript"/>
        </w:rPr>
        <w:t>j</w:t>
      </w:r>
      <w:r>
        <w:rPr>
          <w:rFonts w:hint="default" w:ascii="Times New Roman" w:hAnsi="Times New Roman" w:eastAsia="宋体" w:cs="Times New Roman"/>
          <w:color w:val="auto"/>
          <w:highlight w:val="none"/>
        </w:rPr>
        <w:t>—在T时间内j声源工作时间，s；</w:t>
      </w:r>
    </w:p>
    <w:p w14:paraId="49B4131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—在T时间内i声源工作时间，s；</w:t>
      </w:r>
    </w:p>
    <w:p w14:paraId="70E85E5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T—用于计算等效声级的时间，s；</w:t>
      </w:r>
    </w:p>
    <w:p w14:paraId="16660B8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N—室外声源个数；</w:t>
      </w:r>
    </w:p>
    <w:p w14:paraId="0EEDB77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M—等效室外声源个数。</w:t>
      </w:r>
    </w:p>
    <w:p w14:paraId="4C05E5A2">
      <w:pPr>
        <w:pageBreakBefore w:val="0"/>
        <w:kinsoku/>
        <w:wordWrap/>
        <w:bidi w:val="0"/>
        <w:snapToGrid w:val="0"/>
        <w:spacing w:line="360" w:lineRule="auto"/>
        <w:ind w:left="0" w:leftChars="0" w:right="0" w:rightChars="0" w:firstLine="480"/>
        <w:outlineLvl w:val="2"/>
        <w:rPr>
          <w:rFonts w:hint="default" w:ascii="Times New Roman" w:hAnsi="Times New Roman" w:eastAsia="宋体" w:cs="Times New Roman"/>
          <w:color w:val="auto"/>
          <w:highlight w:val="none"/>
        </w:rPr>
      </w:pPr>
      <w:bookmarkStart w:id="460" w:name="_Toc26176"/>
      <w:bookmarkStart w:id="461" w:name="_Toc16084"/>
      <w:r>
        <w:rPr>
          <w:rFonts w:hint="default" w:ascii="Times New Roman" w:hAnsi="Times New Roman" w:eastAsia="宋体" w:cs="Times New Roman"/>
          <w:color w:val="auto"/>
          <w:highlight w:val="none"/>
        </w:rPr>
        <w:t>4）预测值计算</w:t>
      </w:r>
      <w:bookmarkEnd w:id="460"/>
      <w:bookmarkEnd w:id="461"/>
    </w:p>
    <w:p w14:paraId="6D615A4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建设项目声源在预测点产生的等效声级贡献值（L</w:t>
      </w:r>
      <w:r>
        <w:rPr>
          <w:rFonts w:hint="default" w:ascii="Times New Roman" w:hAnsi="Times New Roman" w:eastAsia="宋体" w:cs="Times New Roman"/>
          <w:color w:val="auto"/>
          <w:highlight w:val="none"/>
          <w:vertAlign w:val="subscript"/>
        </w:rPr>
        <w:t>eqg</w:t>
      </w:r>
      <w:r>
        <w:rPr>
          <w:rFonts w:hint="default" w:ascii="Times New Roman" w:hAnsi="Times New Roman" w:eastAsia="宋体" w:cs="Times New Roman"/>
          <w:color w:val="auto"/>
          <w:highlight w:val="none"/>
        </w:rPr>
        <w:t>）计算公式：</w:t>
      </w:r>
    </w:p>
    <w:p w14:paraId="7C5355B1">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position w:val="-30"/>
          <w:highlight w:val="none"/>
        </w:rPr>
        <w:object>
          <v:shape id="_x0000_i1039" o:spt="75" type="#_x0000_t75" style="height:36.7pt;width:133.8pt;" o:ole="t" filled="f" o:preferrelative="t" stroked="f" coordsize="21600,21600">
            <v:path/>
            <v:fill on="f" focussize="0,0"/>
            <v:stroke on="f" joinstyle="miter"/>
            <v:imagedata r:id="rId67" o:title=""/>
            <o:lock v:ext="edit" aspectratio="t"/>
            <w10:wrap type="none"/>
            <w10:anchorlock/>
          </v:shape>
          <o:OLEObject Type="Embed" ProgID="Equation.3" ShapeID="_x0000_i1039" DrawAspect="Content" ObjectID="_1468075739" r:id="rId66">
            <o:LockedField>false</o:LockedField>
          </o:OLEObject>
        </w:object>
      </w:r>
    </w:p>
    <w:p w14:paraId="467BA8A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p>
    <w:p w14:paraId="2FF0996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bookmarkStart w:id="462" w:name="_Toc471227767"/>
      <w:r>
        <w:rPr>
          <w:rFonts w:hint="default" w:ascii="Times New Roman" w:hAnsi="Times New Roman" w:eastAsia="宋体" w:cs="Times New Roman"/>
          <w:color w:val="auto"/>
          <w:highlight w:val="none"/>
        </w:rPr>
        <w:t>L</w:t>
      </w:r>
      <w:r>
        <w:rPr>
          <w:rFonts w:hint="default" w:ascii="Times New Roman" w:hAnsi="Times New Roman" w:eastAsia="宋体" w:cs="Times New Roman"/>
          <w:color w:val="auto"/>
          <w:highlight w:val="none"/>
          <w:vertAlign w:val="subscript"/>
        </w:rPr>
        <w:t>eqg</w:t>
      </w:r>
      <w:r>
        <w:rPr>
          <w:rFonts w:hint="default" w:ascii="Times New Roman" w:hAnsi="Times New Roman" w:eastAsia="宋体" w:cs="Times New Roman"/>
          <w:color w:val="auto"/>
          <w:highlight w:val="none"/>
        </w:rPr>
        <w:t>—建设项目声源在预测点的等效声级贡献值，dB</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A</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w:t>
      </w:r>
      <w:bookmarkEnd w:id="462"/>
    </w:p>
    <w:p w14:paraId="3C011AB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L</w:t>
      </w:r>
      <w:r>
        <w:rPr>
          <w:rFonts w:hint="default" w:ascii="Times New Roman" w:hAnsi="Times New Roman" w:eastAsia="宋体" w:cs="Times New Roman"/>
          <w:color w:val="auto"/>
          <w:highlight w:val="none"/>
          <w:vertAlign w:val="subscript"/>
        </w:rPr>
        <w:t>Ai</w:t>
      </w:r>
      <w:r>
        <w:rPr>
          <w:rFonts w:hint="default" w:ascii="Times New Roman" w:hAnsi="Times New Roman" w:eastAsia="宋体" w:cs="Times New Roman"/>
          <w:color w:val="auto"/>
          <w:highlight w:val="none"/>
        </w:rPr>
        <w:t>—i声源在预测点产生的A声级，dB</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A</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w:t>
      </w:r>
    </w:p>
    <w:p w14:paraId="24FCA53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T—预测计算的时间段，s；</w:t>
      </w:r>
    </w:p>
    <w:p w14:paraId="779DBE3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—i声源在T时段内的运行时间，s。</w:t>
      </w:r>
    </w:p>
    <w:p w14:paraId="4635F72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预测点的预测等效声级（L</w:t>
      </w:r>
      <w:r>
        <w:rPr>
          <w:rFonts w:hint="default" w:ascii="Times New Roman" w:hAnsi="Times New Roman" w:eastAsia="宋体" w:cs="Times New Roman"/>
          <w:color w:val="auto"/>
          <w:highlight w:val="none"/>
          <w:vertAlign w:val="subscript"/>
        </w:rPr>
        <w:t>eq</w:t>
      </w:r>
      <w:r>
        <w:rPr>
          <w:rFonts w:hint="default" w:ascii="Times New Roman" w:hAnsi="Times New Roman" w:eastAsia="宋体" w:cs="Times New Roman"/>
          <w:color w:val="auto"/>
          <w:highlight w:val="none"/>
        </w:rPr>
        <w:t>）计算公式：</w:t>
      </w:r>
    </w:p>
    <w:p w14:paraId="72506F3B">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object>
          <v:shape id="_x0000_i1040" o:spt="75" type="#_x0000_t75" style="height:26.5pt;width:139.25pt;" o:ole="t" filled="f" o:preferrelative="t" stroked="f" coordsize="21600,21600">
            <v:path/>
            <v:fill on="f" focussize="0,0"/>
            <v:stroke on="f" joinstyle="miter"/>
            <v:imagedata r:id="rId69" o:title=""/>
            <o:lock v:ext="edit" aspectratio="t"/>
            <w10:wrap type="none"/>
            <w10:anchorlock/>
          </v:shape>
          <o:OLEObject Type="Embed" ProgID="Equation.3" ShapeID="_x0000_i1040" DrawAspect="Content" ObjectID="_1468075740" r:id="rId68">
            <o:LockedField>false</o:LockedField>
          </o:OLEObject>
        </w:object>
      </w:r>
    </w:p>
    <w:p w14:paraId="008E8A6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p>
    <w:p w14:paraId="6BCCE75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bookmarkStart w:id="463" w:name="_Toc471227768"/>
      <w:r>
        <w:rPr>
          <w:rFonts w:hint="default" w:ascii="Times New Roman" w:hAnsi="Times New Roman" w:eastAsia="宋体" w:cs="Times New Roman"/>
          <w:color w:val="auto"/>
          <w:highlight w:val="none"/>
        </w:rPr>
        <w:t>L</w:t>
      </w:r>
      <w:r>
        <w:rPr>
          <w:rFonts w:hint="default" w:ascii="Times New Roman" w:hAnsi="Times New Roman" w:eastAsia="宋体" w:cs="Times New Roman"/>
          <w:color w:val="auto"/>
          <w:highlight w:val="none"/>
          <w:vertAlign w:val="subscript"/>
        </w:rPr>
        <w:t>eqg</w:t>
      </w:r>
      <w:r>
        <w:rPr>
          <w:rFonts w:hint="default" w:ascii="Times New Roman" w:hAnsi="Times New Roman" w:eastAsia="宋体" w:cs="Times New Roman"/>
          <w:color w:val="auto"/>
          <w:highlight w:val="none"/>
        </w:rPr>
        <w:t>—建设项目声源在预测点的等效声级贡献值，dB</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A</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w:t>
      </w:r>
      <w:bookmarkEnd w:id="463"/>
    </w:p>
    <w:p w14:paraId="7753A28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L</w:t>
      </w:r>
      <w:r>
        <w:rPr>
          <w:rFonts w:hint="default" w:ascii="Times New Roman" w:hAnsi="Times New Roman" w:eastAsia="宋体" w:cs="Times New Roman"/>
          <w:color w:val="auto"/>
          <w:highlight w:val="none"/>
          <w:vertAlign w:val="subscript"/>
        </w:rPr>
        <w:t>eqb</w:t>
      </w:r>
      <w:r>
        <w:rPr>
          <w:rFonts w:hint="default" w:ascii="Times New Roman" w:hAnsi="Times New Roman" w:eastAsia="宋体" w:cs="Times New Roman"/>
          <w:color w:val="auto"/>
          <w:highlight w:val="none"/>
        </w:rPr>
        <w:t>—预测点的背景值，dB</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A</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w:t>
      </w:r>
      <w:bookmarkEnd w:id="450"/>
      <w:bookmarkEnd w:id="451"/>
      <w:bookmarkEnd w:id="452"/>
    </w:p>
    <w:p w14:paraId="45DB88E9">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464" w:name="_Toc286164661"/>
      <w:bookmarkStart w:id="465" w:name="_Toc259614279"/>
      <w:bookmarkStart w:id="466" w:name="_Toc265744683"/>
      <w:bookmarkStart w:id="467" w:name="_Toc137236015"/>
      <w:bookmarkStart w:id="468" w:name="_Toc439090908"/>
      <w:bookmarkStart w:id="469" w:name="_Toc255298766"/>
      <w:bookmarkStart w:id="470" w:name="_Toc304736413"/>
      <w:bookmarkStart w:id="471" w:name="_Toc347089996"/>
      <w:bookmarkStart w:id="472" w:name="_Toc282785319"/>
      <w:bookmarkStart w:id="473" w:name="_Toc289249108"/>
      <w:bookmarkStart w:id="474" w:name="_Toc414022975"/>
      <w:bookmarkStart w:id="475" w:name="_Toc414022750"/>
      <w:bookmarkStart w:id="476" w:name="_Toc259456491"/>
      <w:bookmarkStart w:id="477" w:name="_Toc307566446"/>
      <w:bookmarkStart w:id="478" w:name="_Toc305308424"/>
      <w:bookmarkStart w:id="479" w:name="_Toc138493289"/>
      <w:bookmarkStart w:id="480" w:name="_Toc307561327"/>
      <w:bookmarkStart w:id="481" w:name="_Toc259614486"/>
      <w:bookmarkStart w:id="482" w:name="_Toc304537901"/>
      <w:bookmarkStart w:id="483" w:name="_Toc305323632"/>
      <w:bookmarkStart w:id="484" w:name="_Toc303002840"/>
      <w:bookmarkStart w:id="485" w:name="_Toc282796700"/>
      <w:bookmarkStart w:id="486" w:name="_Toc41476807"/>
      <w:bookmarkStart w:id="487" w:name="_Toc18856"/>
      <w:r>
        <w:rPr>
          <w:rFonts w:hint="default" w:ascii="Times New Roman" w:hAnsi="Times New Roman" w:eastAsia="宋体" w:cs="Times New Roman"/>
          <w:color w:val="auto"/>
          <w:highlight w:val="none"/>
        </w:rPr>
        <w:t>5.6.3声环境预测结果</w:t>
      </w:r>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r>
        <w:rPr>
          <w:rFonts w:hint="default" w:ascii="Times New Roman" w:hAnsi="Times New Roman" w:eastAsia="宋体" w:cs="Times New Roman"/>
          <w:color w:val="auto"/>
          <w:highlight w:val="none"/>
        </w:rPr>
        <w:t>及结论</w:t>
      </w:r>
      <w:bookmarkEnd w:id="486"/>
      <w:bookmarkEnd w:id="487"/>
    </w:p>
    <w:p w14:paraId="48AF120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根据《</w:t>
      </w:r>
      <w:r>
        <w:rPr>
          <w:rFonts w:hint="default" w:ascii="Times New Roman" w:hAnsi="Times New Roman" w:eastAsia="宋体" w:cs="Times New Roman"/>
          <w:color w:val="auto"/>
          <w:szCs w:val="24"/>
          <w:highlight w:val="none"/>
          <w:lang w:eastAsia="zh-CN"/>
        </w:rPr>
        <w:t>环境影响评价技术导则</w:t>
      </w:r>
      <w:r>
        <w:rPr>
          <w:rFonts w:hint="default" w:ascii="Times New Roman" w:hAnsi="Times New Roman" w:eastAsia="宋体" w:cs="Times New Roman"/>
          <w:color w:val="auto"/>
          <w:szCs w:val="24"/>
          <w:highlight w:val="none"/>
          <w:lang w:eastAsia="zh-CN"/>
        </w:rPr>
        <w:t>声</w:t>
      </w:r>
      <w:r>
        <w:rPr>
          <w:rFonts w:hint="default" w:ascii="Times New Roman" w:hAnsi="Times New Roman" w:eastAsia="宋体" w:cs="Times New Roman"/>
          <w:color w:val="auto"/>
          <w:szCs w:val="24"/>
          <w:highlight w:val="none"/>
        </w:rPr>
        <w:t>环境》（</w:t>
      </w:r>
      <w:r>
        <w:rPr>
          <w:rFonts w:hint="default" w:ascii="Times New Roman" w:hAnsi="Times New Roman" w:eastAsia="宋体" w:cs="Times New Roman"/>
          <w:color w:val="auto"/>
          <w:szCs w:val="24"/>
          <w:highlight w:val="none"/>
          <w:lang w:eastAsia="zh-CN"/>
        </w:rPr>
        <w:t>HJ2.4-2021</w:t>
      </w:r>
      <w:r>
        <w:rPr>
          <w:rFonts w:hint="default" w:ascii="Times New Roman" w:hAnsi="Times New Roman" w:eastAsia="宋体" w:cs="Times New Roman"/>
          <w:color w:val="auto"/>
          <w:szCs w:val="24"/>
          <w:highlight w:val="none"/>
        </w:rPr>
        <w:t>）规定，本项目为新建项目，预测厂界噪声时直接以工程噪声贡献值为评价量，</w:t>
      </w:r>
      <w:r>
        <w:rPr>
          <w:rFonts w:hint="default" w:ascii="Times New Roman" w:hAnsi="Times New Roman" w:eastAsia="宋体" w:cs="Times New Roman"/>
          <w:color w:val="auto"/>
          <w:szCs w:val="24"/>
          <w:highlight w:val="none"/>
          <w:lang w:eastAsia="zh-CN"/>
        </w:rPr>
        <w:t>不再</w:t>
      </w:r>
      <w:r>
        <w:rPr>
          <w:rFonts w:hint="default" w:ascii="Times New Roman" w:hAnsi="Times New Roman" w:eastAsia="宋体" w:cs="Times New Roman"/>
          <w:color w:val="auto"/>
          <w:szCs w:val="24"/>
          <w:highlight w:val="none"/>
        </w:rPr>
        <w:t>叠加现状噪声背景值。</w:t>
      </w:r>
    </w:p>
    <w:p w14:paraId="5B320EF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结合项目场区平面布置图，经噪声衰减和叠加公式计算，工程运营期主要噪声源对厂界的影响结果见表5.6-2。</w:t>
      </w:r>
    </w:p>
    <w:p w14:paraId="2A92C288">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表5.6-2设备噪声预测结果单位：dB</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A</w:t>
      </w:r>
      <w:r>
        <w:rPr>
          <w:rFonts w:hint="default" w:ascii="Times New Roman" w:hAnsi="Times New Roman" w:eastAsia="宋体" w:cs="Times New Roman"/>
          <w:color w:val="auto"/>
          <w:sz w:val="24"/>
          <w:szCs w:val="24"/>
          <w:highlight w:val="none"/>
          <w:lang w:eastAsia="zh-CN"/>
        </w:rPr>
        <w:t>）</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2192"/>
        <w:gridCol w:w="1521"/>
        <w:gridCol w:w="1521"/>
        <w:gridCol w:w="1521"/>
        <w:gridCol w:w="1522"/>
      </w:tblGrid>
      <w:tr w14:paraId="48869B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386" w:type="dxa"/>
            <w:tcBorders>
              <w:top w:val="single" w:color="auto" w:sz="4" w:space="0"/>
              <w:left w:val="single" w:color="auto" w:sz="4" w:space="0"/>
              <w:bottom w:val="single" w:color="auto" w:sz="4" w:space="0"/>
              <w:right w:val="single" w:color="auto" w:sz="4" w:space="0"/>
            </w:tcBorders>
            <w:vAlign w:val="center"/>
          </w:tcPr>
          <w:p w14:paraId="728482B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预测内容</w:t>
            </w:r>
          </w:p>
        </w:tc>
        <w:tc>
          <w:tcPr>
            <w:tcW w:w="1654" w:type="dxa"/>
            <w:tcBorders>
              <w:top w:val="single" w:color="auto" w:sz="4" w:space="0"/>
              <w:left w:val="single" w:color="auto" w:sz="4" w:space="0"/>
              <w:bottom w:val="single" w:color="auto" w:sz="4" w:space="0"/>
              <w:right w:val="single" w:color="auto" w:sz="4" w:space="0"/>
            </w:tcBorders>
            <w:vAlign w:val="center"/>
          </w:tcPr>
          <w:p w14:paraId="67DA2E9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东厂界</w:t>
            </w:r>
          </w:p>
        </w:tc>
        <w:tc>
          <w:tcPr>
            <w:tcW w:w="1654" w:type="dxa"/>
            <w:tcBorders>
              <w:top w:val="single" w:color="auto" w:sz="4" w:space="0"/>
              <w:left w:val="single" w:color="auto" w:sz="4" w:space="0"/>
              <w:bottom w:val="single" w:color="auto" w:sz="4" w:space="0"/>
              <w:right w:val="single" w:color="auto" w:sz="4" w:space="0"/>
            </w:tcBorders>
            <w:vAlign w:val="center"/>
          </w:tcPr>
          <w:p w14:paraId="248C00A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南厂界</w:t>
            </w:r>
          </w:p>
        </w:tc>
        <w:tc>
          <w:tcPr>
            <w:tcW w:w="1654" w:type="dxa"/>
            <w:tcBorders>
              <w:top w:val="single" w:color="auto" w:sz="4" w:space="0"/>
              <w:left w:val="single" w:color="auto" w:sz="4" w:space="0"/>
              <w:bottom w:val="single" w:color="auto" w:sz="4" w:space="0"/>
              <w:right w:val="single" w:color="auto" w:sz="4" w:space="0"/>
            </w:tcBorders>
            <w:vAlign w:val="center"/>
          </w:tcPr>
          <w:p w14:paraId="557D795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西厂界</w:t>
            </w:r>
          </w:p>
        </w:tc>
        <w:tc>
          <w:tcPr>
            <w:tcW w:w="1655" w:type="dxa"/>
            <w:tcBorders>
              <w:top w:val="single" w:color="auto" w:sz="4" w:space="0"/>
              <w:left w:val="single" w:color="auto" w:sz="4" w:space="0"/>
              <w:bottom w:val="single" w:color="auto" w:sz="4" w:space="0"/>
              <w:right w:val="single" w:color="auto" w:sz="4" w:space="0"/>
            </w:tcBorders>
            <w:vAlign w:val="center"/>
          </w:tcPr>
          <w:p w14:paraId="3CF5C53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北厂界</w:t>
            </w:r>
          </w:p>
        </w:tc>
      </w:tr>
      <w:tr w14:paraId="04D2CE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2386" w:type="dxa"/>
            <w:tcBorders>
              <w:top w:val="single" w:color="auto" w:sz="4" w:space="0"/>
              <w:left w:val="single" w:color="auto" w:sz="4" w:space="0"/>
              <w:bottom w:val="single" w:color="auto" w:sz="4" w:space="0"/>
              <w:right w:val="single" w:color="auto" w:sz="4" w:space="0"/>
            </w:tcBorders>
            <w:vAlign w:val="center"/>
          </w:tcPr>
          <w:p w14:paraId="2320BC5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贡献值</w:t>
            </w:r>
          </w:p>
        </w:tc>
        <w:tc>
          <w:tcPr>
            <w:tcW w:w="1654" w:type="dxa"/>
            <w:tcBorders>
              <w:top w:val="single" w:color="auto" w:sz="4" w:space="0"/>
              <w:left w:val="single" w:color="auto" w:sz="4" w:space="0"/>
              <w:bottom w:val="single" w:color="auto" w:sz="4" w:space="0"/>
              <w:right w:val="single" w:color="auto" w:sz="4" w:space="0"/>
            </w:tcBorders>
            <w:vAlign w:val="center"/>
          </w:tcPr>
          <w:p w14:paraId="2B4F7A3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46.2</w:t>
            </w:r>
          </w:p>
        </w:tc>
        <w:tc>
          <w:tcPr>
            <w:tcW w:w="1654" w:type="dxa"/>
            <w:tcBorders>
              <w:top w:val="single" w:color="auto" w:sz="4" w:space="0"/>
              <w:left w:val="single" w:color="auto" w:sz="4" w:space="0"/>
              <w:bottom w:val="single" w:color="auto" w:sz="4" w:space="0"/>
              <w:right w:val="single" w:color="auto" w:sz="4" w:space="0"/>
            </w:tcBorders>
            <w:vAlign w:val="center"/>
          </w:tcPr>
          <w:p w14:paraId="401B0D6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43.9</w:t>
            </w:r>
          </w:p>
        </w:tc>
        <w:tc>
          <w:tcPr>
            <w:tcW w:w="1654" w:type="dxa"/>
            <w:tcBorders>
              <w:top w:val="single" w:color="auto" w:sz="4" w:space="0"/>
              <w:left w:val="single" w:color="auto" w:sz="4" w:space="0"/>
              <w:bottom w:val="single" w:color="auto" w:sz="4" w:space="0"/>
              <w:right w:val="single" w:color="auto" w:sz="4" w:space="0"/>
            </w:tcBorders>
            <w:vAlign w:val="center"/>
          </w:tcPr>
          <w:p w14:paraId="7C161C7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43.4</w:t>
            </w:r>
          </w:p>
        </w:tc>
        <w:tc>
          <w:tcPr>
            <w:tcW w:w="1655" w:type="dxa"/>
            <w:tcBorders>
              <w:top w:val="single" w:color="auto" w:sz="4" w:space="0"/>
              <w:left w:val="single" w:color="auto" w:sz="4" w:space="0"/>
              <w:bottom w:val="single" w:color="auto" w:sz="4" w:space="0"/>
              <w:right w:val="single" w:color="auto" w:sz="4" w:space="0"/>
            </w:tcBorders>
            <w:vAlign w:val="center"/>
          </w:tcPr>
          <w:p w14:paraId="71ED6F1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44.5</w:t>
            </w:r>
          </w:p>
        </w:tc>
      </w:tr>
      <w:tr w14:paraId="6CC069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40" w:hRule="atLeast"/>
          <w:jc w:val="center"/>
        </w:trPr>
        <w:tc>
          <w:tcPr>
            <w:tcW w:w="9003" w:type="dxa"/>
            <w:gridSpan w:val="5"/>
            <w:tcBorders>
              <w:top w:val="single" w:color="auto" w:sz="4" w:space="0"/>
              <w:left w:val="single" w:color="auto" w:sz="4" w:space="0"/>
              <w:bottom w:val="single" w:color="auto" w:sz="4" w:space="0"/>
              <w:right w:val="single" w:color="auto" w:sz="4" w:space="0"/>
            </w:tcBorders>
            <w:vAlign w:val="center"/>
          </w:tcPr>
          <w:p w14:paraId="5FBDBE5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C000"/>
                <w:sz w:val="21"/>
                <w:szCs w:val="21"/>
                <w:highlight w:val="none"/>
              </w:rPr>
            </w:pPr>
            <w:r>
              <w:rPr>
                <w:rFonts w:hint="default" w:ascii="Times New Roman" w:hAnsi="Times New Roman" w:eastAsia="宋体" w:cs="Times New Roman"/>
                <w:color w:val="FFC000"/>
                <w:sz w:val="21"/>
                <w:szCs w:val="21"/>
                <w:highlight w:val="none"/>
              </w:rPr>
              <w:t>《工业企业厂界环境噪声排放标准》（GB12348-2008）</w:t>
            </w:r>
          </w:p>
          <w:p w14:paraId="2268300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FFC000"/>
                <w:sz w:val="21"/>
                <w:szCs w:val="21"/>
                <w:highlight w:val="none"/>
                <w:lang w:eastAsia="zh-CN"/>
              </w:rPr>
              <w:t>表</w:t>
            </w:r>
            <w:r>
              <w:rPr>
                <w:rFonts w:hint="default" w:ascii="Times New Roman" w:hAnsi="Times New Roman" w:eastAsia="宋体" w:cs="Times New Roman"/>
                <w:color w:val="FFC000"/>
                <w:sz w:val="21"/>
                <w:szCs w:val="21"/>
                <w:highlight w:val="none"/>
                <w:lang w:val="en-US" w:eastAsia="zh-CN"/>
              </w:rPr>
              <w:t>1工业企业厂界环境噪声排放限值中</w:t>
            </w:r>
            <w:r>
              <w:rPr>
                <w:rFonts w:hint="default" w:ascii="Times New Roman" w:hAnsi="Times New Roman" w:eastAsia="宋体" w:cs="Times New Roman"/>
                <w:color w:val="FFC000"/>
                <w:sz w:val="21"/>
                <w:szCs w:val="21"/>
                <w:highlight w:val="none"/>
                <w:lang w:val="en-US" w:eastAsia="zh-CN"/>
              </w:rPr>
              <w:t>1</w:t>
            </w:r>
            <w:r>
              <w:rPr>
                <w:rFonts w:hint="default" w:ascii="Times New Roman" w:hAnsi="Times New Roman" w:eastAsia="宋体" w:cs="Times New Roman"/>
                <w:color w:val="FFC000"/>
                <w:sz w:val="21"/>
                <w:szCs w:val="21"/>
                <w:highlight w:val="none"/>
                <w:lang w:val="en-US" w:eastAsia="zh-CN"/>
              </w:rPr>
              <w:t>类功能区排放限值（</w:t>
            </w:r>
            <w:r>
              <w:rPr>
                <w:rFonts w:hint="default" w:ascii="Times New Roman" w:hAnsi="Times New Roman" w:eastAsia="宋体" w:cs="Times New Roman"/>
                <w:color w:val="FFC000"/>
                <w:sz w:val="21"/>
                <w:szCs w:val="21"/>
                <w:highlight w:val="none"/>
              </w:rPr>
              <w:t>昼间：</w:t>
            </w:r>
            <w:r>
              <w:rPr>
                <w:rFonts w:hint="default" w:ascii="Times New Roman" w:hAnsi="Times New Roman" w:eastAsia="宋体" w:cs="Times New Roman"/>
                <w:color w:val="FFC000"/>
                <w:sz w:val="21"/>
                <w:szCs w:val="21"/>
                <w:highlight w:val="none"/>
                <w:lang w:val="en-US" w:eastAsia="zh-CN"/>
              </w:rPr>
              <w:t>55</w:t>
            </w:r>
            <w:r>
              <w:rPr>
                <w:rFonts w:hint="default" w:ascii="Times New Roman" w:hAnsi="Times New Roman" w:eastAsia="宋体" w:cs="Times New Roman"/>
                <w:color w:val="FFC000"/>
                <w:sz w:val="21"/>
                <w:szCs w:val="21"/>
                <w:highlight w:val="none"/>
                <w:lang w:eastAsia="zh-CN"/>
              </w:rPr>
              <w:t>、</w:t>
            </w:r>
            <w:r>
              <w:rPr>
                <w:rFonts w:hint="default" w:ascii="Times New Roman" w:hAnsi="Times New Roman" w:eastAsia="宋体" w:cs="Times New Roman"/>
                <w:color w:val="FFC000"/>
                <w:sz w:val="21"/>
                <w:szCs w:val="21"/>
                <w:highlight w:val="none"/>
              </w:rPr>
              <w:t>夜间：</w:t>
            </w:r>
            <w:r>
              <w:rPr>
                <w:rFonts w:hint="default" w:ascii="Times New Roman" w:hAnsi="Times New Roman" w:eastAsia="宋体" w:cs="Times New Roman"/>
                <w:color w:val="FFC000"/>
                <w:sz w:val="21"/>
                <w:szCs w:val="21"/>
                <w:highlight w:val="none"/>
                <w:lang w:val="en-US" w:eastAsia="zh-CN"/>
              </w:rPr>
              <w:t>45</w:t>
            </w:r>
            <w:r>
              <w:rPr>
                <w:rFonts w:hint="default" w:ascii="Times New Roman" w:hAnsi="Times New Roman" w:eastAsia="宋体" w:cs="Times New Roman"/>
                <w:color w:val="FFC000"/>
                <w:sz w:val="21"/>
                <w:szCs w:val="21"/>
                <w:highlight w:val="none"/>
                <w:lang w:val="en-US" w:eastAsia="zh-CN"/>
              </w:rPr>
              <w:t>）</w:t>
            </w:r>
          </w:p>
        </w:tc>
      </w:tr>
    </w:tbl>
    <w:p w14:paraId="4716489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由上表可以看出，建设项目投产后，项目噪声经隔声及距离衰减后，项目运营期四周厂界的噪声预测值为</w:t>
      </w:r>
      <w:r>
        <w:rPr>
          <w:rFonts w:hint="default" w:ascii="Times New Roman" w:hAnsi="Times New Roman" w:eastAsia="宋体" w:cs="Times New Roman"/>
          <w:color w:val="auto"/>
          <w:highlight w:val="none"/>
          <w:lang w:val="en-US" w:eastAsia="zh-CN"/>
        </w:rPr>
        <w:t>43.4</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46.2</w:t>
      </w:r>
      <w:r>
        <w:rPr>
          <w:rFonts w:hint="default" w:ascii="Times New Roman" w:hAnsi="Times New Roman" w:eastAsia="宋体" w:cs="Times New Roman"/>
          <w:color w:val="auto"/>
          <w:highlight w:val="none"/>
        </w:rPr>
        <w:t>dB</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A</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，项目厂界均能满足《工业企业厂界环境噪声排放标准》（GB12348-2008）</w:t>
      </w:r>
      <w:r>
        <w:rPr>
          <w:rFonts w:hint="default" w:ascii="Times New Roman" w:hAnsi="Times New Roman" w:eastAsia="宋体" w:cs="Times New Roman"/>
          <w:color w:val="auto"/>
          <w:highlight w:val="none"/>
          <w:lang w:eastAsia="zh-CN"/>
        </w:rPr>
        <w:t>表</w:t>
      </w:r>
      <w:r>
        <w:rPr>
          <w:rFonts w:hint="default" w:ascii="Times New Roman" w:hAnsi="Times New Roman" w:eastAsia="宋体" w:cs="Times New Roman"/>
          <w:color w:val="auto"/>
          <w:highlight w:val="none"/>
          <w:lang w:val="en-US" w:eastAsia="zh-CN"/>
        </w:rPr>
        <w:t>1工业企业厂界环境噪声排放限值中</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val="en-US" w:eastAsia="zh-CN"/>
        </w:rPr>
        <w:t>类功能区排放限值</w:t>
      </w:r>
      <w:r>
        <w:rPr>
          <w:rFonts w:hint="default" w:ascii="Times New Roman" w:hAnsi="Times New Roman" w:eastAsia="宋体" w:cs="Times New Roman"/>
          <w:color w:val="auto"/>
          <w:highlight w:val="none"/>
        </w:rPr>
        <w:t>要求</w:t>
      </w:r>
      <w:r>
        <w:rPr>
          <w:rFonts w:hint="default" w:ascii="Times New Roman" w:hAnsi="Times New Roman" w:eastAsia="宋体" w:cs="Times New Roman"/>
          <w:color w:val="auto"/>
          <w:highlight w:val="none"/>
          <w:lang w:eastAsia="zh-CN"/>
        </w:rPr>
        <w:t>。</w:t>
      </w:r>
    </w:p>
    <w:p w14:paraId="61AD7122">
      <w:pPr>
        <w:keepNext w:val="0"/>
        <w:keepLines w:val="0"/>
        <w:pageBreakBefore w:val="0"/>
        <w:suppressLineNumbers w:val="0"/>
        <w:shd w:val="clear"/>
        <w:tabs>
          <w:tab w:val="center" w:pos="4153"/>
          <w:tab w:val="right" w:pos="8306"/>
        </w:tabs>
        <w:kinsoku/>
        <w:wordWrap/>
        <w:overflowPunct/>
        <w:topLinePunct w:val="0"/>
        <w:autoSpaceDE/>
        <w:autoSpaceDN/>
        <w:bidi w:val="0"/>
        <w:adjustRightInd/>
        <w:snapToGrid/>
        <w:spacing w:before="0" w:beforeAutospacing="0" w:after="0" w:afterAutospacing="0" w:line="360" w:lineRule="auto"/>
        <w:ind w:left="0" w:right="0" w:firstLine="482" w:firstLineChars="200"/>
        <w:jc w:val="center"/>
        <w:textAlignment w:val="auto"/>
        <w:rPr>
          <w:rFonts w:hint="default" w:ascii="Times New Roman" w:hAnsi="Times New Roman" w:eastAsia="宋体" w:cs="Times New Roman"/>
          <w:b/>
          <w:color w:val="FFC000"/>
          <w:sz w:val="24"/>
          <w:szCs w:val="24"/>
          <w:highlight w:val="none"/>
          <w:lang w:val="en-US" w:eastAsia="zh-CN"/>
        </w:rPr>
      </w:pPr>
      <w:r>
        <w:rPr>
          <w:rFonts w:hint="default" w:ascii="Times New Roman" w:hAnsi="Times New Roman" w:eastAsia="宋体" w:cs="Times New Roman"/>
          <w:b/>
          <w:bCs/>
          <w:color w:val="FFC000"/>
          <w:sz w:val="24"/>
          <w:szCs w:val="24"/>
          <w:highlight w:val="none"/>
          <w:lang w:val="en-US" w:eastAsia="zh-CN"/>
        </w:rPr>
        <w:t>表5.6-</w:t>
      </w:r>
      <w:r>
        <w:rPr>
          <w:rFonts w:hint="default" w:ascii="Times New Roman" w:hAnsi="Times New Roman" w:eastAsia="宋体" w:cs="Times New Roman"/>
          <w:b/>
          <w:bCs/>
          <w:color w:val="FFC000"/>
          <w:sz w:val="24"/>
          <w:szCs w:val="24"/>
          <w:highlight w:val="none"/>
          <w:lang w:val="en-US" w:eastAsia="zh-CN"/>
        </w:rPr>
        <w:t>3</w:t>
      </w:r>
      <w:r>
        <w:rPr>
          <w:rFonts w:hint="default" w:ascii="Times New Roman" w:hAnsi="Times New Roman" w:eastAsia="宋体" w:cs="Times New Roman"/>
          <w:b/>
          <w:color w:val="FFC000"/>
          <w:sz w:val="24"/>
          <w:szCs w:val="24"/>
          <w:highlight w:val="none"/>
          <w:lang w:val="en-US" w:eastAsia="zh-CN"/>
        </w:rPr>
        <w:t>敏感点噪声预测结果（单位：dB</w:t>
      </w:r>
      <w:r>
        <w:rPr>
          <w:rFonts w:hint="default" w:ascii="Times New Roman" w:hAnsi="Times New Roman" w:eastAsia="宋体" w:cs="Times New Roman"/>
          <w:b/>
          <w:color w:val="FFC000"/>
          <w:sz w:val="24"/>
          <w:szCs w:val="24"/>
          <w:highlight w:val="none"/>
          <w:lang w:val="en-US" w:eastAsia="zh-CN"/>
        </w:rPr>
        <w:t>（</w:t>
      </w:r>
      <w:r>
        <w:rPr>
          <w:rFonts w:hint="default" w:ascii="Times New Roman" w:hAnsi="Times New Roman" w:eastAsia="宋体" w:cs="Times New Roman"/>
          <w:b/>
          <w:color w:val="FFC000"/>
          <w:sz w:val="24"/>
          <w:szCs w:val="24"/>
          <w:highlight w:val="none"/>
          <w:lang w:val="en-US" w:eastAsia="zh-CN"/>
        </w:rPr>
        <w:t>A</w:t>
      </w:r>
      <w:r>
        <w:rPr>
          <w:rFonts w:hint="default" w:ascii="Times New Roman" w:hAnsi="Times New Roman" w:eastAsia="宋体" w:cs="Times New Roman"/>
          <w:b/>
          <w:color w:val="FFC000"/>
          <w:sz w:val="24"/>
          <w:szCs w:val="24"/>
          <w:highlight w:val="none"/>
          <w:lang w:val="en-US" w:eastAsia="zh-CN"/>
        </w:rPr>
        <w:t>）</w:t>
      </w:r>
      <w:r>
        <w:rPr>
          <w:rFonts w:hint="default" w:ascii="Times New Roman" w:hAnsi="Times New Roman" w:eastAsia="宋体" w:cs="Times New Roman"/>
          <w:b/>
          <w:color w:val="FFC000"/>
          <w:sz w:val="24"/>
          <w:szCs w:val="24"/>
          <w:highlight w:val="none"/>
          <w:lang w:val="en-US" w:eastAsia="zh-CN"/>
        </w:rPr>
        <w:t>）</w:t>
      </w:r>
    </w:p>
    <w:tbl>
      <w:tblPr>
        <w:tblStyle w:val="40"/>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2"/>
        <w:gridCol w:w="1035"/>
        <w:gridCol w:w="1035"/>
        <w:gridCol w:w="1035"/>
        <w:gridCol w:w="1035"/>
        <w:gridCol w:w="1035"/>
        <w:gridCol w:w="1035"/>
        <w:gridCol w:w="1035"/>
      </w:tblGrid>
      <w:tr w14:paraId="53C35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67" w:type="dxa"/>
            <w:gridSpan w:val="2"/>
            <w:vMerge w:val="restart"/>
            <w:noWrap w:val="0"/>
            <w:tcMar>
              <w:left w:w="28" w:type="dxa"/>
              <w:right w:w="28" w:type="dxa"/>
            </w:tcMar>
            <w:vAlign w:val="center"/>
          </w:tcPr>
          <w:p w14:paraId="1C8A9E3E">
            <w:pPr>
              <w:keepNext w:val="0"/>
              <w:keepLines w:val="0"/>
              <w:pageBreakBefore w:val="0"/>
              <w:widowControl w:val="0"/>
              <w:suppressLineNumbers w:val="0"/>
              <w:shd w:val="clear"/>
              <w:kinsoku/>
              <w:wordWrap/>
              <w:overflowPunct/>
              <w:autoSpaceDE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C000"/>
                <w:sz w:val="21"/>
                <w:szCs w:val="21"/>
                <w:highlight w:val="none"/>
                <w:lang w:val="de-DE"/>
              </w:rPr>
            </w:pPr>
            <w:r>
              <w:rPr>
                <w:rFonts w:hint="default" w:ascii="Times New Roman" w:hAnsi="Times New Roman" w:eastAsia="宋体" w:cs="Times New Roman"/>
                <w:color w:val="FFC000"/>
                <w:sz w:val="21"/>
                <w:szCs w:val="21"/>
                <w:highlight w:val="none"/>
                <w:lang w:val="de-DE"/>
              </w:rPr>
              <w:t>预测点位</w:t>
            </w:r>
          </w:p>
        </w:tc>
        <w:tc>
          <w:tcPr>
            <w:tcW w:w="3105" w:type="dxa"/>
            <w:gridSpan w:val="3"/>
            <w:noWrap w:val="0"/>
            <w:tcMar>
              <w:left w:w="28" w:type="dxa"/>
              <w:right w:w="28" w:type="dxa"/>
            </w:tcMar>
            <w:vAlign w:val="center"/>
          </w:tcPr>
          <w:p w14:paraId="08949CF7">
            <w:pPr>
              <w:keepNext w:val="0"/>
              <w:keepLines w:val="0"/>
              <w:pageBreakBefore w:val="0"/>
              <w:widowControl w:val="0"/>
              <w:suppressLineNumbers w:val="0"/>
              <w:shd w:val="clear"/>
              <w:kinsoku/>
              <w:wordWrap/>
              <w:overflowPunct/>
              <w:autoSpaceDE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C000"/>
                <w:sz w:val="21"/>
                <w:szCs w:val="21"/>
                <w:highlight w:val="none"/>
                <w:lang w:val="de-DE" w:eastAsia="zh-CN"/>
              </w:rPr>
            </w:pPr>
            <w:r>
              <w:rPr>
                <w:rFonts w:hint="default" w:ascii="Times New Roman" w:hAnsi="Times New Roman" w:eastAsia="宋体" w:cs="Times New Roman"/>
                <w:color w:val="FFC000"/>
                <w:sz w:val="21"/>
                <w:szCs w:val="21"/>
                <w:highlight w:val="none"/>
                <w:lang w:val="de-DE"/>
              </w:rPr>
              <w:t>昼间</w:t>
            </w:r>
          </w:p>
        </w:tc>
        <w:tc>
          <w:tcPr>
            <w:tcW w:w="3105" w:type="dxa"/>
            <w:gridSpan w:val="3"/>
            <w:noWrap w:val="0"/>
            <w:tcMar>
              <w:left w:w="28" w:type="dxa"/>
              <w:right w:w="28" w:type="dxa"/>
            </w:tcMar>
            <w:vAlign w:val="center"/>
          </w:tcPr>
          <w:p w14:paraId="1011E882">
            <w:pPr>
              <w:keepNext w:val="0"/>
              <w:keepLines w:val="0"/>
              <w:pageBreakBefore w:val="0"/>
              <w:widowControl w:val="0"/>
              <w:suppressLineNumbers w:val="0"/>
              <w:shd w:val="clear"/>
              <w:kinsoku/>
              <w:wordWrap/>
              <w:overflowPunct/>
              <w:autoSpaceDE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C000"/>
                <w:sz w:val="21"/>
                <w:szCs w:val="21"/>
                <w:highlight w:val="none"/>
                <w:lang w:val="en-US" w:eastAsia="zh-CN"/>
              </w:rPr>
            </w:pPr>
            <w:r>
              <w:rPr>
                <w:rFonts w:hint="default" w:ascii="Times New Roman" w:hAnsi="Times New Roman" w:eastAsia="宋体" w:cs="Times New Roman"/>
                <w:color w:val="FFC000"/>
                <w:sz w:val="21"/>
                <w:szCs w:val="21"/>
                <w:highlight w:val="none"/>
                <w:lang w:val="en-US" w:eastAsia="zh-CN"/>
              </w:rPr>
              <w:t>夜间</w:t>
            </w:r>
          </w:p>
        </w:tc>
      </w:tr>
      <w:tr w14:paraId="12C75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67" w:type="dxa"/>
            <w:gridSpan w:val="2"/>
            <w:vMerge w:val="continue"/>
            <w:noWrap w:val="0"/>
            <w:tcMar>
              <w:left w:w="28" w:type="dxa"/>
              <w:right w:w="28" w:type="dxa"/>
            </w:tcMar>
            <w:vAlign w:val="center"/>
          </w:tcPr>
          <w:p w14:paraId="56B4A8F7">
            <w:pPr>
              <w:keepNext w:val="0"/>
              <w:keepLines w:val="0"/>
              <w:pageBreakBefore w:val="0"/>
              <w:widowControl w:val="0"/>
              <w:suppressLineNumbers w:val="0"/>
              <w:shd w:val="clear"/>
              <w:kinsoku/>
              <w:wordWrap/>
              <w:overflowPunct/>
              <w:autoSpaceDE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C000"/>
                <w:sz w:val="21"/>
                <w:szCs w:val="21"/>
                <w:highlight w:val="none"/>
                <w:lang w:val="de-DE"/>
              </w:rPr>
            </w:pPr>
          </w:p>
        </w:tc>
        <w:tc>
          <w:tcPr>
            <w:tcW w:w="1035" w:type="dxa"/>
            <w:noWrap w:val="0"/>
            <w:tcMar>
              <w:left w:w="28" w:type="dxa"/>
              <w:right w:w="28" w:type="dxa"/>
            </w:tcMar>
            <w:vAlign w:val="center"/>
          </w:tcPr>
          <w:p w14:paraId="592429F5">
            <w:pPr>
              <w:keepNext w:val="0"/>
              <w:keepLines w:val="0"/>
              <w:pageBreakBefore w:val="0"/>
              <w:widowControl w:val="0"/>
              <w:suppressLineNumbers w:val="0"/>
              <w:shd w:val="clear"/>
              <w:kinsoku/>
              <w:wordWrap/>
              <w:overflowPunct/>
              <w:autoSpaceDE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FFC000"/>
                <w:kern w:val="2"/>
                <w:sz w:val="21"/>
                <w:szCs w:val="21"/>
                <w:highlight w:val="none"/>
                <w:lang w:val="de-DE" w:eastAsia="zh-CN" w:bidi="ar-SA"/>
              </w:rPr>
            </w:pPr>
            <w:r>
              <w:rPr>
                <w:rFonts w:hint="default" w:ascii="Times New Roman" w:hAnsi="Times New Roman" w:eastAsia="宋体" w:cs="Times New Roman"/>
                <w:color w:val="FFC000"/>
                <w:sz w:val="21"/>
                <w:szCs w:val="21"/>
                <w:highlight w:val="none"/>
                <w:lang w:val="en-US" w:eastAsia="zh-CN"/>
              </w:rPr>
              <w:t>背景值</w:t>
            </w:r>
          </w:p>
        </w:tc>
        <w:tc>
          <w:tcPr>
            <w:tcW w:w="1035" w:type="dxa"/>
            <w:noWrap w:val="0"/>
            <w:tcMar>
              <w:left w:w="28" w:type="dxa"/>
              <w:right w:w="28" w:type="dxa"/>
            </w:tcMar>
            <w:vAlign w:val="center"/>
          </w:tcPr>
          <w:p w14:paraId="34D93E8E">
            <w:pPr>
              <w:keepNext w:val="0"/>
              <w:keepLines w:val="0"/>
              <w:pageBreakBefore w:val="0"/>
              <w:widowControl w:val="0"/>
              <w:suppressLineNumbers w:val="0"/>
              <w:shd w:val="clear"/>
              <w:kinsoku/>
              <w:wordWrap/>
              <w:overflowPunct/>
              <w:autoSpaceDE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FFC000"/>
                <w:kern w:val="2"/>
                <w:sz w:val="21"/>
                <w:szCs w:val="21"/>
                <w:highlight w:val="none"/>
                <w:lang w:val="de-DE" w:eastAsia="zh-CN" w:bidi="ar-SA"/>
              </w:rPr>
            </w:pPr>
            <w:r>
              <w:rPr>
                <w:rFonts w:hint="default" w:ascii="Times New Roman" w:hAnsi="Times New Roman" w:eastAsia="宋体" w:cs="Times New Roman"/>
                <w:color w:val="FFC000"/>
                <w:sz w:val="21"/>
                <w:szCs w:val="21"/>
                <w:highlight w:val="none"/>
                <w:lang w:val="de-DE"/>
              </w:rPr>
              <w:t>贡献值</w:t>
            </w:r>
          </w:p>
        </w:tc>
        <w:tc>
          <w:tcPr>
            <w:tcW w:w="1035" w:type="dxa"/>
            <w:noWrap w:val="0"/>
            <w:tcMar>
              <w:left w:w="28" w:type="dxa"/>
              <w:right w:w="28" w:type="dxa"/>
            </w:tcMar>
            <w:vAlign w:val="center"/>
          </w:tcPr>
          <w:p w14:paraId="1B65304C">
            <w:pPr>
              <w:keepNext w:val="0"/>
              <w:keepLines w:val="0"/>
              <w:pageBreakBefore w:val="0"/>
              <w:widowControl w:val="0"/>
              <w:suppressLineNumbers w:val="0"/>
              <w:shd w:val="clear"/>
              <w:kinsoku/>
              <w:wordWrap/>
              <w:overflowPunct/>
              <w:autoSpaceDE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FFC000"/>
                <w:kern w:val="2"/>
                <w:sz w:val="21"/>
                <w:szCs w:val="21"/>
                <w:highlight w:val="none"/>
                <w:lang w:val="de-DE" w:eastAsia="zh-CN" w:bidi="ar-SA"/>
              </w:rPr>
            </w:pPr>
            <w:r>
              <w:rPr>
                <w:rFonts w:hint="default" w:ascii="Times New Roman" w:hAnsi="Times New Roman" w:eastAsia="宋体" w:cs="Times New Roman"/>
                <w:color w:val="FFC000"/>
                <w:sz w:val="21"/>
                <w:szCs w:val="21"/>
                <w:highlight w:val="none"/>
                <w:lang w:val="en-US" w:eastAsia="zh-CN"/>
              </w:rPr>
              <w:t>预测值</w:t>
            </w:r>
          </w:p>
        </w:tc>
        <w:tc>
          <w:tcPr>
            <w:tcW w:w="1035" w:type="dxa"/>
            <w:noWrap w:val="0"/>
            <w:tcMar>
              <w:left w:w="28" w:type="dxa"/>
              <w:right w:w="28" w:type="dxa"/>
            </w:tcMar>
            <w:vAlign w:val="center"/>
          </w:tcPr>
          <w:p w14:paraId="67A69354">
            <w:pPr>
              <w:keepNext w:val="0"/>
              <w:keepLines w:val="0"/>
              <w:pageBreakBefore w:val="0"/>
              <w:widowControl w:val="0"/>
              <w:suppressLineNumbers w:val="0"/>
              <w:shd w:val="clear"/>
              <w:kinsoku/>
              <w:wordWrap/>
              <w:overflowPunct/>
              <w:autoSpaceDE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FFC000"/>
                <w:kern w:val="2"/>
                <w:sz w:val="21"/>
                <w:szCs w:val="21"/>
                <w:highlight w:val="none"/>
                <w:lang w:val="en-US" w:eastAsia="zh-CN" w:bidi="ar-SA"/>
              </w:rPr>
            </w:pPr>
            <w:r>
              <w:rPr>
                <w:rFonts w:hint="default" w:ascii="Times New Roman" w:hAnsi="Times New Roman" w:eastAsia="宋体" w:cs="Times New Roman"/>
                <w:color w:val="FFC000"/>
                <w:sz w:val="21"/>
                <w:szCs w:val="21"/>
                <w:highlight w:val="none"/>
                <w:lang w:val="en-US" w:eastAsia="zh-CN"/>
              </w:rPr>
              <w:t>背景值</w:t>
            </w:r>
          </w:p>
        </w:tc>
        <w:tc>
          <w:tcPr>
            <w:tcW w:w="1035" w:type="dxa"/>
            <w:noWrap w:val="0"/>
            <w:tcMar>
              <w:left w:w="28" w:type="dxa"/>
              <w:right w:w="28" w:type="dxa"/>
            </w:tcMar>
            <w:vAlign w:val="center"/>
          </w:tcPr>
          <w:p w14:paraId="6C622D32">
            <w:pPr>
              <w:keepNext w:val="0"/>
              <w:keepLines w:val="0"/>
              <w:pageBreakBefore w:val="0"/>
              <w:widowControl w:val="0"/>
              <w:suppressLineNumbers w:val="0"/>
              <w:shd w:val="clear"/>
              <w:kinsoku/>
              <w:wordWrap/>
              <w:overflowPunct/>
              <w:autoSpaceDE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FFC000"/>
                <w:kern w:val="2"/>
                <w:sz w:val="21"/>
                <w:szCs w:val="21"/>
                <w:highlight w:val="none"/>
                <w:lang w:val="en-US" w:eastAsia="zh-CN" w:bidi="ar-SA"/>
              </w:rPr>
            </w:pPr>
            <w:r>
              <w:rPr>
                <w:rFonts w:hint="default" w:ascii="Times New Roman" w:hAnsi="Times New Roman" w:eastAsia="宋体" w:cs="Times New Roman"/>
                <w:color w:val="FFC000"/>
                <w:sz w:val="21"/>
                <w:szCs w:val="21"/>
                <w:highlight w:val="none"/>
                <w:lang w:val="de-DE"/>
              </w:rPr>
              <w:t>贡献值</w:t>
            </w:r>
          </w:p>
        </w:tc>
        <w:tc>
          <w:tcPr>
            <w:tcW w:w="1035" w:type="dxa"/>
            <w:noWrap w:val="0"/>
            <w:tcMar>
              <w:left w:w="28" w:type="dxa"/>
              <w:right w:w="28" w:type="dxa"/>
            </w:tcMar>
            <w:vAlign w:val="center"/>
          </w:tcPr>
          <w:p w14:paraId="086E9E80">
            <w:pPr>
              <w:keepNext w:val="0"/>
              <w:keepLines w:val="0"/>
              <w:pageBreakBefore w:val="0"/>
              <w:widowControl w:val="0"/>
              <w:suppressLineNumbers w:val="0"/>
              <w:shd w:val="clear"/>
              <w:kinsoku/>
              <w:wordWrap/>
              <w:overflowPunct/>
              <w:autoSpaceDE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FFC000"/>
                <w:kern w:val="2"/>
                <w:sz w:val="21"/>
                <w:szCs w:val="21"/>
                <w:highlight w:val="none"/>
                <w:lang w:val="en-US" w:eastAsia="zh-CN" w:bidi="ar-SA"/>
              </w:rPr>
            </w:pPr>
            <w:r>
              <w:rPr>
                <w:rFonts w:hint="default" w:ascii="Times New Roman" w:hAnsi="Times New Roman" w:eastAsia="宋体" w:cs="Times New Roman"/>
                <w:color w:val="FFC000"/>
                <w:sz w:val="21"/>
                <w:szCs w:val="21"/>
                <w:highlight w:val="none"/>
                <w:lang w:val="en-US" w:eastAsia="zh-CN"/>
              </w:rPr>
              <w:t>预测值</w:t>
            </w:r>
          </w:p>
        </w:tc>
      </w:tr>
      <w:tr w14:paraId="55115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32" w:type="dxa"/>
            <w:noWrap w:val="0"/>
            <w:tcMar>
              <w:left w:w="28" w:type="dxa"/>
              <w:right w:w="28" w:type="dxa"/>
            </w:tcMar>
            <w:vAlign w:val="center"/>
          </w:tcPr>
          <w:p w14:paraId="58A3E646">
            <w:pPr>
              <w:keepNext w:val="0"/>
              <w:keepLines w:val="0"/>
              <w:pageBreakBefore w:val="0"/>
              <w:widowControl w:val="0"/>
              <w:suppressLineNumbers w:val="0"/>
              <w:shd w:val="clear"/>
              <w:kinsoku/>
              <w:wordWrap/>
              <w:overflowPunct/>
              <w:autoSpaceDE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C000"/>
                <w:sz w:val="21"/>
                <w:szCs w:val="21"/>
                <w:highlight w:val="none"/>
                <w:lang w:val="de-DE"/>
              </w:rPr>
            </w:pPr>
            <w:r>
              <w:rPr>
                <w:rFonts w:hint="default" w:ascii="Times New Roman" w:hAnsi="Times New Roman" w:eastAsia="宋体" w:cs="Times New Roman"/>
                <w:color w:val="FFC000"/>
                <w:sz w:val="21"/>
                <w:szCs w:val="21"/>
                <w:highlight w:val="none"/>
                <w:lang w:val="de-DE"/>
              </w:rPr>
              <w:t>1</w:t>
            </w:r>
          </w:p>
        </w:tc>
        <w:tc>
          <w:tcPr>
            <w:tcW w:w="1035" w:type="dxa"/>
            <w:noWrap w:val="0"/>
            <w:tcMar>
              <w:left w:w="28" w:type="dxa"/>
              <w:right w:w="28" w:type="dxa"/>
            </w:tcMar>
            <w:vAlign w:val="center"/>
          </w:tcPr>
          <w:p w14:paraId="039F56CC">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C000"/>
                <w:kern w:val="2"/>
                <w:sz w:val="21"/>
                <w:szCs w:val="21"/>
                <w:highlight w:val="none"/>
                <w:lang w:val="en-US" w:eastAsia="zh-CN" w:bidi="ar-SA"/>
              </w:rPr>
            </w:pPr>
            <w:r>
              <w:rPr>
                <w:rFonts w:hint="default" w:ascii="Times New Roman" w:hAnsi="Times New Roman" w:eastAsia="宋体" w:cs="Times New Roman"/>
                <w:color w:val="FFC000"/>
                <w:kern w:val="2"/>
                <w:sz w:val="21"/>
                <w:szCs w:val="21"/>
                <w:highlight w:val="none"/>
                <w:lang w:val="en-US" w:eastAsia="zh-CN" w:bidi="ar-SA"/>
              </w:rPr>
              <w:t>马卜子村</w:t>
            </w:r>
          </w:p>
        </w:tc>
        <w:tc>
          <w:tcPr>
            <w:tcW w:w="1035" w:type="dxa"/>
            <w:tcBorders>
              <w:left w:val="single" w:color="auto" w:sz="2" w:space="0"/>
            </w:tcBorders>
            <w:noWrap w:val="0"/>
            <w:tcMar>
              <w:left w:w="28" w:type="dxa"/>
              <w:right w:w="28" w:type="dxa"/>
            </w:tcMar>
            <w:vAlign w:val="center"/>
          </w:tcPr>
          <w:p w14:paraId="7E43CAFF">
            <w:pPr>
              <w:keepNext w:val="0"/>
              <w:keepLines w:val="0"/>
              <w:pageBreakBefore w:val="0"/>
              <w:widowControl w:val="0"/>
              <w:suppressLineNumbers w:val="0"/>
              <w:kinsoku/>
              <w:wordWrap/>
              <w:overflowPunct/>
              <w:autoSpaceDE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C000"/>
                <w:kern w:val="2"/>
                <w:sz w:val="21"/>
                <w:szCs w:val="21"/>
                <w:highlight w:val="none"/>
                <w:vertAlign w:val="baseline"/>
                <w:lang w:val="en-US" w:eastAsia="zh-CN" w:bidi="ar-SA"/>
              </w:rPr>
            </w:pPr>
            <w:r>
              <w:rPr>
                <w:rFonts w:hint="default" w:ascii="Times New Roman" w:hAnsi="Times New Roman" w:eastAsia="宋体" w:cs="Times New Roman"/>
                <w:color w:val="FFC000"/>
                <w:kern w:val="0"/>
                <w:sz w:val="21"/>
                <w:szCs w:val="21"/>
                <w:highlight w:val="none"/>
                <w:vertAlign w:val="baseline"/>
                <w:lang w:val="en-US" w:eastAsia="zh-CN" w:bidi="ar-SA"/>
              </w:rPr>
              <w:t>53</w:t>
            </w:r>
          </w:p>
        </w:tc>
        <w:tc>
          <w:tcPr>
            <w:tcW w:w="1035" w:type="dxa"/>
            <w:tcBorders>
              <w:left w:val="single" w:color="auto" w:sz="2" w:space="0"/>
            </w:tcBorders>
            <w:noWrap w:val="0"/>
            <w:tcMar>
              <w:left w:w="28" w:type="dxa"/>
              <w:right w:w="28" w:type="dxa"/>
            </w:tcMar>
            <w:vAlign w:val="center"/>
          </w:tcPr>
          <w:p w14:paraId="21D92582">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C000"/>
                <w:sz w:val="21"/>
                <w:szCs w:val="21"/>
                <w:highlight w:val="none"/>
                <w:lang w:val="en-US" w:eastAsia="zh-CN"/>
              </w:rPr>
            </w:pPr>
            <w:r>
              <w:rPr>
                <w:rFonts w:hint="default" w:ascii="Times New Roman" w:hAnsi="Times New Roman" w:eastAsia="宋体" w:cs="Times New Roman"/>
                <w:color w:val="FFC000"/>
                <w:sz w:val="21"/>
                <w:szCs w:val="21"/>
                <w:highlight w:val="none"/>
                <w:lang w:val="en-US" w:eastAsia="zh-CN"/>
              </w:rPr>
              <w:t>36.5</w:t>
            </w:r>
          </w:p>
        </w:tc>
        <w:tc>
          <w:tcPr>
            <w:tcW w:w="1035" w:type="dxa"/>
            <w:tcBorders>
              <w:left w:val="single" w:color="auto" w:sz="2" w:space="0"/>
            </w:tcBorders>
            <w:noWrap w:val="0"/>
            <w:tcMar>
              <w:left w:w="28" w:type="dxa"/>
              <w:right w:w="28" w:type="dxa"/>
            </w:tcMar>
            <w:vAlign w:val="center"/>
          </w:tcPr>
          <w:p w14:paraId="3D6C8D9A">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C000"/>
                <w:sz w:val="21"/>
                <w:szCs w:val="21"/>
                <w:highlight w:val="none"/>
                <w:lang w:val="en-US" w:eastAsia="zh-CN"/>
              </w:rPr>
            </w:pPr>
            <w:r>
              <w:rPr>
                <w:rFonts w:hint="default" w:ascii="Times New Roman" w:hAnsi="Times New Roman" w:eastAsia="宋体" w:cs="Times New Roman"/>
                <w:color w:val="FFC000"/>
                <w:sz w:val="21"/>
                <w:szCs w:val="21"/>
                <w:highlight w:val="none"/>
                <w:lang w:val="en-US" w:eastAsia="zh-CN"/>
              </w:rPr>
              <w:t>53.1</w:t>
            </w:r>
          </w:p>
        </w:tc>
        <w:tc>
          <w:tcPr>
            <w:tcW w:w="1035" w:type="dxa"/>
            <w:tcBorders>
              <w:left w:val="single" w:color="auto" w:sz="2" w:space="0"/>
            </w:tcBorders>
            <w:noWrap w:val="0"/>
            <w:tcMar>
              <w:left w:w="28" w:type="dxa"/>
              <w:right w:w="28" w:type="dxa"/>
            </w:tcMar>
            <w:vAlign w:val="center"/>
          </w:tcPr>
          <w:p w14:paraId="74B5BB2C">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C000"/>
                <w:sz w:val="21"/>
                <w:szCs w:val="21"/>
                <w:highlight w:val="none"/>
                <w:lang w:val="en-US" w:eastAsia="zh-CN"/>
              </w:rPr>
            </w:pPr>
            <w:r>
              <w:rPr>
                <w:rFonts w:hint="default" w:ascii="Times New Roman" w:hAnsi="Times New Roman" w:eastAsia="宋体" w:cs="Times New Roman"/>
                <w:color w:val="FFC000"/>
                <w:sz w:val="21"/>
                <w:szCs w:val="21"/>
                <w:highlight w:val="none"/>
                <w:lang w:val="en-US" w:eastAsia="zh-CN"/>
              </w:rPr>
              <w:t>43</w:t>
            </w:r>
          </w:p>
        </w:tc>
        <w:tc>
          <w:tcPr>
            <w:tcW w:w="1035" w:type="dxa"/>
            <w:tcBorders>
              <w:left w:val="single" w:color="auto" w:sz="2" w:space="0"/>
            </w:tcBorders>
            <w:noWrap w:val="0"/>
            <w:tcMar>
              <w:left w:w="28" w:type="dxa"/>
              <w:right w:w="28" w:type="dxa"/>
            </w:tcMar>
            <w:vAlign w:val="center"/>
          </w:tcPr>
          <w:p w14:paraId="0D252866">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C000"/>
                <w:sz w:val="21"/>
                <w:szCs w:val="21"/>
                <w:highlight w:val="none"/>
                <w:lang w:val="en-US" w:eastAsia="zh-CN"/>
              </w:rPr>
            </w:pPr>
            <w:r>
              <w:rPr>
                <w:rFonts w:hint="default" w:ascii="Times New Roman" w:hAnsi="Times New Roman" w:eastAsia="宋体" w:cs="Times New Roman"/>
                <w:color w:val="FFC000"/>
                <w:sz w:val="21"/>
                <w:szCs w:val="21"/>
                <w:highlight w:val="none"/>
                <w:lang w:val="en-US" w:eastAsia="zh-CN"/>
              </w:rPr>
              <w:t>36.5</w:t>
            </w:r>
          </w:p>
        </w:tc>
        <w:tc>
          <w:tcPr>
            <w:tcW w:w="1035" w:type="dxa"/>
            <w:tcBorders>
              <w:left w:val="single" w:color="auto" w:sz="2" w:space="0"/>
            </w:tcBorders>
            <w:noWrap w:val="0"/>
            <w:tcMar>
              <w:left w:w="28" w:type="dxa"/>
              <w:right w:w="28" w:type="dxa"/>
            </w:tcMar>
            <w:vAlign w:val="center"/>
          </w:tcPr>
          <w:p w14:paraId="11152AE3">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C000"/>
                <w:sz w:val="21"/>
                <w:szCs w:val="21"/>
                <w:highlight w:val="none"/>
                <w:lang w:val="en-US" w:eastAsia="zh-CN"/>
              </w:rPr>
            </w:pPr>
            <w:r>
              <w:rPr>
                <w:rFonts w:hint="default" w:ascii="Times New Roman" w:hAnsi="Times New Roman" w:eastAsia="宋体" w:cs="Times New Roman"/>
                <w:color w:val="FFC000"/>
                <w:sz w:val="21"/>
                <w:szCs w:val="21"/>
                <w:highlight w:val="none"/>
                <w:lang w:val="en-US" w:eastAsia="zh-CN"/>
              </w:rPr>
              <w:t>43.88</w:t>
            </w:r>
          </w:p>
        </w:tc>
      </w:tr>
    </w:tbl>
    <w:p w14:paraId="7AF4BF8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C000"/>
          <w:highlight w:val="none"/>
          <w:lang w:eastAsia="zh-CN"/>
        </w:rPr>
      </w:pPr>
      <w:r>
        <w:rPr>
          <w:rFonts w:hint="default" w:ascii="Times New Roman" w:hAnsi="Times New Roman" w:eastAsia="宋体" w:cs="Times New Roman"/>
          <w:color w:val="FFC000"/>
          <w:sz w:val="24"/>
          <w:szCs w:val="24"/>
          <w:highlight w:val="none"/>
          <w:lang w:val="en-US" w:eastAsia="zh-CN"/>
        </w:rPr>
        <w:t>南侧马卜子村声环境</w:t>
      </w:r>
      <w:r>
        <w:rPr>
          <w:rFonts w:hint="default" w:ascii="Times New Roman" w:hAnsi="Times New Roman" w:eastAsia="宋体" w:cs="Times New Roman"/>
          <w:color w:val="FFC000"/>
          <w:sz w:val="24"/>
          <w:highlight w:val="none"/>
        </w:rPr>
        <w:t>昼间</w:t>
      </w:r>
      <w:r>
        <w:rPr>
          <w:rFonts w:hint="default" w:ascii="Times New Roman" w:hAnsi="Times New Roman" w:eastAsia="宋体" w:cs="Times New Roman"/>
          <w:color w:val="FFC000"/>
          <w:sz w:val="24"/>
          <w:highlight w:val="none"/>
          <w:lang w:val="en-US" w:eastAsia="zh-CN"/>
        </w:rPr>
        <w:t>预测</w:t>
      </w:r>
      <w:r>
        <w:rPr>
          <w:rFonts w:hint="default" w:ascii="Times New Roman" w:hAnsi="Times New Roman" w:eastAsia="宋体" w:cs="Times New Roman"/>
          <w:color w:val="FFC000"/>
          <w:sz w:val="24"/>
          <w:szCs w:val="24"/>
          <w:highlight w:val="none"/>
        </w:rPr>
        <w:t>值</w:t>
      </w:r>
      <w:r>
        <w:rPr>
          <w:rFonts w:hint="default" w:ascii="Times New Roman" w:hAnsi="Times New Roman" w:eastAsia="宋体" w:cs="Times New Roman"/>
          <w:color w:val="FFC000"/>
          <w:sz w:val="24"/>
          <w:szCs w:val="24"/>
          <w:highlight w:val="none"/>
          <w:lang w:eastAsia="zh-CN"/>
        </w:rPr>
        <w:t>为</w:t>
      </w:r>
      <w:r>
        <w:rPr>
          <w:rFonts w:hint="default" w:ascii="Times New Roman" w:hAnsi="Times New Roman" w:eastAsia="宋体" w:cs="Times New Roman"/>
          <w:color w:val="FFC000"/>
          <w:sz w:val="24"/>
          <w:szCs w:val="24"/>
          <w:highlight w:val="none"/>
          <w:lang w:val="en-US" w:eastAsia="zh-CN"/>
        </w:rPr>
        <w:t>53.1</w:t>
      </w:r>
      <w:r>
        <w:rPr>
          <w:rFonts w:hint="default" w:ascii="Times New Roman" w:hAnsi="Times New Roman" w:eastAsia="宋体" w:cs="Times New Roman"/>
          <w:color w:val="FFC000"/>
          <w:sz w:val="24"/>
          <w:szCs w:val="24"/>
          <w:highlight w:val="none"/>
          <w:lang w:eastAsia="zh-CN"/>
        </w:rPr>
        <w:t>dB</w:t>
      </w:r>
      <w:r>
        <w:rPr>
          <w:rFonts w:hint="default" w:ascii="Times New Roman" w:hAnsi="Times New Roman" w:eastAsia="宋体" w:cs="Times New Roman"/>
          <w:color w:val="FFC000"/>
          <w:sz w:val="24"/>
          <w:szCs w:val="24"/>
          <w:highlight w:val="none"/>
          <w:lang w:eastAsia="zh-CN"/>
        </w:rPr>
        <w:t>（</w:t>
      </w:r>
      <w:r>
        <w:rPr>
          <w:rFonts w:hint="default" w:ascii="Times New Roman" w:hAnsi="Times New Roman" w:eastAsia="宋体" w:cs="Times New Roman"/>
          <w:color w:val="FFC000"/>
          <w:sz w:val="24"/>
          <w:szCs w:val="24"/>
          <w:highlight w:val="none"/>
          <w:lang w:eastAsia="zh-CN"/>
        </w:rPr>
        <w:t>A</w:t>
      </w:r>
      <w:r>
        <w:rPr>
          <w:rFonts w:hint="default" w:ascii="Times New Roman" w:hAnsi="Times New Roman" w:eastAsia="宋体" w:cs="Times New Roman"/>
          <w:color w:val="FFC000"/>
          <w:sz w:val="24"/>
          <w:szCs w:val="24"/>
          <w:highlight w:val="none"/>
          <w:lang w:eastAsia="zh-CN"/>
        </w:rPr>
        <w:t>）</w:t>
      </w:r>
      <w:r>
        <w:rPr>
          <w:rFonts w:hint="default" w:ascii="Times New Roman" w:hAnsi="Times New Roman" w:eastAsia="宋体" w:cs="Times New Roman"/>
          <w:color w:val="FFC000"/>
          <w:sz w:val="24"/>
          <w:szCs w:val="24"/>
          <w:highlight w:val="none"/>
          <w:lang w:eastAsia="zh-CN"/>
        </w:rPr>
        <w:t>、</w:t>
      </w:r>
      <w:r>
        <w:rPr>
          <w:rFonts w:hint="default" w:ascii="Times New Roman" w:hAnsi="Times New Roman" w:eastAsia="宋体" w:cs="Times New Roman"/>
          <w:color w:val="FFC000"/>
          <w:sz w:val="24"/>
          <w:szCs w:val="24"/>
          <w:highlight w:val="none"/>
          <w:lang w:val="en-US" w:eastAsia="zh-CN"/>
        </w:rPr>
        <w:t>夜</w:t>
      </w:r>
      <w:r>
        <w:rPr>
          <w:rFonts w:hint="default" w:ascii="Times New Roman" w:hAnsi="Times New Roman" w:eastAsia="宋体" w:cs="Times New Roman"/>
          <w:color w:val="FFC000"/>
          <w:sz w:val="24"/>
          <w:szCs w:val="24"/>
          <w:highlight w:val="none"/>
        </w:rPr>
        <w:t>间</w:t>
      </w:r>
      <w:r>
        <w:rPr>
          <w:rFonts w:hint="default" w:ascii="Times New Roman" w:hAnsi="Times New Roman" w:eastAsia="宋体" w:cs="Times New Roman"/>
          <w:color w:val="FFC000"/>
          <w:sz w:val="24"/>
          <w:szCs w:val="24"/>
          <w:highlight w:val="none"/>
          <w:lang w:val="en-US" w:eastAsia="zh-CN"/>
        </w:rPr>
        <w:t>预测</w:t>
      </w:r>
      <w:r>
        <w:rPr>
          <w:rFonts w:hint="default" w:ascii="Times New Roman" w:hAnsi="Times New Roman" w:eastAsia="宋体" w:cs="Times New Roman"/>
          <w:color w:val="FFC000"/>
          <w:sz w:val="24"/>
          <w:szCs w:val="24"/>
          <w:highlight w:val="none"/>
        </w:rPr>
        <w:t>值</w:t>
      </w:r>
      <w:r>
        <w:rPr>
          <w:rFonts w:hint="default" w:ascii="Times New Roman" w:hAnsi="Times New Roman" w:eastAsia="宋体" w:cs="Times New Roman"/>
          <w:color w:val="FFC000"/>
          <w:sz w:val="24"/>
          <w:szCs w:val="24"/>
          <w:highlight w:val="none"/>
          <w:lang w:eastAsia="zh-CN"/>
        </w:rPr>
        <w:t>为</w:t>
      </w:r>
      <w:r>
        <w:rPr>
          <w:rFonts w:hint="default" w:ascii="Times New Roman" w:hAnsi="Times New Roman" w:eastAsia="宋体" w:cs="Times New Roman"/>
          <w:color w:val="FFC000"/>
          <w:sz w:val="24"/>
          <w:szCs w:val="24"/>
          <w:highlight w:val="none"/>
          <w:lang w:val="en-US" w:eastAsia="zh-CN"/>
        </w:rPr>
        <w:t>43.88</w:t>
      </w:r>
      <w:r>
        <w:rPr>
          <w:rFonts w:hint="default" w:ascii="Times New Roman" w:hAnsi="Times New Roman" w:eastAsia="宋体" w:cs="Times New Roman"/>
          <w:color w:val="FFC000"/>
          <w:sz w:val="24"/>
          <w:szCs w:val="24"/>
          <w:highlight w:val="none"/>
          <w:lang w:eastAsia="zh-CN"/>
        </w:rPr>
        <w:t>dB</w:t>
      </w:r>
      <w:r>
        <w:rPr>
          <w:rFonts w:hint="default" w:ascii="Times New Roman" w:hAnsi="Times New Roman" w:eastAsia="宋体" w:cs="Times New Roman"/>
          <w:color w:val="FFC000"/>
          <w:sz w:val="24"/>
          <w:szCs w:val="24"/>
          <w:highlight w:val="none"/>
          <w:lang w:eastAsia="zh-CN"/>
        </w:rPr>
        <w:t>（</w:t>
      </w:r>
      <w:r>
        <w:rPr>
          <w:rFonts w:hint="default" w:ascii="Times New Roman" w:hAnsi="Times New Roman" w:eastAsia="宋体" w:cs="Times New Roman"/>
          <w:color w:val="FFC000"/>
          <w:sz w:val="24"/>
          <w:szCs w:val="24"/>
          <w:highlight w:val="none"/>
          <w:lang w:eastAsia="zh-CN"/>
        </w:rPr>
        <w:t>A</w:t>
      </w:r>
      <w:r>
        <w:rPr>
          <w:rFonts w:hint="default" w:ascii="Times New Roman" w:hAnsi="Times New Roman" w:eastAsia="宋体" w:cs="Times New Roman"/>
          <w:color w:val="FFC000"/>
          <w:sz w:val="24"/>
          <w:szCs w:val="24"/>
          <w:highlight w:val="none"/>
          <w:lang w:eastAsia="zh-CN"/>
        </w:rPr>
        <w:t>）</w:t>
      </w:r>
      <w:r>
        <w:rPr>
          <w:rFonts w:hint="default" w:ascii="Times New Roman" w:hAnsi="Times New Roman" w:eastAsia="宋体" w:cs="Times New Roman"/>
          <w:color w:val="FFC000"/>
          <w:sz w:val="24"/>
          <w:szCs w:val="24"/>
          <w:highlight w:val="none"/>
          <w:lang w:eastAsia="zh-CN"/>
        </w:rPr>
        <w:t>，</w:t>
      </w:r>
      <w:r>
        <w:rPr>
          <w:rFonts w:hint="default" w:ascii="Times New Roman" w:hAnsi="Times New Roman" w:eastAsia="宋体" w:cs="Times New Roman"/>
          <w:color w:val="FFC000"/>
          <w:sz w:val="24"/>
          <w:szCs w:val="24"/>
          <w:highlight w:val="none"/>
          <w:lang w:val="en-US" w:eastAsia="zh-CN"/>
        </w:rPr>
        <w:t>均</w:t>
      </w:r>
      <w:r>
        <w:rPr>
          <w:rFonts w:hint="default" w:ascii="Times New Roman" w:hAnsi="Times New Roman" w:eastAsia="宋体" w:cs="Times New Roman"/>
          <w:color w:val="FFC000"/>
          <w:sz w:val="24"/>
          <w:szCs w:val="24"/>
          <w:highlight w:val="none"/>
          <w:lang w:eastAsia="zh-CN"/>
        </w:rPr>
        <w:t>满足《声环境质量标准》（GB3096-2008）</w:t>
      </w:r>
      <w:r>
        <w:rPr>
          <w:rFonts w:hint="default" w:ascii="Times New Roman" w:hAnsi="Times New Roman" w:eastAsia="宋体" w:cs="Times New Roman"/>
          <w:color w:val="FFC000"/>
          <w:sz w:val="24"/>
          <w:szCs w:val="24"/>
          <w:highlight w:val="none"/>
          <w:lang w:val="en-US" w:eastAsia="zh-CN"/>
        </w:rPr>
        <w:t>1</w:t>
      </w:r>
      <w:r>
        <w:rPr>
          <w:rFonts w:hint="default" w:ascii="Times New Roman" w:hAnsi="Times New Roman" w:eastAsia="宋体" w:cs="Times New Roman"/>
          <w:color w:val="FFC000"/>
          <w:sz w:val="24"/>
          <w:szCs w:val="24"/>
          <w:highlight w:val="none"/>
          <w:lang w:eastAsia="zh-CN"/>
        </w:rPr>
        <w:t>类标准。</w:t>
      </w:r>
    </w:p>
    <w:p w14:paraId="3633304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lang w:val="en-US" w:eastAsia="zh-CN"/>
        </w:rPr>
        <w:t>综上，本项目对区域</w:t>
      </w:r>
      <w:r>
        <w:rPr>
          <w:rFonts w:hint="default" w:ascii="Times New Roman" w:hAnsi="Times New Roman" w:eastAsia="宋体" w:cs="Times New Roman"/>
          <w:color w:val="FF0000"/>
          <w:highlight w:val="none"/>
        </w:rPr>
        <w:t>声环境影响</w:t>
      </w:r>
      <w:r>
        <w:rPr>
          <w:rFonts w:hint="default" w:ascii="Times New Roman" w:hAnsi="Times New Roman" w:eastAsia="宋体" w:cs="Times New Roman"/>
          <w:color w:val="FF0000"/>
          <w:highlight w:val="none"/>
          <w:lang w:val="en-US" w:eastAsia="zh-CN"/>
        </w:rPr>
        <w:t>较小</w:t>
      </w:r>
      <w:r>
        <w:rPr>
          <w:rFonts w:hint="default" w:ascii="Times New Roman" w:hAnsi="Times New Roman" w:eastAsia="宋体" w:cs="Times New Roman"/>
          <w:color w:val="FF0000"/>
          <w:highlight w:val="none"/>
        </w:rPr>
        <w:t>。</w:t>
      </w:r>
    </w:p>
    <w:p w14:paraId="22A1F8A6">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488" w:name="_Toc530642956"/>
      <w:bookmarkStart w:id="489" w:name="_Toc494206332"/>
      <w:bookmarkStart w:id="490" w:name="_Toc30914"/>
      <w:r>
        <w:rPr>
          <w:rFonts w:hint="default" w:ascii="Times New Roman" w:hAnsi="Times New Roman" w:eastAsia="宋体" w:cs="Times New Roman"/>
          <w:color w:val="auto"/>
          <w:highlight w:val="none"/>
        </w:rPr>
        <w:t>5.7运营期固体废物环境影响分析</w:t>
      </w:r>
      <w:bookmarkEnd w:id="488"/>
      <w:bookmarkEnd w:id="489"/>
      <w:bookmarkEnd w:id="490"/>
    </w:p>
    <w:p w14:paraId="6A168D1D">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491" w:name="_Toc20391"/>
      <w:r>
        <w:rPr>
          <w:rFonts w:hint="default" w:ascii="Times New Roman" w:hAnsi="Times New Roman" w:eastAsia="宋体" w:cs="Times New Roman"/>
          <w:color w:val="auto"/>
          <w:highlight w:val="none"/>
        </w:rPr>
        <w:t>5.7.1固体废物环境影响特点</w:t>
      </w:r>
      <w:bookmarkEnd w:id="491"/>
    </w:p>
    <w:p w14:paraId="647EFA7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固体废弃物除直接占用土地和空间外，其对环境的影响将会通过水、气或土壤污染周围环境，因此，固体废弃物既是造成水、大气、土壤污染的“源头”，又是废水、废气处理的“终态物”。</w:t>
      </w:r>
    </w:p>
    <w:p w14:paraId="7DE696EB">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492" w:name="_Toc23710"/>
      <w:r>
        <w:rPr>
          <w:rFonts w:hint="default" w:ascii="Times New Roman" w:hAnsi="Times New Roman" w:eastAsia="宋体" w:cs="Times New Roman"/>
          <w:color w:val="auto"/>
          <w:highlight w:val="none"/>
        </w:rPr>
        <w:t>5.7.2固体废物污染途径</w:t>
      </w:r>
      <w:bookmarkEnd w:id="492"/>
    </w:p>
    <w:p w14:paraId="5084BDC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运营过程中产生的固体废物如处置不当，将会对周围环境造成影响，本工程主要是</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对周围环境的影响，主要表现在以下方面：</w:t>
      </w:r>
    </w:p>
    <w:p w14:paraId="343AA62C">
      <w:pPr>
        <w:pageBreakBefore w:val="0"/>
        <w:kinsoku/>
        <w:wordWrap/>
        <w:bidi w:val="0"/>
        <w:snapToGrid w:val="0"/>
        <w:spacing w:line="360" w:lineRule="auto"/>
        <w:ind w:left="0" w:leftChars="0" w:right="0" w:rightChars="0" w:firstLine="480"/>
        <w:outlineLvl w:val="2"/>
        <w:rPr>
          <w:rFonts w:hint="default" w:ascii="Times New Roman" w:hAnsi="Times New Roman" w:eastAsia="宋体" w:cs="Times New Roman"/>
          <w:color w:val="auto"/>
          <w:highlight w:val="none"/>
        </w:rPr>
      </w:pPr>
      <w:bookmarkStart w:id="493" w:name="_Toc3001"/>
      <w:bookmarkStart w:id="494" w:name="_Toc32213"/>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氮磷的污染</w:t>
      </w:r>
      <w:bookmarkEnd w:id="493"/>
      <w:bookmarkEnd w:id="494"/>
    </w:p>
    <w:p w14:paraId="4C7D613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中含有大量的氮磷化合物，未经处理的粪便中的一部分氮以氨的形式挥发到大气中，增加了大气中氨的含量，氨可转化为氮氧化物，使空气质量下降，严重时导致酸雨，危害环境。</w:t>
      </w:r>
    </w:p>
    <w:p w14:paraId="17179C9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畜禽粪便中的氮磷流失量大于化肥氮磷流失量，是造成农村污染的主要原因之一。若不及时清理，就会通过地表径流，汇入地表水体，大量的氮、磷流入会导致水体富营养化。</w:t>
      </w:r>
    </w:p>
    <w:p w14:paraId="1EEC97B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畜禽粪便长期堆放，粪便中所含大量含氮化合物在土壤微生物的作用下，通过氨化、硝化等生物化学反应过程，导致土壤中硝酸盐含量增高，间接影响人体健康。</w:t>
      </w:r>
    </w:p>
    <w:p w14:paraId="5156047E">
      <w:pPr>
        <w:pageBreakBefore w:val="0"/>
        <w:kinsoku/>
        <w:wordWrap/>
        <w:bidi w:val="0"/>
        <w:snapToGrid w:val="0"/>
        <w:spacing w:line="360" w:lineRule="auto"/>
        <w:ind w:left="0" w:leftChars="0" w:right="0" w:rightChars="0" w:firstLine="480"/>
        <w:outlineLvl w:val="2"/>
        <w:rPr>
          <w:rFonts w:hint="default" w:ascii="Times New Roman" w:hAnsi="Times New Roman" w:eastAsia="宋体" w:cs="Times New Roman"/>
          <w:color w:val="auto"/>
          <w:highlight w:val="none"/>
        </w:rPr>
      </w:pPr>
      <w:bookmarkStart w:id="495" w:name="_Toc20108"/>
      <w:bookmarkStart w:id="496" w:name="_Toc20450"/>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有害病原微生物的污染</w:t>
      </w:r>
      <w:bookmarkEnd w:id="495"/>
      <w:bookmarkEnd w:id="496"/>
    </w:p>
    <w:p w14:paraId="3047A03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粪便是微生物的主要载体。大量实践表明，由于畜禽粪便的随意堆放，最终会导致畜禽传染病和寄生虫病的蔓延。</w:t>
      </w:r>
    </w:p>
    <w:p w14:paraId="551F4A4D">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497" w:name="_Toc22847"/>
      <w:r>
        <w:rPr>
          <w:rFonts w:hint="default" w:ascii="Times New Roman" w:hAnsi="Times New Roman" w:eastAsia="宋体" w:cs="Times New Roman"/>
          <w:color w:val="auto"/>
          <w:highlight w:val="none"/>
        </w:rPr>
        <w:t>5.7.3固废影响分析</w:t>
      </w:r>
      <w:bookmarkEnd w:id="497"/>
    </w:p>
    <w:p w14:paraId="482E6BD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根据工程分析，项目养殖过程由于疾病等原因产生的</w:t>
      </w:r>
      <w:r>
        <w:rPr>
          <w:rFonts w:hint="default" w:ascii="Times New Roman" w:hAnsi="Times New Roman" w:eastAsia="宋体" w:cs="Times New Roman"/>
          <w:color w:val="auto"/>
          <w:highlight w:val="none"/>
          <w:lang w:eastAsia="zh-CN"/>
        </w:rPr>
        <w:t>病死牛</w:t>
      </w:r>
      <w:r>
        <w:rPr>
          <w:rFonts w:hint="default" w:ascii="Times New Roman" w:hAnsi="Times New Roman" w:eastAsia="宋体" w:cs="Times New Roman"/>
          <w:color w:val="auto"/>
          <w:highlight w:val="none"/>
        </w:rPr>
        <w:t>交由巴彦淖尔市绿之源生物技术发展有限公司进行无害化处理；运营过程产生的</w:t>
      </w:r>
      <w:r>
        <w:rPr>
          <w:rFonts w:hint="default" w:ascii="Times New Roman" w:hAnsi="Times New Roman" w:eastAsia="宋体" w:cs="Times New Roman"/>
          <w:color w:val="auto"/>
          <w:highlight w:val="none"/>
          <w:lang w:eastAsia="zh-CN"/>
        </w:rPr>
        <w:t>医疗垃圾</w:t>
      </w:r>
      <w:r>
        <w:rPr>
          <w:rFonts w:hint="default" w:ascii="Times New Roman" w:hAnsi="Times New Roman" w:eastAsia="宋体" w:cs="Times New Roman"/>
          <w:color w:val="auto"/>
          <w:highlight w:val="none"/>
          <w:lang w:eastAsia="zh-CN"/>
        </w:rPr>
        <w:t>暂存于</w:t>
      </w:r>
      <w:r>
        <w:rPr>
          <w:rFonts w:hint="default" w:ascii="Times New Roman" w:hAnsi="Times New Roman" w:eastAsia="宋体" w:cs="Times New Roman"/>
          <w:color w:val="auto"/>
          <w:highlight w:val="none"/>
          <w:lang w:eastAsia="zh-CN"/>
        </w:rPr>
        <w:t>危废暂存间</w:t>
      </w:r>
      <w:r>
        <w:rPr>
          <w:rFonts w:hint="default" w:ascii="Times New Roman" w:hAnsi="Times New Roman" w:eastAsia="宋体" w:cs="Times New Roman"/>
          <w:color w:val="auto"/>
          <w:highlight w:val="none"/>
          <w:lang w:eastAsia="zh-CN"/>
        </w:rPr>
        <w:t>内，</w:t>
      </w:r>
      <w:r>
        <w:rPr>
          <w:rFonts w:hint="default" w:ascii="Times New Roman" w:hAnsi="Times New Roman" w:eastAsia="宋体" w:cs="Times New Roman"/>
          <w:color w:val="auto"/>
          <w:highlight w:val="none"/>
        </w:rPr>
        <w:t>交由有资质单位处理；</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堆肥后最终作为有机肥进行资源化利用；生活垃圾统一收集后</w:t>
      </w:r>
      <w:r>
        <w:rPr>
          <w:rFonts w:hint="default" w:ascii="Times New Roman" w:hAnsi="Times New Roman" w:eastAsia="宋体" w:cs="Times New Roman"/>
          <w:color w:val="auto"/>
          <w:highlight w:val="none"/>
          <w:lang w:bidi="zh-CN"/>
        </w:rPr>
        <w:t>清运到环卫部门指定的地点集中处理</w:t>
      </w:r>
      <w:r>
        <w:rPr>
          <w:rFonts w:hint="default" w:ascii="Times New Roman" w:hAnsi="Times New Roman" w:eastAsia="宋体" w:cs="Times New Roman"/>
          <w:color w:val="auto"/>
          <w:highlight w:val="none"/>
        </w:rPr>
        <w:t>。</w:t>
      </w:r>
    </w:p>
    <w:p w14:paraId="554E886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综合以上分析，拟建项目投产后，产生的固体废物均得到综合利用和有效处置和利用，拟建项目固体废物对周围环境产生的影响较小。</w:t>
      </w:r>
    </w:p>
    <w:p w14:paraId="14C17873">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498" w:name="_Toc13523"/>
      <w:r>
        <w:rPr>
          <w:rFonts w:hint="default" w:ascii="Times New Roman" w:hAnsi="Times New Roman" w:eastAsia="宋体" w:cs="Times New Roman"/>
          <w:color w:val="auto"/>
          <w:highlight w:val="none"/>
        </w:rPr>
        <w:t>5.8运营期生态环境影响分析</w:t>
      </w:r>
      <w:bookmarkEnd w:id="498"/>
    </w:p>
    <w:p w14:paraId="178DE94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运营期对生态环境产生的影响主要表现为对土地利用格局的改变，对动植物的影响，对土壤污染影响。</w:t>
      </w:r>
    </w:p>
    <w:p w14:paraId="2CC1A196">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499" w:name="_Toc6275"/>
      <w:r>
        <w:rPr>
          <w:rFonts w:hint="default" w:ascii="Times New Roman" w:hAnsi="Times New Roman" w:eastAsia="宋体" w:cs="Times New Roman"/>
          <w:color w:val="auto"/>
          <w:highlight w:val="none"/>
        </w:rPr>
        <w:t>5.8.1土地利用影响评价</w:t>
      </w:r>
      <w:bookmarkEnd w:id="499"/>
    </w:p>
    <w:p w14:paraId="12D408E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项目的建设使土地利用格局发生了变化，这一变化将使区域内局部地块的功能彻底发生改变。项目的建设占用项目所在地大部分为牧草地，使得生态景观更加破碎化，项目区域内生态环境生产能力下降。</w:t>
      </w:r>
    </w:p>
    <w:p w14:paraId="6DA8531C">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500" w:name="_Toc3548"/>
      <w:r>
        <w:rPr>
          <w:rFonts w:hint="default" w:ascii="Times New Roman" w:hAnsi="Times New Roman" w:eastAsia="宋体" w:cs="Times New Roman"/>
          <w:color w:val="auto"/>
          <w:highlight w:val="none"/>
        </w:rPr>
        <w:t>5.8.2对动植物的影响分析</w:t>
      </w:r>
      <w:bookmarkEnd w:id="500"/>
    </w:p>
    <w:p w14:paraId="67D51DE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的建设对部分陆生动物的活动区域、迁移途径、栖息区域、觅食范围等受到一定的限制。但评价区内无野生动物保护区、无国家级、省级保护动物，也不是动物迁徙地带，本项目的建设不会对连通性造成影响，基本不会对动物的生存、迁徙、生育、繁殖产生影响。</w:t>
      </w:r>
    </w:p>
    <w:p w14:paraId="230A0D16">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501" w:name="_Toc390"/>
      <w:r>
        <w:rPr>
          <w:rFonts w:hint="default" w:ascii="Times New Roman" w:hAnsi="Times New Roman" w:eastAsia="宋体" w:cs="Times New Roman"/>
          <w:color w:val="auto"/>
          <w:highlight w:val="none"/>
        </w:rPr>
        <w:t>5.8.3对土壤的污染影响分析</w:t>
      </w:r>
      <w:bookmarkEnd w:id="501"/>
    </w:p>
    <w:p w14:paraId="41D77BF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w:t>
      </w:r>
      <w:r>
        <w:rPr>
          <w:rFonts w:hint="default" w:ascii="Times New Roman" w:hAnsi="Times New Roman" w:eastAsia="宋体" w:cs="Times New Roman"/>
          <w:color w:val="auto"/>
          <w:highlight w:val="none"/>
          <w:lang w:eastAsia="zh-CN"/>
        </w:rPr>
        <w:t>规模化肉牛养殖项目</w:t>
      </w:r>
      <w:r>
        <w:rPr>
          <w:rFonts w:hint="default" w:ascii="Times New Roman" w:hAnsi="Times New Roman" w:eastAsia="宋体" w:cs="Times New Roman"/>
          <w:color w:val="auto"/>
          <w:highlight w:val="none"/>
        </w:rPr>
        <w:t>，其</w:t>
      </w:r>
      <w:r>
        <w:rPr>
          <w:rFonts w:hint="default" w:ascii="Times New Roman" w:hAnsi="Times New Roman" w:eastAsia="宋体" w:cs="Times New Roman"/>
          <w:color w:val="auto"/>
          <w:highlight w:val="none"/>
          <w:lang w:eastAsia="zh-CN"/>
        </w:rPr>
        <w:t>牛</w:t>
      </w:r>
      <w:r>
        <w:rPr>
          <w:rFonts w:hint="default" w:ascii="Times New Roman" w:hAnsi="Times New Roman" w:eastAsia="宋体" w:cs="Times New Roman"/>
          <w:color w:val="auto"/>
          <w:highlight w:val="none"/>
        </w:rPr>
        <w:t>粪便、尿液等产生的固液废物，全部以堆肥发酵处理。堆肥发酵产生的农肥还田使用在提高当地农灌区土壤有机养分之外，会对当地土壤的理化性质机构发生变化，若堆肥工艺管理不当会使残留的重金属，抗生素类等污染物进入土壤，进而被农作物吸收，间接对人体产生影响。</w:t>
      </w:r>
    </w:p>
    <w:p w14:paraId="191E023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对生态环境可能造成的影响分析，建设单位主要采取在牛场周围及场内道路两侧种植对硫化氢等有害气体吸收能力较强的树木，如：杨树等乔木树种，以吸收有害气体，杀灭细菌，降低其在周围环境中的浓度。</w:t>
      </w:r>
    </w:p>
    <w:p w14:paraId="77E8547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随着工程投入生产，项目提出的绿化工程实施，通过对各区域绿化和植被恢复工作，项目区植被覆盖率明显增加，这将改善区域生态环境和局地小气候，减少风力，提高土壤蓄水保肥能力，有利于自然植被恢复和防止水土流失及土地沙漠化加剧，对区域生态环境产生一定的有利影响。项目排放污染物类型较少，同时均采取相应的防治措施，能够达标排放，对周边农作物影响较小。</w:t>
      </w:r>
    </w:p>
    <w:p w14:paraId="76C5134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项目通过对区域</w:t>
      </w:r>
      <w:r>
        <w:rPr>
          <w:rFonts w:hint="default" w:ascii="Times New Roman" w:hAnsi="Times New Roman" w:eastAsia="宋体" w:cs="Times New Roman"/>
          <w:color w:val="auto"/>
          <w:highlight w:val="none"/>
          <w:lang w:eastAsia="zh-CN"/>
        </w:rPr>
        <w:t>肉牛</w:t>
      </w:r>
      <w:r>
        <w:rPr>
          <w:rFonts w:hint="default" w:ascii="Times New Roman" w:hAnsi="Times New Roman" w:eastAsia="宋体" w:cs="Times New Roman"/>
          <w:color w:val="auto"/>
          <w:highlight w:val="none"/>
        </w:rPr>
        <w:t>养殖实施集约化管理，并对</w:t>
      </w:r>
      <w:r>
        <w:rPr>
          <w:rFonts w:hint="default" w:ascii="Times New Roman" w:hAnsi="Times New Roman" w:eastAsia="宋体" w:cs="Times New Roman"/>
          <w:color w:val="auto"/>
          <w:highlight w:val="none"/>
          <w:lang w:eastAsia="zh-CN"/>
        </w:rPr>
        <w:t>肉牛</w:t>
      </w:r>
      <w:r>
        <w:rPr>
          <w:rFonts w:hint="default" w:ascii="Times New Roman" w:hAnsi="Times New Roman" w:eastAsia="宋体" w:cs="Times New Roman"/>
          <w:color w:val="auto"/>
          <w:highlight w:val="none"/>
        </w:rPr>
        <w:t>养殖产生的粪污进行减量化、无害化、资源化综合利用，构建</w:t>
      </w:r>
      <w:r>
        <w:rPr>
          <w:rFonts w:hint="default" w:ascii="Times New Roman" w:hAnsi="Times New Roman" w:eastAsia="宋体" w:cs="Times New Roman"/>
          <w:color w:val="auto"/>
          <w:highlight w:val="none"/>
          <w:lang w:eastAsia="zh-CN"/>
        </w:rPr>
        <w:t>肉牛</w:t>
      </w:r>
      <w:r>
        <w:rPr>
          <w:rFonts w:hint="default" w:ascii="Times New Roman" w:hAnsi="Times New Roman" w:eastAsia="宋体" w:cs="Times New Roman"/>
          <w:color w:val="auto"/>
          <w:highlight w:val="none"/>
        </w:rPr>
        <w:t>养殖→肥料→还田还林，对改善项目区域农业生态环境将产生积极作用</w:t>
      </w:r>
      <w:r>
        <w:rPr>
          <w:rFonts w:hint="default" w:ascii="Times New Roman" w:hAnsi="Times New Roman" w:eastAsia="宋体" w:cs="Times New Roman"/>
          <w:color w:val="auto"/>
          <w:highlight w:val="none"/>
          <w:lang w:eastAsia="zh-CN"/>
        </w:rPr>
        <w:t>。</w:t>
      </w:r>
    </w:p>
    <w:p w14:paraId="4DA1E44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p>
    <w:p w14:paraId="0080DE9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p>
    <w:p w14:paraId="2FFD32B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p>
    <w:p w14:paraId="0947AD1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sectPr>
          <w:pgSz w:w="11906" w:h="16838"/>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26" w:charSpace="0"/>
        </w:sectPr>
      </w:pPr>
    </w:p>
    <w:p w14:paraId="21BE42A1">
      <w:pPr>
        <w:pStyle w:val="2"/>
        <w:pageBreakBefore w:val="0"/>
        <w:widowControl w:val="0"/>
        <w:kinsoku/>
        <w:wordWrap/>
        <w:topLinePunct/>
        <w:bidi w:val="0"/>
        <w:snapToGrid w:val="0"/>
        <w:spacing w:before="0" w:after="0" w:line="360" w:lineRule="auto"/>
        <w:ind w:left="0" w:leftChars="0" w:right="0" w:rightChars="0"/>
        <w:rPr>
          <w:rFonts w:hint="default" w:ascii="Times New Roman" w:hAnsi="Times New Roman" w:eastAsia="宋体" w:cs="Times New Roman"/>
          <w:color w:val="auto"/>
          <w:highlight w:val="none"/>
        </w:rPr>
      </w:pPr>
      <w:bookmarkStart w:id="502" w:name="_Toc19605"/>
      <w:bookmarkStart w:id="503" w:name="_Toc530642958"/>
      <w:r>
        <w:rPr>
          <w:rFonts w:hint="default" w:ascii="Times New Roman" w:hAnsi="Times New Roman" w:eastAsia="宋体" w:cs="Times New Roman"/>
          <w:color w:val="auto"/>
          <w:highlight w:val="none"/>
        </w:rPr>
        <w:t>6环境风险评价</w:t>
      </w:r>
      <w:bookmarkEnd w:id="502"/>
      <w:bookmarkEnd w:id="503"/>
    </w:p>
    <w:p w14:paraId="2E712CAA">
      <w:pPr>
        <w:pStyle w:val="3"/>
        <w:pageBreakBefore w:val="0"/>
        <w:widowControl w:val="0"/>
        <w:kinsoku/>
        <w:wordWrap/>
        <w:topLinePunct/>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504" w:name="_Toc530642959"/>
      <w:bookmarkStart w:id="505" w:name="_Toc21940"/>
      <w:r>
        <w:rPr>
          <w:rFonts w:hint="default" w:ascii="Times New Roman" w:hAnsi="Times New Roman" w:eastAsia="宋体" w:cs="Times New Roman"/>
          <w:color w:val="auto"/>
          <w:highlight w:val="none"/>
        </w:rPr>
        <w:t>6.1风险评价目的</w:t>
      </w:r>
      <w:bookmarkEnd w:id="504"/>
      <w:bookmarkEnd w:id="505"/>
    </w:p>
    <w:p w14:paraId="6EEFF4D1">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环境风险评价目的是分析和预测建设项目存在的潜在危险、有害因素，建设项目建设和</w:t>
      </w:r>
      <w:r>
        <w:rPr>
          <w:rFonts w:hint="default" w:ascii="Times New Roman" w:hAnsi="Times New Roman" w:eastAsia="宋体" w:cs="Times New Roman"/>
          <w:color w:val="auto"/>
          <w:highlight w:val="none"/>
          <w:lang w:eastAsia="zh-CN"/>
        </w:rPr>
        <w:t>运营</w:t>
      </w:r>
      <w:r>
        <w:rPr>
          <w:rFonts w:hint="default" w:ascii="Times New Roman" w:hAnsi="Times New Roman" w:eastAsia="宋体" w:cs="Times New Roman"/>
          <w:color w:val="auto"/>
          <w:highlight w:val="none"/>
        </w:rPr>
        <w:t>期间可能发生的突发性事件或事故（一般不包括人为破坏和自然灾害），引起有毒有害和易燃易爆等物质泄漏，所造成的人身安全与环境影响和损害程度，提出合理可行的防范、应急与减缓措施，以使建设项目事故率、损失和环境影响达到可以接受水平。</w:t>
      </w:r>
    </w:p>
    <w:p w14:paraId="74E492DC">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bookmarkStart w:id="506" w:name="_Toc4787456"/>
      <w:bookmarkStart w:id="507" w:name="_Toc530642963"/>
      <w:r>
        <w:rPr>
          <w:rFonts w:hint="default" w:ascii="Times New Roman" w:hAnsi="Times New Roman" w:eastAsia="宋体" w:cs="Times New Roman"/>
          <w:color w:val="auto"/>
          <w:szCs w:val="32"/>
          <w:highlight w:val="none"/>
        </w:rPr>
        <w:t>根据《建设项目环境风险评价技术导则》（HJ169-2018），该导则适用于涉及有毒有害和易燃易爆物质的生产、使用、贮运的建设项目可能发生的突发性事故（不包括</w:t>
      </w:r>
      <w:r>
        <w:rPr>
          <w:rFonts w:hint="default" w:ascii="Times New Roman" w:hAnsi="Times New Roman" w:eastAsia="宋体" w:cs="Times New Roman"/>
          <w:color w:val="auto"/>
          <w:szCs w:val="32"/>
          <w:highlight w:val="none"/>
          <w:lang w:eastAsia="zh-CN"/>
        </w:rPr>
        <w:t>人为</w:t>
      </w:r>
      <w:r>
        <w:rPr>
          <w:rFonts w:hint="default" w:ascii="Times New Roman" w:hAnsi="Times New Roman" w:eastAsia="宋体" w:cs="Times New Roman"/>
          <w:color w:val="auto"/>
          <w:szCs w:val="32"/>
          <w:highlight w:val="none"/>
        </w:rPr>
        <w:t>破坏及自然灾害引发的事故）的环境风险评价。</w:t>
      </w:r>
      <w:r>
        <w:rPr>
          <w:rFonts w:hint="default" w:ascii="Times New Roman" w:hAnsi="Times New Roman" w:eastAsia="宋体" w:cs="Times New Roman"/>
          <w:color w:val="auto"/>
          <w:highlight w:val="none"/>
        </w:rPr>
        <w:t>通过分析本工程主要物料的危险特性、毒理毒性及生产设施的特点进行风险识别，分析事故源项和发生概率，提出有针对性的、操作性较强的防范措施，为工程设计和环境管理提供资料和依据，以期达到规避风险，减少危害的目的。</w:t>
      </w:r>
    </w:p>
    <w:p w14:paraId="038C1518">
      <w:pPr>
        <w:pStyle w:val="3"/>
        <w:pageBreakBefore w:val="0"/>
        <w:widowControl w:val="0"/>
        <w:kinsoku/>
        <w:wordWrap/>
        <w:topLinePunct/>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508" w:name="_Toc9764"/>
      <w:r>
        <w:rPr>
          <w:rFonts w:hint="default" w:ascii="Times New Roman" w:hAnsi="Times New Roman" w:eastAsia="宋体" w:cs="Times New Roman"/>
          <w:color w:val="auto"/>
          <w:highlight w:val="none"/>
        </w:rPr>
        <w:t>6.2风险调查</w:t>
      </w:r>
      <w:bookmarkEnd w:id="508"/>
    </w:p>
    <w:p w14:paraId="1B384CC6">
      <w:pPr>
        <w:pStyle w:val="5"/>
        <w:pageBreakBefore w:val="0"/>
        <w:widowControl w:val="0"/>
        <w:kinsoku/>
        <w:wordWrap/>
        <w:topLinePunct/>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509" w:name="_Toc17106557"/>
      <w:bookmarkStart w:id="510" w:name="_Toc32201"/>
      <w:bookmarkStart w:id="511" w:name="_Toc12631"/>
      <w:r>
        <w:rPr>
          <w:rFonts w:hint="default" w:ascii="Times New Roman" w:hAnsi="Times New Roman" w:eastAsia="宋体" w:cs="Times New Roman"/>
          <w:color w:val="auto"/>
          <w:highlight w:val="none"/>
        </w:rPr>
        <w:t>6.2.1建设项目风险源调查</w:t>
      </w:r>
      <w:bookmarkEnd w:id="509"/>
      <w:bookmarkEnd w:id="510"/>
      <w:bookmarkEnd w:id="511"/>
    </w:p>
    <w:p w14:paraId="57F11EE5">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b/>
          <w:bCs/>
          <w:color w:val="FF0000"/>
          <w:highlight w:val="none"/>
        </w:rPr>
      </w:pPr>
      <w:r>
        <w:rPr>
          <w:rFonts w:hint="default" w:ascii="Times New Roman" w:hAnsi="Times New Roman" w:eastAsia="宋体" w:cs="Times New Roman"/>
          <w:color w:val="FF0000"/>
          <w:highlight w:val="none"/>
        </w:rPr>
        <w:t>本项目生产、使用、储存过程原辅料为精饲料、草料、青贮饲料、产品为肉牛不涉及《建设项目环境风险评价技术导则》（HJ169-2018）附录B1中的“有毒有害、易燃易爆物质”的使用和储存；养殖区、</w:t>
      </w:r>
      <w:r>
        <w:rPr>
          <w:rFonts w:hint="default" w:ascii="Times New Roman" w:hAnsi="Times New Roman" w:eastAsia="宋体" w:cs="Times New Roman"/>
          <w:color w:val="FF0000"/>
          <w:highlight w:val="none"/>
          <w:lang w:eastAsia="zh-CN"/>
        </w:rPr>
        <w:t>粪污处理池</w:t>
      </w:r>
      <w:r>
        <w:rPr>
          <w:rFonts w:hint="default" w:ascii="Times New Roman" w:hAnsi="Times New Roman" w:eastAsia="宋体" w:cs="Times New Roman"/>
          <w:color w:val="FF0000"/>
          <w:highlight w:val="none"/>
        </w:rPr>
        <w:t>臭气（主要成分NH</w:t>
      </w:r>
      <w:r>
        <w:rPr>
          <w:rFonts w:hint="default" w:ascii="Times New Roman" w:hAnsi="Times New Roman" w:eastAsia="宋体" w:cs="Times New Roman"/>
          <w:color w:val="FF0000"/>
          <w:highlight w:val="none"/>
          <w:vertAlign w:val="subscript"/>
        </w:rPr>
        <w:t>3</w:t>
      </w:r>
      <w:r>
        <w:rPr>
          <w:rFonts w:hint="default" w:ascii="Times New Roman" w:hAnsi="Times New Roman" w:eastAsia="宋体" w:cs="Times New Roman"/>
          <w:color w:val="FF0000"/>
          <w:highlight w:val="none"/>
        </w:rPr>
        <w:t>、H</w:t>
      </w:r>
      <w:r>
        <w:rPr>
          <w:rFonts w:hint="default" w:ascii="Times New Roman" w:hAnsi="Times New Roman" w:eastAsia="宋体" w:cs="Times New Roman"/>
          <w:color w:val="FF0000"/>
          <w:highlight w:val="none"/>
          <w:vertAlign w:val="subscript"/>
        </w:rPr>
        <w:t>2</w:t>
      </w:r>
      <w:r>
        <w:rPr>
          <w:rFonts w:hint="default" w:ascii="Times New Roman" w:hAnsi="Times New Roman" w:eastAsia="宋体" w:cs="Times New Roman"/>
          <w:color w:val="FF0000"/>
          <w:highlight w:val="none"/>
        </w:rPr>
        <w:t>S）以无组织形式排放；危险废物主要为少量</w:t>
      </w:r>
      <w:r>
        <w:rPr>
          <w:rFonts w:hint="default" w:ascii="Times New Roman" w:hAnsi="Times New Roman" w:eastAsia="宋体" w:cs="Times New Roman"/>
          <w:color w:val="FF0000"/>
          <w:highlight w:val="none"/>
          <w:lang w:eastAsia="zh-CN"/>
        </w:rPr>
        <w:t>医疗垃圾、</w:t>
      </w:r>
      <w:r>
        <w:rPr>
          <w:rFonts w:hint="default" w:ascii="Times New Roman" w:hAnsi="Times New Roman" w:eastAsia="宋体" w:cs="Times New Roman"/>
          <w:color w:val="0000FF"/>
          <w:highlight w:val="none"/>
          <w:lang w:eastAsia="zh-CN"/>
        </w:rPr>
        <w:t>消毒用酒精</w:t>
      </w:r>
      <w:r>
        <w:rPr>
          <w:rFonts w:hint="default" w:ascii="Times New Roman" w:hAnsi="Times New Roman" w:eastAsia="宋体" w:cs="Times New Roman"/>
          <w:color w:val="0000FF"/>
          <w:highlight w:val="none"/>
        </w:rPr>
        <w:t>，</w:t>
      </w:r>
      <w:r>
        <w:rPr>
          <w:rFonts w:hint="default" w:ascii="Times New Roman" w:hAnsi="Times New Roman" w:eastAsia="宋体" w:cs="Times New Roman"/>
          <w:color w:val="FF0000"/>
          <w:highlight w:val="none"/>
        </w:rPr>
        <w:t>对照附录B2，属于健康危险急性毒性物质。</w:t>
      </w:r>
    </w:p>
    <w:p w14:paraId="72CC89E0">
      <w:pPr>
        <w:pStyle w:val="5"/>
        <w:pageBreakBefore w:val="0"/>
        <w:widowControl w:val="0"/>
        <w:kinsoku/>
        <w:wordWrap/>
        <w:topLinePunct/>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512" w:name="_Toc6759"/>
      <w:r>
        <w:rPr>
          <w:rFonts w:hint="default" w:ascii="Times New Roman" w:hAnsi="Times New Roman" w:eastAsia="宋体" w:cs="Times New Roman"/>
          <w:color w:val="auto"/>
          <w:highlight w:val="none"/>
        </w:rPr>
        <w:t>6.2.2环境敏感目标调查</w:t>
      </w:r>
      <w:bookmarkEnd w:id="512"/>
    </w:p>
    <w:p w14:paraId="6FCD65C2">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bookmarkStart w:id="513" w:name="_Toc17106559"/>
      <w:bookmarkStart w:id="514" w:name="_Toc19973"/>
      <w:r>
        <w:rPr>
          <w:rFonts w:hint="default" w:ascii="Times New Roman" w:hAnsi="Times New Roman" w:eastAsia="宋体" w:cs="Times New Roman"/>
          <w:color w:val="auto"/>
          <w:highlight w:val="none"/>
        </w:rPr>
        <w:t>按照《建设项目环境风险评价技术导则》（HJ169-2018）附录D环境敏感程度（E）分级原则中要求调查5km范围内居住区、医疗卫生、文化教育、科研、行政办公等机构人口总数以及500m范围内人口总数。</w:t>
      </w:r>
    </w:p>
    <w:p w14:paraId="7D84E654">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项目选址于</w:t>
      </w:r>
      <w:r>
        <w:rPr>
          <w:rFonts w:hint="default" w:ascii="Times New Roman" w:hAnsi="Times New Roman" w:eastAsia="宋体" w:cs="Times New Roman"/>
          <w:color w:val="auto"/>
          <w:highlight w:val="none"/>
          <w:lang w:eastAsia="zh-CN"/>
        </w:rPr>
        <w:t>内蒙古自治区巴彦淖尔市乌拉特前旗大佘太镇马卜子村</w:t>
      </w:r>
      <w:r>
        <w:rPr>
          <w:rFonts w:hint="default" w:ascii="Times New Roman" w:hAnsi="Times New Roman" w:eastAsia="宋体" w:cs="Times New Roman"/>
          <w:color w:val="auto"/>
          <w:highlight w:val="none"/>
        </w:rPr>
        <w:t>，周边以草地、</w:t>
      </w:r>
      <w:r>
        <w:rPr>
          <w:rFonts w:hint="default" w:ascii="Times New Roman" w:hAnsi="Times New Roman" w:eastAsia="宋体" w:cs="Times New Roman"/>
          <w:color w:val="auto"/>
          <w:highlight w:val="none"/>
          <w:lang w:eastAsia="zh-CN"/>
        </w:rPr>
        <w:t>耕地</w:t>
      </w:r>
      <w:r>
        <w:rPr>
          <w:rFonts w:hint="default" w:ascii="Times New Roman" w:hAnsi="Times New Roman" w:eastAsia="宋体" w:cs="Times New Roman"/>
          <w:color w:val="auto"/>
          <w:highlight w:val="none"/>
        </w:rPr>
        <w:t>及设施农用地为主，5km范围内的环境敏感目标主要为村庄及散户居民，人口总数小于1万人；500m范围内人口数小于500人。</w:t>
      </w:r>
    </w:p>
    <w:p w14:paraId="02DC360D">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建设项目环境风险评价技术导则》（HJ169-2018）附录D表D.6地下水功能敏感性分区，本项目2.5km范围内无集中式饮用水水源准保护区及补给径流区；未划定准保护区的集中式饮用水水源，其保护区以外的补给径流区；6k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范围内分布有居民饮用水井，因此项目地下水环境敏感程度为较敏感区域。</w:t>
      </w:r>
    </w:p>
    <w:p w14:paraId="652B40C4">
      <w:pPr>
        <w:pStyle w:val="3"/>
        <w:pageBreakBefore w:val="0"/>
        <w:widowControl w:val="0"/>
        <w:kinsoku/>
        <w:wordWrap/>
        <w:topLinePunct/>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515" w:name="_Toc32428"/>
      <w:r>
        <w:rPr>
          <w:rFonts w:hint="default" w:ascii="Times New Roman" w:hAnsi="Times New Roman" w:eastAsia="宋体" w:cs="Times New Roman"/>
          <w:color w:val="auto"/>
          <w:highlight w:val="none"/>
        </w:rPr>
        <w:t>6.3</w:t>
      </w:r>
      <w:bookmarkEnd w:id="513"/>
      <w:bookmarkEnd w:id="514"/>
      <w:bookmarkStart w:id="516" w:name="_Toc17106560"/>
      <w:bookmarkStart w:id="517" w:name="_Toc16112"/>
      <w:r>
        <w:rPr>
          <w:rFonts w:hint="default" w:ascii="Times New Roman" w:hAnsi="Times New Roman" w:eastAsia="宋体" w:cs="Times New Roman"/>
          <w:color w:val="auto"/>
          <w:highlight w:val="none"/>
        </w:rPr>
        <w:t>评价等级划分及评价范围</w:t>
      </w:r>
      <w:bookmarkEnd w:id="515"/>
    </w:p>
    <w:p w14:paraId="4E269105">
      <w:pPr>
        <w:pStyle w:val="5"/>
        <w:pageBreakBefore w:val="0"/>
        <w:widowControl w:val="0"/>
        <w:kinsoku/>
        <w:wordWrap/>
        <w:topLinePunct/>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518" w:name="_Toc30001"/>
      <w:r>
        <w:rPr>
          <w:rFonts w:hint="default" w:ascii="Times New Roman" w:hAnsi="Times New Roman" w:eastAsia="宋体" w:cs="Times New Roman"/>
          <w:color w:val="auto"/>
          <w:highlight w:val="none"/>
        </w:rPr>
        <w:t>6.3.1危险物质及工艺系统危险性（P）的分级确定</w:t>
      </w:r>
      <w:bookmarkEnd w:id="516"/>
      <w:bookmarkEnd w:id="517"/>
      <w:bookmarkEnd w:id="518"/>
    </w:p>
    <w:p w14:paraId="18825303">
      <w:pPr>
        <w:pageBreakBefore w:val="0"/>
        <w:widowControl w:val="0"/>
        <w:kinsoku/>
        <w:wordWrap/>
        <w:overflowPunct w:val="0"/>
        <w:topLinePunct/>
        <w:autoSpaceDE/>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危险物质数量与临界量比值（Q）</w:t>
      </w:r>
    </w:p>
    <w:p w14:paraId="5DDF8B65">
      <w:pPr>
        <w:pageBreakBefore w:val="0"/>
        <w:widowControl w:val="0"/>
        <w:kinsoku/>
        <w:wordWrap/>
        <w:overflowPunct w:val="0"/>
        <w:topLinePunct/>
        <w:autoSpaceDE/>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根据《建设项目环境风险评价技术导则》（HJ169-2018）附录B，本项目涉及的危险物质在厂界内的最大存在总量与附录B中对应临界量的比值情况。</w:t>
      </w:r>
    </w:p>
    <w:p w14:paraId="53127EFA">
      <w:pPr>
        <w:pageBreakBefore w:val="0"/>
        <w:widowControl w:val="0"/>
        <w:kinsoku/>
        <w:wordWrap/>
        <w:overflowPunct w:val="0"/>
        <w:topLinePunct/>
        <w:autoSpaceDE/>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涉及多种危险物质，按下式计算物质总量与其临界量比值（Q）。</w:t>
      </w:r>
    </w:p>
    <w:p w14:paraId="3835FF06">
      <w:pPr>
        <w:pageBreakBefore w:val="0"/>
        <w:widowControl w:val="0"/>
        <w:kinsoku/>
        <w:wordWrap/>
        <w:overflowPunct w:val="0"/>
        <w:topLinePunct/>
        <w:autoSpaceDE/>
        <w:bidi w:val="0"/>
        <w:snapToGrid w:val="0"/>
        <w:spacing w:line="360" w:lineRule="auto"/>
        <w:ind w:left="0" w:leftChars="0" w:right="0" w:righ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1440815" cy="43116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1440815" cy="431165"/>
                    </a:xfrm>
                    <a:prstGeom prst="rect">
                      <a:avLst/>
                    </a:prstGeom>
                    <a:noFill/>
                    <a:ln>
                      <a:noFill/>
                    </a:ln>
                  </pic:spPr>
                </pic:pic>
              </a:graphicData>
            </a:graphic>
          </wp:inline>
        </w:drawing>
      </w:r>
    </w:p>
    <w:p w14:paraId="246FB7E4">
      <w:pPr>
        <w:pageBreakBefore w:val="0"/>
        <w:widowControl w:val="0"/>
        <w:kinsoku/>
        <w:wordWrap/>
        <w:overflowPunct w:val="0"/>
        <w:topLinePunct/>
        <w:autoSpaceDE/>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p>
    <w:p w14:paraId="50C87DF0">
      <w:pPr>
        <w:pageBreakBefore w:val="0"/>
        <w:widowControl w:val="0"/>
        <w:kinsoku/>
        <w:wordWrap/>
        <w:overflowPunct w:val="0"/>
        <w:topLinePunct/>
        <w:autoSpaceDE/>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vertAlign w:val="subscript"/>
        </w:rPr>
        <w:t>1</w:t>
      </w: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vertAlign w:val="subscript"/>
        </w:rPr>
        <w:t>n</w:t>
      </w:r>
      <w:r>
        <w:rPr>
          <w:rFonts w:hint="default" w:ascii="Times New Roman" w:hAnsi="Times New Roman" w:eastAsia="宋体" w:cs="Times New Roman"/>
          <w:color w:val="auto"/>
          <w:highlight w:val="none"/>
        </w:rPr>
        <w:t>——每种危险物质的最大存在总量，t；</w:t>
      </w:r>
    </w:p>
    <w:p w14:paraId="0EADDF4A">
      <w:pPr>
        <w:pageBreakBefore w:val="0"/>
        <w:widowControl w:val="0"/>
        <w:kinsoku/>
        <w:wordWrap/>
        <w:overflowPunct w:val="0"/>
        <w:topLinePunct/>
        <w:autoSpaceDE/>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vertAlign w:val="subscript"/>
        </w:rPr>
        <w:t>1</w:t>
      </w: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vertAlign w:val="subscript"/>
        </w:rPr>
        <w:t>n</w:t>
      </w:r>
      <w:r>
        <w:rPr>
          <w:rFonts w:hint="default" w:ascii="Times New Roman" w:hAnsi="Times New Roman" w:eastAsia="宋体" w:cs="Times New Roman"/>
          <w:color w:val="auto"/>
          <w:highlight w:val="none"/>
        </w:rPr>
        <w:t>——每种危险物质的临界量，t。</w:t>
      </w:r>
    </w:p>
    <w:p w14:paraId="18A41D1E">
      <w:pPr>
        <w:pageBreakBefore w:val="0"/>
        <w:widowControl w:val="0"/>
        <w:kinsoku/>
        <w:wordWrap/>
        <w:overflowPunct w:val="0"/>
        <w:topLinePunct/>
        <w:autoSpaceDE/>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当Q＜1时，该项目环境风险潜势为I。</w:t>
      </w:r>
    </w:p>
    <w:p w14:paraId="7B66EE11">
      <w:pPr>
        <w:pageBreakBefore w:val="0"/>
        <w:widowControl w:val="0"/>
        <w:kinsoku/>
        <w:wordWrap/>
        <w:overflowPunct w:val="0"/>
        <w:topLinePunct/>
        <w:autoSpaceDE/>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当Q≥1时，将Q值划分为：（1）1≤Q＜10；（2）10≤Q＜100；（3）Q≥100。</w:t>
      </w:r>
    </w:p>
    <w:p w14:paraId="66CABDD5">
      <w:pPr>
        <w:pageBreakBefore w:val="0"/>
        <w:widowControl w:val="0"/>
        <w:kinsoku/>
        <w:wordWrap/>
        <w:overflowPunct w:val="0"/>
        <w:topLinePunct/>
        <w:autoSpaceDE/>
        <w:bidi w:val="0"/>
        <w:snapToGrid w:val="0"/>
        <w:spacing w:line="360" w:lineRule="auto"/>
        <w:ind w:left="0" w:leftChars="0" w:right="0" w:rightChars="0" w:firstLine="480"/>
        <w:rPr>
          <w:rFonts w:hint="default" w:ascii="Times New Roman" w:hAnsi="Times New Roman" w:eastAsia="宋体" w:cs="Times New Roman"/>
          <w:color w:val="FF0000"/>
          <w:highlight w:val="none"/>
          <w:lang w:val="en-US" w:eastAsia="zh-CN"/>
        </w:rPr>
      </w:pPr>
      <w:r>
        <w:rPr>
          <w:rFonts w:hint="default" w:ascii="Times New Roman" w:hAnsi="Times New Roman" w:eastAsia="宋体" w:cs="Times New Roman"/>
          <w:color w:val="FF0000"/>
          <w:highlight w:val="none"/>
        </w:rPr>
        <w:t>危险废物主要为少量</w:t>
      </w:r>
      <w:r>
        <w:rPr>
          <w:rFonts w:hint="default" w:ascii="Times New Roman" w:hAnsi="Times New Roman" w:eastAsia="宋体" w:cs="Times New Roman"/>
          <w:color w:val="FF0000"/>
          <w:highlight w:val="none"/>
          <w:lang w:eastAsia="zh-CN"/>
        </w:rPr>
        <w:t>医疗垃圾、</w:t>
      </w:r>
      <w:r>
        <w:rPr>
          <w:rFonts w:hint="default" w:ascii="Times New Roman" w:hAnsi="Times New Roman" w:eastAsia="宋体" w:cs="Times New Roman"/>
          <w:color w:val="0000FF"/>
          <w:highlight w:val="none"/>
          <w:lang w:eastAsia="zh-CN"/>
        </w:rPr>
        <w:t>消毒用酒精</w:t>
      </w:r>
      <w:r>
        <w:rPr>
          <w:rFonts w:hint="default" w:ascii="Times New Roman" w:hAnsi="Times New Roman" w:eastAsia="宋体" w:cs="Times New Roman"/>
          <w:color w:val="FF0000"/>
          <w:highlight w:val="none"/>
        </w:rPr>
        <w:t>，对照附录B2，</w:t>
      </w:r>
      <w:r>
        <w:rPr>
          <w:rFonts w:hint="default" w:ascii="Times New Roman" w:hAnsi="Times New Roman" w:eastAsia="宋体" w:cs="Times New Roman"/>
          <w:color w:val="FF0000"/>
          <w:highlight w:val="none"/>
          <w:lang w:eastAsia="zh-CN"/>
        </w:rPr>
        <w:t>医疗垃圾</w:t>
      </w:r>
      <w:r>
        <w:rPr>
          <w:rFonts w:hint="default" w:ascii="Times New Roman" w:hAnsi="Times New Roman" w:eastAsia="宋体" w:cs="Times New Roman"/>
          <w:color w:val="FF0000"/>
          <w:highlight w:val="none"/>
        </w:rPr>
        <w:t>属于健康危险急性毒性物质，临界量为5t</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0000FF"/>
          <w:highlight w:val="none"/>
          <w:lang w:eastAsia="zh-CN"/>
        </w:rPr>
        <w:t>消毒用酒精</w:t>
      </w:r>
      <w:r>
        <w:rPr>
          <w:rFonts w:hint="default" w:ascii="Times New Roman" w:hAnsi="Times New Roman" w:eastAsia="宋体" w:cs="Times New Roman"/>
          <w:color w:val="0000FF"/>
          <w:highlight w:val="none"/>
          <w:lang w:val="en-US" w:eastAsia="zh-CN"/>
        </w:rPr>
        <w:t>无</w:t>
      </w:r>
      <w:r>
        <w:rPr>
          <w:rFonts w:hint="default" w:ascii="Times New Roman" w:hAnsi="Times New Roman" w:eastAsia="宋体" w:cs="Times New Roman"/>
          <w:color w:val="FF0000"/>
          <w:highlight w:val="none"/>
        </w:rPr>
        <w:t>临界量</w:t>
      </w:r>
      <w:r>
        <w:rPr>
          <w:rFonts w:hint="default" w:ascii="Times New Roman" w:hAnsi="Times New Roman" w:eastAsia="宋体" w:cs="Times New Roman"/>
          <w:color w:val="FF0000"/>
          <w:highlight w:val="none"/>
          <w:lang w:val="en-US" w:eastAsia="zh-CN"/>
        </w:rPr>
        <w:t>。</w:t>
      </w:r>
    </w:p>
    <w:p w14:paraId="78D8921A">
      <w:pPr>
        <w:pageBreakBefore w:val="0"/>
        <w:widowControl w:val="0"/>
        <w:kinsoku/>
        <w:wordWrap/>
        <w:overflowPunct w:val="0"/>
        <w:topLinePunct/>
        <w:autoSpaceDE/>
        <w:bidi w:val="0"/>
        <w:snapToGrid w:val="0"/>
        <w:spacing w:line="360" w:lineRule="auto"/>
        <w:ind w:left="0" w:leftChars="0" w:right="0" w:rightChars="0" w:firstLine="480"/>
        <w:rPr>
          <w:rFonts w:hint="default" w:ascii="Times New Roman" w:hAnsi="Times New Roman" w:eastAsia="宋体" w:cs="Times New Roman"/>
          <w:color w:val="auto"/>
          <w:highlight w:val="none"/>
          <w:shd w:val="clear" w:color="auto" w:fill="FFFFFF"/>
        </w:rPr>
      </w:pPr>
      <w:r>
        <w:rPr>
          <w:rFonts w:hint="default" w:ascii="Times New Roman" w:hAnsi="Times New Roman" w:eastAsia="宋体" w:cs="Times New Roman"/>
          <w:color w:val="FF0000"/>
          <w:highlight w:val="none"/>
          <w:lang w:val="en-US" w:eastAsia="zh-CN"/>
        </w:rPr>
        <w:t>因此，</w:t>
      </w:r>
      <w:r>
        <w:rPr>
          <w:rFonts w:hint="default" w:ascii="Times New Roman" w:hAnsi="Times New Roman" w:eastAsia="宋体" w:cs="Times New Roman"/>
          <w:color w:val="FF0000"/>
          <w:highlight w:val="none"/>
          <w:lang w:eastAsia="zh-CN"/>
        </w:rPr>
        <w:t>医疗垃圾</w:t>
      </w:r>
      <w:r>
        <w:rPr>
          <w:rFonts w:hint="default" w:ascii="Times New Roman" w:hAnsi="Times New Roman" w:eastAsia="宋体" w:cs="Times New Roman"/>
          <w:color w:val="FF0000"/>
          <w:highlight w:val="none"/>
        </w:rPr>
        <w:t>年产生量0.</w:t>
      </w:r>
      <w:r>
        <w:rPr>
          <w:rFonts w:hint="default" w:ascii="Times New Roman" w:hAnsi="Times New Roman" w:eastAsia="宋体" w:cs="Times New Roman"/>
          <w:color w:val="FF0000"/>
          <w:highlight w:val="none"/>
          <w:lang w:val="en-US" w:eastAsia="zh-CN"/>
        </w:rPr>
        <w:t>2</w:t>
      </w:r>
      <w:r>
        <w:rPr>
          <w:rFonts w:hint="default" w:ascii="Times New Roman" w:hAnsi="Times New Roman" w:eastAsia="宋体" w:cs="Times New Roman"/>
          <w:color w:val="FF0000"/>
          <w:highlight w:val="none"/>
        </w:rPr>
        <w:t>5t，Q＜1，风险潜势为I。</w:t>
      </w:r>
    </w:p>
    <w:p w14:paraId="15E50707">
      <w:pPr>
        <w:pStyle w:val="5"/>
        <w:pageBreakBefore w:val="0"/>
        <w:widowControl w:val="0"/>
        <w:kinsoku/>
        <w:wordWrap/>
        <w:topLinePunct/>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519" w:name="_Toc405365980"/>
      <w:bookmarkStart w:id="520" w:name="_Toc492626842"/>
      <w:bookmarkStart w:id="521" w:name="_Toc6648"/>
      <w:bookmarkStart w:id="522" w:name="_Toc489892353"/>
      <w:bookmarkStart w:id="523" w:name="_Toc17106563"/>
      <w:bookmarkStart w:id="524" w:name="_Toc25244"/>
      <w:r>
        <w:rPr>
          <w:rFonts w:hint="default" w:ascii="Times New Roman" w:hAnsi="Times New Roman" w:eastAsia="宋体" w:cs="Times New Roman"/>
          <w:color w:val="auto"/>
          <w:highlight w:val="none"/>
        </w:rPr>
        <w:t>6.3.2环境影响评价等级</w:t>
      </w:r>
      <w:bookmarkEnd w:id="519"/>
      <w:bookmarkEnd w:id="520"/>
      <w:bookmarkEnd w:id="521"/>
      <w:bookmarkEnd w:id="522"/>
      <w:bookmarkEnd w:id="523"/>
      <w:r>
        <w:rPr>
          <w:rFonts w:hint="default" w:ascii="Times New Roman" w:hAnsi="Times New Roman" w:eastAsia="宋体" w:cs="Times New Roman"/>
          <w:color w:val="auto"/>
          <w:highlight w:val="none"/>
        </w:rPr>
        <w:t>及评价范围</w:t>
      </w:r>
      <w:bookmarkEnd w:id="524"/>
    </w:p>
    <w:p w14:paraId="36DED0AC">
      <w:pPr>
        <w:pageBreakBefore w:val="0"/>
        <w:widowControl w:val="0"/>
        <w:kinsoku/>
        <w:wordWrap/>
        <w:overflowPunct w:val="0"/>
        <w:topLinePunct/>
        <w:autoSpaceDE/>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建设项目环境风险评价技术导则》（HJ169-2018），环境风险评价工作等级划分为一级、二级、三级、简单分析。根据建设项目涉及的物质及工艺系统危险性和所在地的环境敏感性确定环境风险潜势，按照下表确定评价工作等级。</w:t>
      </w:r>
    </w:p>
    <w:p w14:paraId="43AC0947">
      <w:pPr>
        <w:pStyle w:val="7"/>
        <w:pageBreakBefore w:val="0"/>
        <w:widowControl w:val="0"/>
        <w:kinsoku/>
        <w:wordWrap/>
        <w:topLinePunct/>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表6.3-1环境风险评价工作等级划分表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0"/>
        <w:gridCol w:w="1518"/>
        <w:gridCol w:w="1793"/>
        <w:gridCol w:w="2068"/>
        <w:gridCol w:w="1518"/>
      </w:tblGrid>
      <w:tr w14:paraId="1B1BA5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12" w:type="dxa"/>
            <w:tcBorders>
              <w:top w:val="single" w:color="auto" w:sz="4" w:space="0"/>
              <w:left w:val="single" w:color="auto" w:sz="4" w:space="0"/>
            </w:tcBorders>
            <w:tcMar>
              <w:left w:w="0" w:type="dxa"/>
              <w:right w:w="0" w:type="dxa"/>
            </w:tcMar>
            <w:vAlign w:val="center"/>
          </w:tcPr>
          <w:p w14:paraId="0F1C74B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环境风险潜势</w:t>
            </w:r>
          </w:p>
        </w:tc>
        <w:tc>
          <w:tcPr>
            <w:tcW w:w="1663" w:type="dxa"/>
            <w:tcBorders>
              <w:top w:val="single" w:color="auto" w:sz="4" w:space="0"/>
            </w:tcBorders>
            <w:tcMar>
              <w:left w:w="0" w:type="dxa"/>
              <w:right w:w="0" w:type="dxa"/>
            </w:tcMar>
            <w:vAlign w:val="center"/>
          </w:tcPr>
          <w:p w14:paraId="115482E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4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lang w:eastAsia="zh-CN"/>
              </w:rPr>
              <w:t>Ⅳ</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4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lang w:eastAsia="zh-CN"/>
              </w:rPr>
              <w:t>Ⅳ</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w:t>
            </w:r>
          </w:p>
        </w:tc>
        <w:tc>
          <w:tcPr>
            <w:tcW w:w="1965" w:type="dxa"/>
            <w:tcBorders>
              <w:top w:val="single" w:color="auto" w:sz="4" w:space="0"/>
            </w:tcBorders>
            <w:tcMar>
              <w:left w:w="0" w:type="dxa"/>
              <w:right w:w="0" w:type="dxa"/>
            </w:tcMar>
            <w:vAlign w:val="center"/>
          </w:tcPr>
          <w:p w14:paraId="3F281E6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3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lang w:eastAsia="zh-CN"/>
              </w:rPr>
              <w:t>Ⅲ</w:t>
            </w:r>
            <w:r>
              <w:rPr>
                <w:rFonts w:hint="default" w:ascii="Times New Roman" w:hAnsi="Times New Roman" w:eastAsia="宋体" w:cs="Times New Roman"/>
                <w:color w:val="auto"/>
                <w:sz w:val="21"/>
                <w:szCs w:val="21"/>
                <w:highlight w:val="none"/>
              </w:rPr>
              <w:fldChar w:fldCharType="end"/>
            </w:r>
          </w:p>
        </w:tc>
        <w:tc>
          <w:tcPr>
            <w:tcW w:w="2267" w:type="dxa"/>
            <w:tcBorders>
              <w:top w:val="single" w:color="auto" w:sz="4" w:space="0"/>
            </w:tcBorders>
            <w:tcMar>
              <w:left w:w="0" w:type="dxa"/>
              <w:right w:w="0" w:type="dxa"/>
            </w:tcMar>
            <w:vAlign w:val="center"/>
          </w:tcPr>
          <w:p w14:paraId="5827059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2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lang w:eastAsia="zh-CN"/>
              </w:rPr>
              <w:t>Ⅱ</w:t>
            </w:r>
            <w:r>
              <w:rPr>
                <w:rFonts w:hint="default" w:ascii="Times New Roman" w:hAnsi="Times New Roman" w:eastAsia="宋体" w:cs="Times New Roman"/>
                <w:color w:val="auto"/>
                <w:sz w:val="21"/>
                <w:szCs w:val="21"/>
                <w:highlight w:val="none"/>
              </w:rPr>
              <w:fldChar w:fldCharType="end"/>
            </w:r>
          </w:p>
        </w:tc>
        <w:tc>
          <w:tcPr>
            <w:tcW w:w="1663" w:type="dxa"/>
            <w:tcBorders>
              <w:top w:val="single" w:color="auto" w:sz="4" w:space="0"/>
              <w:right w:val="single" w:color="auto" w:sz="4" w:space="0"/>
            </w:tcBorders>
            <w:tcMar>
              <w:left w:w="0" w:type="dxa"/>
              <w:right w:w="0" w:type="dxa"/>
            </w:tcMar>
            <w:vAlign w:val="center"/>
          </w:tcPr>
          <w:p w14:paraId="5938CFE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1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z w:val="21"/>
                <w:szCs w:val="21"/>
                <w:highlight w:val="none"/>
              </w:rPr>
              <w:fldChar w:fldCharType="end"/>
            </w:r>
          </w:p>
        </w:tc>
      </w:tr>
      <w:tr w14:paraId="1B8231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12" w:type="dxa"/>
            <w:tcBorders>
              <w:left w:val="single" w:color="auto" w:sz="4" w:space="0"/>
            </w:tcBorders>
            <w:tcMar>
              <w:left w:w="0" w:type="dxa"/>
              <w:right w:w="0" w:type="dxa"/>
            </w:tcMar>
            <w:vAlign w:val="center"/>
          </w:tcPr>
          <w:p w14:paraId="6A5757D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评价工作等级</w:t>
            </w:r>
          </w:p>
        </w:tc>
        <w:tc>
          <w:tcPr>
            <w:tcW w:w="1663" w:type="dxa"/>
            <w:tcMar>
              <w:left w:w="0" w:type="dxa"/>
              <w:right w:w="0" w:type="dxa"/>
            </w:tcMar>
            <w:vAlign w:val="center"/>
          </w:tcPr>
          <w:p w14:paraId="2008D63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w:t>
            </w:r>
          </w:p>
        </w:tc>
        <w:tc>
          <w:tcPr>
            <w:tcW w:w="1965" w:type="dxa"/>
            <w:tcMar>
              <w:left w:w="0" w:type="dxa"/>
              <w:right w:w="0" w:type="dxa"/>
            </w:tcMar>
            <w:vAlign w:val="center"/>
          </w:tcPr>
          <w:p w14:paraId="4F87601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w:t>
            </w:r>
          </w:p>
        </w:tc>
        <w:tc>
          <w:tcPr>
            <w:tcW w:w="2267" w:type="dxa"/>
            <w:tcMar>
              <w:left w:w="0" w:type="dxa"/>
              <w:right w:w="0" w:type="dxa"/>
            </w:tcMar>
            <w:vAlign w:val="center"/>
          </w:tcPr>
          <w:p w14:paraId="4C77C69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w:t>
            </w:r>
          </w:p>
        </w:tc>
        <w:tc>
          <w:tcPr>
            <w:tcW w:w="1663" w:type="dxa"/>
            <w:tcBorders>
              <w:right w:val="single" w:color="auto" w:sz="4" w:space="0"/>
            </w:tcBorders>
            <w:tcMar>
              <w:left w:w="0" w:type="dxa"/>
              <w:right w:w="0" w:type="dxa"/>
            </w:tcMar>
            <w:vAlign w:val="center"/>
          </w:tcPr>
          <w:p w14:paraId="16EEF4F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简单分析</w:t>
            </w:r>
          </w:p>
        </w:tc>
      </w:tr>
      <w:tr w14:paraId="0754B1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70" w:type="dxa"/>
            <w:gridSpan w:val="5"/>
            <w:tcBorders>
              <w:left w:val="single" w:color="auto" w:sz="4" w:space="0"/>
              <w:bottom w:val="single" w:color="auto" w:sz="4" w:space="0"/>
              <w:right w:val="single" w:color="auto" w:sz="4" w:space="0"/>
            </w:tcBorders>
            <w:tcMar>
              <w:left w:w="0" w:type="dxa"/>
              <w:right w:w="0" w:type="dxa"/>
            </w:tcMar>
            <w:vAlign w:val="center"/>
          </w:tcPr>
          <w:p w14:paraId="4545510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简单分析是相对于详细评价工作内容而言，在描述危险物质、环境影响途径、环境危害后果、风险防范措施等方面给出定性的说明</w:t>
            </w:r>
          </w:p>
        </w:tc>
      </w:tr>
      <w:bookmarkEnd w:id="506"/>
    </w:tbl>
    <w:p w14:paraId="0DC8BCCB">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上表可知，本项目环境风险潜势I级，本次环境风险评价等级为简单分析，不设评价范围。根据《建设项目环境风险评价技术导则》（HJ169-2018）简单分析是相对于详细评价工作内容而言，在描述危险物质、环境影响途径、环境危害后果、风险防范措施等方面给出定性的说明。</w:t>
      </w:r>
    </w:p>
    <w:p w14:paraId="454180B4">
      <w:pPr>
        <w:pStyle w:val="3"/>
        <w:pageBreakBefore w:val="0"/>
        <w:widowControl w:val="0"/>
        <w:kinsoku/>
        <w:wordWrap/>
        <w:topLinePunct/>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525" w:name="_Toc13980"/>
      <w:r>
        <w:rPr>
          <w:rFonts w:hint="default" w:ascii="Times New Roman" w:hAnsi="Times New Roman" w:eastAsia="宋体" w:cs="Times New Roman"/>
          <w:color w:val="auto"/>
          <w:highlight w:val="none"/>
        </w:rPr>
        <w:t>6.4环境风险分析</w:t>
      </w:r>
      <w:bookmarkEnd w:id="525"/>
    </w:p>
    <w:p w14:paraId="1BC424BF">
      <w:pPr>
        <w:pStyle w:val="5"/>
        <w:pageBreakBefore w:val="0"/>
        <w:widowControl w:val="0"/>
        <w:kinsoku/>
        <w:wordWrap/>
        <w:topLinePunct/>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526" w:name="_Toc489892348"/>
      <w:bookmarkStart w:id="527" w:name="_Toc17106565"/>
      <w:bookmarkStart w:id="528" w:name="_Toc919"/>
      <w:bookmarkStart w:id="529" w:name="_Toc405365975"/>
      <w:bookmarkStart w:id="530" w:name="_Toc30789"/>
      <w:bookmarkStart w:id="531" w:name="_Toc492626837"/>
      <w:r>
        <w:rPr>
          <w:rFonts w:hint="default" w:ascii="Times New Roman" w:hAnsi="Times New Roman" w:eastAsia="宋体" w:cs="Times New Roman"/>
          <w:color w:val="auto"/>
          <w:highlight w:val="none"/>
        </w:rPr>
        <w:t>6.4.1物质危险性识别</w:t>
      </w:r>
      <w:bookmarkEnd w:id="526"/>
      <w:bookmarkEnd w:id="527"/>
      <w:bookmarkEnd w:id="528"/>
      <w:bookmarkEnd w:id="529"/>
      <w:bookmarkEnd w:id="530"/>
      <w:bookmarkEnd w:id="531"/>
    </w:p>
    <w:p w14:paraId="10D0A8D2">
      <w:pPr>
        <w:pageBreakBefore w:val="0"/>
        <w:widowControl w:val="0"/>
        <w:kinsoku/>
        <w:wordWrap/>
        <w:overflowPunct w:val="0"/>
        <w:topLinePunct/>
        <w:autoSpaceDE/>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FF0000"/>
          <w:highlight w:val="none"/>
        </w:rPr>
        <w:t>本项目生产、使用、储存过程原辅料为精饲料、草料、青贮饲料、产品为肉牛不涉及《建设项目环境风险评价技术导则》（HJ169-2018）附录B1中的“有毒有害、易燃易爆物质”的使用和储存；养殖区、</w:t>
      </w:r>
      <w:r>
        <w:rPr>
          <w:rFonts w:hint="default" w:ascii="Times New Roman" w:hAnsi="Times New Roman" w:eastAsia="宋体" w:cs="Times New Roman"/>
          <w:color w:val="FF0000"/>
          <w:highlight w:val="none"/>
          <w:lang w:eastAsia="zh-CN"/>
        </w:rPr>
        <w:t>粪污处理池</w:t>
      </w:r>
      <w:r>
        <w:rPr>
          <w:rFonts w:hint="default" w:ascii="Times New Roman" w:hAnsi="Times New Roman" w:eastAsia="宋体" w:cs="Times New Roman"/>
          <w:color w:val="FF0000"/>
          <w:highlight w:val="none"/>
        </w:rPr>
        <w:t>臭气（主要成分NH</w:t>
      </w:r>
      <w:r>
        <w:rPr>
          <w:rFonts w:hint="default" w:ascii="Times New Roman" w:hAnsi="Times New Roman" w:eastAsia="宋体" w:cs="Times New Roman"/>
          <w:color w:val="FF0000"/>
          <w:highlight w:val="none"/>
          <w:vertAlign w:val="subscript"/>
        </w:rPr>
        <w:t>3</w:t>
      </w:r>
      <w:r>
        <w:rPr>
          <w:rFonts w:hint="default" w:ascii="Times New Roman" w:hAnsi="Times New Roman" w:eastAsia="宋体" w:cs="Times New Roman"/>
          <w:color w:val="FF0000"/>
          <w:highlight w:val="none"/>
        </w:rPr>
        <w:t>、H</w:t>
      </w:r>
      <w:r>
        <w:rPr>
          <w:rFonts w:hint="default" w:ascii="Times New Roman" w:hAnsi="Times New Roman" w:eastAsia="宋体" w:cs="Times New Roman"/>
          <w:color w:val="FF0000"/>
          <w:highlight w:val="none"/>
          <w:vertAlign w:val="subscript"/>
        </w:rPr>
        <w:t>2</w:t>
      </w:r>
      <w:r>
        <w:rPr>
          <w:rFonts w:hint="default" w:ascii="Times New Roman" w:hAnsi="Times New Roman" w:eastAsia="宋体" w:cs="Times New Roman"/>
          <w:color w:val="FF0000"/>
          <w:highlight w:val="none"/>
        </w:rPr>
        <w:t>S）以无组织形式排放；青贮渗滤液经收集池收集，最终拌入饲料供牛食用；危险废物主要为少量</w:t>
      </w:r>
      <w:r>
        <w:rPr>
          <w:rFonts w:hint="default" w:ascii="Times New Roman" w:hAnsi="Times New Roman" w:eastAsia="宋体" w:cs="Times New Roman"/>
          <w:color w:val="FF0000"/>
          <w:highlight w:val="none"/>
          <w:lang w:eastAsia="zh-CN"/>
        </w:rPr>
        <w:t>医疗垃圾</w:t>
      </w:r>
      <w:r>
        <w:rPr>
          <w:rFonts w:hint="default" w:ascii="Times New Roman" w:hAnsi="Times New Roman" w:eastAsia="宋体" w:cs="Times New Roman"/>
          <w:color w:val="FF0000"/>
          <w:highlight w:val="none"/>
        </w:rPr>
        <w:t>，对照附录B2，属于健康危险急性毒性物质</w:t>
      </w:r>
      <w:r>
        <w:rPr>
          <w:rFonts w:hint="default" w:ascii="Times New Roman" w:hAnsi="Times New Roman" w:eastAsia="宋体" w:cs="Times New Roman"/>
          <w:color w:val="auto"/>
          <w:highlight w:val="none"/>
        </w:rPr>
        <w:t>。</w:t>
      </w:r>
    </w:p>
    <w:p w14:paraId="574ACA1B">
      <w:pPr>
        <w:pStyle w:val="5"/>
        <w:pageBreakBefore w:val="0"/>
        <w:widowControl w:val="0"/>
        <w:kinsoku/>
        <w:wordWrap/>
        <w:topLinePunct/>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532" w:name="_Toc764"/>
      <w:bookmarkStart w:id="533" w:name="_Toc17106568"/>
      <w:bookmarkStart w:id="534" w:name="_Toc19642"/>
      <w:r>
        <w:rPr>
          <w:rFonts w:hint="default" w:ascii="Times New Roman" w:hAnsi="Times New Roman" w:eastAsia="宋体" w:cs="Times New Roman"/>
          <w:color w:val="auto"/>
          <w:highlight w:val="none"/>
        </w:rPr>
        <w:t>6.4.2生产系统危险性识别</w:t>
      </w:r>
      <w:bookmarkEnd w:id="532"/>
    </w:p>
    <w:p w14:paraId="13C21206">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bookmarkStart w:id="535" w:name="_Toc18033"/>
      <w:r>
        <w:rPr>
          <w:rFonts w:hint="default" w:ascii="Times New Roman" w:hAnsi="Times New Roman" w:eastAsia="宋体" w:cs="Times New Roman"/>
          <w:color w:val="auto"/>
          <w:highlight w:val="none"/>
        </w:rPr>
        <w:t>污染单元</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的硬化地面、防渗设</w:t>
      </w:r>
      <w:r>
        <w:rPr>
          <w:rFonts w:hint="default" w:ascii="Times New Roman" w:hAnsi="Times New Roman" w:eastAsia="宋体" w:cs="Times New Roman"/>
          <w:color w:val="auto"/>
          <w:highlight w:val="none"/>
          <w:lang w:eastAsia="zh-CN"/>
        </w:rPr>
        <w:t>施</w:t>
      </w:r>
      <w:r>
        <w:rPr>
          <w:rFonts w:hint="default" w:ascii="Times New Roman" w:hAnsi="Times New Roman" w:eastAsia="宋体" w:cs="Times New Roman"/>
          <w:color w:val="auto"/>
          <w:highlight w:val="none"/>
        </w:rPr>
        <w:t>出现破损，出现污水渗漏的情况。</w:t>
      </w:r>
    </w:p>
    <w:p w14:paraId="73C0CBA7">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针对养殖企业的一些养殖区、</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等场地发生硬化面破损，即使物料或</w:t>
      </w:r>
      <w:r>
        <w:rPr>
          <w:rFonts w:hint="default" w:ascii="Times New Roman" w:hAnsi="Times New Roman" w:eastAsia="宋体" w:cs="Times New Roman"/>
          <w:color w:val="auto"/>
          <w:highlight w:val="none"/>
          <w:lang w:eastAsia="zh-CN"/>
        </w:rPr>
        <w:t>尿液</w:t>
      </w:r>
      <w:r>
        <w:rPr>
          <w:rFonts w:hint="default" w:ascii="Times New Roman" w:hAnsi="Times New Roman" w:eastAsia="宋体" w:cs="Times New Roman"/>
          <w:color w:val="auto"/>
          <w:highlight w:val="none"/>
        </w:rPr>
        <w:t>等泄漏，对地下水造成潜在危害这一现象，按照目前的管理规范，必须及时采取措施，防止物料或污水漫流渗漏，且在建设中，应针对不同区域采取相应的防治措施。对于泄漏初期短时间物料暴露而污染的少量土壤，则会通过挖出进行处置，以免其渗入地下水。</w:t>
      </w:r>
    </w:p>
    <w:p w14:paraId="5C44950C">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在项目</w:t>
      </w:r>
      <w:r>
        <w:rPr>
          <w:rFonts w:hint="default" w:ascii="Times New Roman" w:hAnsi="Times New Roman" w:eastAsia="宋体" w:cs="Times New Roman"/>
          <w:color w:val="auto"/>
          <w:highlight w:val="none"/>
          <w:lang w:eastAsia="zh-CN"/>
        </w:rPr>
        <w:t>化粪池</w:t>
      </w:r>
      <w:r>
        <w:rPr>
          <w:rFonts w:hint="default" w:ascii="Times New Roman" w:hAnsi="Times New Roman" w:eastAsia="宋体" w:cs="Times New Roman"/>
          <w:color w:val="auto"/>
          <w:highlight w:val="none"/>
        </w:rPr>
        <w:t>等污染单元等这些半地下水非可视部位发生渗漏时，才可能有污染物通过漏点，逐步渗入包气带并可能进入地下水。</w:t>
      </w:r>
    </w:p>
    <w:p w14:paraId="5E99FBA3">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由地下水预测结果可知，在发生意外泄漏事故的情况下，在非正常情况下，污染物泄漏量增加，但只要防渗措施不出现问题，对地下水造成污染的风险较低，如果叠加出现防渗层破损情况，则对</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附近地下水造成影响，污染风险较大。由预测结果可知，增加防渗设施后能有效地降低对地下水环境的影响。因此，应对厂区内实施严格的防渗、建立完善的地下水监测系统，强化地下水应急排水措施。当发生污染物</w:t>
      </w:r>
      <w:r>
        <w:rPr>
          <w:rFonts w:hint="default" w:ascii="Times New Roman" w:hAnsi="Times New Roman" w:eastAsia="宋体" w:cs="Times New Roman"/>
          <w:color w:val="auto"/>
          <w:highlight w:val="none"/>
          <w:lang w:eastAsia="zh-CN"/>
        </w:rPr>
        <w:t>泄漏事故</w:t>
      </w:r>
      <w:r>
        <w:rPr>
          <w:rFonts w:hint="default" w:ascii="Times New Roman" w:hAnsi="Times New Roman" w:eastAsia="宋体" w:cs="Times New Roman"/>
          <w:color w:val="auto"/>
          <w:highlight w:val="none"/>
        </w:rPr>
        <w:t>后，必须立即启动应急预案，参照预测结果，分析污染事故的发展趋势，并提出下一步预防和防治措施，迅速控制或切断事件灾害链，对污水进行封闭、截流，抽出污水送污水</w:t>
      </w:r>
      <w:r>
        <w:rPr>
          <w:rFonts w:hint="default" w:ascii="Times New Roman" w:hAnsi="Times New Roman" w:eastAsia="宋体" w:cs="Times New Roman"/>
          <w:color w:val="auto"/>
          <w:highlight w:val="none"/>
          <w:lang w:eastAsia="zh-CN"/>
        </w:rPr>
        <w:t>处理厂</w:t>
      </w:r>
      <w:r>
        <w:rPr>
          <w:rFonts w:hint="default" w:ascii="Times New Roman" w:hAnsi="Times New Roman" w:eastAsia="宋体" w:cs="Times New Roman"/>
          <w:color w:val="auto"/>
          <w:highlight w:val="none"/>
        </w:rPr>
        <w:t>集中处理，使污染地下水扩散得到有效抑制，最大限度地保护下游地下水水质安全，将损失降到最低限度。根据建设项目的生产特征，结合物质危险性识别，对项目功能系统划分功能单元，确定潜在的危险单元及重点风险源。</w:t>
      </w:r>
    </w:p>
    <w:bookmarkEnd w:id="535"/>
    <w:p w14:paraId="0B4942A7">
      <w:pPr>
        <w:pStyle w:val="3"/>
        <w:pageBreakBefore w:val="0"/>
        <w:widowControl w:val="0"/>
        <w:kinsoku/>
        <w:wordWrap/>
        <w:topLinePunct/>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536" w:name="_Toc6579"/>
      <w:r>
        <w:rPr>
          <w:rFonts w:hint="default" w:ascii="Times New Roman" w:hAnsi="Times New Roman" w:eastAsia="宋体" w:cs="Times New Roman"/>
          <w:color w:val="auto"/>
          <w:highlight w:val="none"/>
        </w:rPr>
        <w:t>6.5风险事故情形分析</w:t>
      </w:r>
      <w:bookmarkEnd w:id="536"/>
    </w:p>
    <w:p w14:paraId="43F33B57">
      <w:pPr>
        <w:keepNext w:val="0"/>
        <w:keepLines w:val="0"/>
        <w:pageBreakBefore w:val="0"/>
        <w:widowControl w:val="0"/>
        <w:kinsoku/>
        <w:wordWrap/>
        <w:overflowPunct/>
        <w:topLinePunct/>
        <w:autoSpaceDE w:val="0"/>
        <w:autoSpaceDN w:val="0"/>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造成火灾的原因，纵然是多种多样的，但最本质的条件不外是可燃物、火源和足够的氧气。对</w:t>
      </w:r>
      <w:r>
        <w:rPr>
          <w:rFonts w:hint="default" w:ascii="Times New Roman" w:hAnsi="Times New Roman" w:eastAsia="宋体" w:cs="Times New Roman"/>
          <w:color w:val="auto"/>
          <w:kern w:val="0"/>
          <w:sz w:val="24"/>
          <w:szCs w:val="24"/>
          <w:highlight w:val="none"/>
          <w:lang w:eastAsia="zh-CN"/>
        </w:rPr>
        <w:t>草棚、</w:t>
      </w:r>
      <w:r>
        <w:rPr>
          <w:rFonts w:hint="default" w:ascii="Times New Roman" w:hAnsi="Times New Roman" w:eastAsia="宋体" w:cs="Times New Roman"/>
          <w:color w:val="auto"/>
          <w:highlight w:val="none"/>
        </w:rPr>
        <w:t>TMR车间</w:t>
      </w:r>
      <w:r>
        <w:rPr>
          <w:rFonts w:hint="default" w:ascii="Times New Roman" w:hAnsi="Times New Roman" w:eastAsia="宋体" w:cs="Times New Roman"/>
          <w:color w:val="auto"/>
          <w:kern w:val="0"/>
          <w:sz w:val="24"/>
          <w:szCs w:val="24"/>
          <w:highlight w:val="none"/>
        </w:rPr>
        <w:t>来说，饲料粉尘的引爆具有最大的破坏威力。</w:t>
      </w:r>
    </w:p>
    <w:p w14:paraId="40D9FE6F">
      <w:pPr>
        <w:keepNext w:val="0"/>
        <w:keepLines w:val="0"/>
        <w:pageBreakBefore w:val="0"/>
        <w:widowControl w:val="0"/>
        <w:kinsoku/>
        <w:wordWrap/>
        <w:overflowPunct/>
        <w:topLinePunct/>
        <w:autoSpaceDE w:val="0"/>
        <w:autoSpaceDN w:val="0"/>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可燃物粉尘的爆炸浓度有一个区段，不同物质粉尘的爆炸浓度有不同的上下限。粮食类粉尘的最小爆炸浓度为55g/m</w:t>
      </w:r>
      <w:r>
        <w:rPr>
          <w:rFonts w:hint="default" w:ascii="Times New Roman" w:hAnsi="Times New Roman" w:eastAsia="宋体" w:cs="Times New Roman"/>
          <w:color w:val="auto"/>
          <w:kern w:val="0"/>
          <w:sz w:val="24"/>
          <w:szCs w:val="24"/>
          <w:highlight w:val="none"/>
          <w:vertAlign w:val="superscript"/>
        </w:rPr>
        <w:t>3</w:t>
      </w:r>
      <w:r>
        <w:rPr>
          <w:rFonts w:hint="default" w:ascii="Times New Roman" w:hAnsi="Times New Roman" w:eastAsia="宋体" w:cs="Times New Roman"/>
          <w:color w:val="auto"/>
          <w:kern w:val="0"/>
          <w:sz w:val="24"/>
          <w:szCs w:val="24"/>
          <w:highlight w:val="none"/>
        </w:rPr>
        <w:t>左右，最大爆炸压力约9.2kg/cm</w:t>
      </w:r>
      <w:r>
        <w:rPr>
          <w:rFonts w:hint="default" w:ascii="Times New Roman" w:hAnsi="Times New Roman" w:eastAsia="宋体" w:cs="Times New Roman"/>
          <w:color w:val="auto"/>
          <w:kern w:val="0"/>
          <w:sz w:val="24"/>
          <w:szCs w:val="24"/>
          <w:highlight w:val="none"/>
          <w:vertAlign w:val="superscript"/>
        </w:rPr>
        <w:t>3</w:t>
      </w:r>
      <w:r>
        <w:rPr>
          <w:rFonts w:hint="default" w:ascii="Times New Roman" w:hAnsi="Times New Roman" w:eastAsia="宋体" w:cs="Times New Roman"/>
          <w:color w:val="auto"/>
          <w:kern w:val="0"/>
          <w:sz w:val="24"/>
          <w:szCs w:val="24"/>
          <w:highlight w:val="none"/>
        </w:rPr>
        <w:t>左右，压力最大升高率为9.2kg/cm</w:t>
      </w:r>
      <w:r>
        <w:rPr>
          <w:rFonts w:hint="default" w:ascii="Times New Roman" w:hAnsi="Times New Roman" w:eastAsia="宋体" w:cs="Times New Roman"/>
          <w:color w:val="auto"/>
          <w:kern w:val="0"/>
          <w:sz w:val="24"/>
          <w:szCs w:val="24"/>
          <w:highlight w:val="none"/>
          <w:vertAlign w:val="superscript"/>
        </w:rPr>
        <w:t>2</w:t>
      </w:r>
      <w:r>
        <w:rPr>
          <w:rFonts w:hint="default" w:ascii="Times New Roman" w:hAnsi="Times New Roman" w:eastAsia="宋体" w:cs="Times New Roman"/>
          <w:color w:val="auto"/>
          <w:kern w:val="0"/>
          <w:sz w:val="24"/>
          <w:szCs w:val="24"/>
          <w:highlight w:val="none"/>
        </w:rPr>
        <w:t>s，燃点大约为400~600℃，最小点火能量40~160mJ。</w:t>
      </w:r>
    </w:p>
    <w:p w14:paraId="66D1AFC4">
      <w:pPr>
        <w:keepNext w:val="0"/>
        <w:keepLines w:val="0"/>
        <w:pageBreakBefore w:val="0"/>
        <w:widowControl w:val="0"/>
        <w:kinsoku/>
        <w:wordWrap/>
        <w:overflowPunct/>
        <w:topLinePunct/>
        <w:autoSpaceDE w:val="0"/>
        <w:autoSpaceDN w:val="0"/>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火源常见的有：摩擦过热，金属撞击火花，静电放电，电器触头闪火，灯具积尘燃烧，积粮自燃，以及外来明火等。</w:t>
      </w:r>
    </w:p>
    <w:p w14:paraId="3993950E">
      <w:pPr>
        <w:keepNext w:val="0"/>
        <w:keepLines w:val="0"/>
        <w:pageBreakBefore w:val="0"/>
        <w:widowControl w:val="0"/>
        <w:kinsoku/>
        <w:wordWrap/>
        <w:overflowPunct/>
        <w:topLinePunct/>
        <w:autoSpaceDE w:val="0"/>
        <w:autoSpaceDN w:val="0"/>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建设单位应严格按照国家规范的要求进行设计和建设。在设计和建设过程中要严格按照现行的消防技术规范和标准进行设计、施工。充分考虑建筑物的总体布局、耐火等级、防火间距、防火分区和防火分隔措施，根据仓库的使用性质按规范要求设置火灾自动报警、自动灭火设施，从本质上防止火灾发生和控制灾害的发展。在设计过程中，着眼于物资储存量大和一旦发生火灾就有发生重大火灾的可能，重点规划布置库区的防火间距、消防车道、堆垛组距、垛距等安全间距。同时项目在设计过程中工艺和装置系统应考虑以下方面措施：</w:t>
      </w:r>
    </w:p>
    <w:p w14:paraId="1EB65A31">
      <w:pPr>
        <w:keepNext w:val="0"/>
        <w:keepLines w:val="0"/>
        <w:pageBreakBefore w:val="0"/>
        <w:widowControl w:val="0"/>
        <w:kinsoku/>
        <w:wordWrap/>
        <w:overflowPunct/>
        <w:topLinePunct/>
        <w:autoSpaceDE w:val="0"/>
        <w:autoSpaceDN w:val="0"/>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（1）饲料搅拌设备要有灵敏度高的过载保护装置，料位自动监视、自动停车、自动切换等控制系统和显示报警装置。</w:t>
      </w:r>
    </w:p>
    <w:p w14:paraId="360FECF6">
      <w:pPr>
        <w:keepNext w:val="0"/>
        <w:keepLines w:val="0"/>
        <w:pageBreakBefore w:val="0"/>
        <w:widowControl w:val="0"/>
        <w:kinsoku/>
        <w:wordWrap/>
        <w:overflowPunct/>
        <w:topLinePunct/>
        <w:autoSpaceDE w:val="0"/>
        <w:autoSpaceDN w:val="0"/>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val="en-US" w:eastAsia="zh-CN"/>
        </w:rPr>
        <w:t>2</w:t>
      </w:r>
      <w:r>
        <w:rPr>
          <w:rFonts w:hint="default" w:ascii="Times New Roman" w:hAnsi="Times New Roman" w:eastAsia="宋体" w:cs="Times New Roman"/>
          <w:color w:val="auto"/>
          <w:kern w:val="0"/>
          <w:sz w:val="24"/>
          <w:szCs w:val="24"/>
          <w:highlight w:val="none"/>
        </w:rPr>
        <w:t>）设备布局要考虑安全通道，日常生产中要保持通道畅通。</w:t>
      </w:r>
    </w:p>
    <w:p w14:paraId="6988923E">
      <w:pPr>
        <w:keepNext w:val="0"/>
        <w:keepLines w:val="0"/>
        <w:pageBreakBefore w:val="0"/>
        <w:widowControl w:val="0"/>
        <w:kinsoku/>
        <w:wordWrap/>
        <w:overflowPunct/>
        <w:topLinePunct/>
        <w:autoSpaceDE w:val="0"/>
        <w:autoSpaceDN w:val="0"/>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val="en-US" w:eastAsia="zh-CN"/>
        </w:rPr>
        <w:t>3</w:t>
      </w:r>
      <w:r>
        <w:rPr>
          <w:rFonts w:hint="default" w:ascii="Times New Roman" w:hAnsi="Times New Roman" w:eastAsia="宋体" w:cs="Times New Roman"/>
          <w:color w:val="auto"/>
          <w:kern w:val="0"/>
          <w:sz w:val="24"/>
          <w:szCs w:val="24"/>
          <w:highlight w:val="none"/>
        </w:rPr>
        <w:t>）为防静电积聚，输送设备应接地良好。</w:t>
      </w:r>
    </w:p>
    <w:p w14:paraId="5C9C1BB1">
      <w:pPr>
        <w:keepNext w:val="0"/>
        <w:keepLines w:val="0"/>
        <w:pageBreakBefore w:val="0"/>
        <w:widowControl w:val="0"/>
        <w:kinsoku/>
        <w:wordWrap/>
        <w:overflowPunct/>
        <w:topLinePunct/>
        <w:autoSpaceDE w:val="0"/>
        <w:autoSpaceDN w:val="0"/>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rPr>
        <w:t>）电机电器和灯具要采用防尘防爆型或封闭式的。</w:t>
      </w:r>
    </w:p>
    <w:p w14:paraId="071E5FC7">
      <w:pPr>
        <w:keepNext w:val="0"/>
        <w:keepLines w:val="0"/>
        <w:pageBreakBefore w:val="0"/>
        <w:widowControl w:val="0"/>
        <w:kinsoku/>
        <w:wordWrap/>
        <w:overflowPunct/>
        <w:topLinePunct/>
        <w:autoSpaceDE w:val="0"/>
        <w:autoSpaceDN w:val="0"/>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val="en-US" w:eastAsia="zh-CN"/>
        </w:rPr>
        <w:t>5</w:t>
      </w:r>
      <w:r>
        <w:rPr>
          <w:rFonts w:hint="default" w:ascii="Times New Roman" w:hAnsi="Times New Roman" w:eastAsia="宋体" w:cs="Times New Roman"/>
          <w:color w:val="auto"/>
          <w:kern w:val="0"/>
          <w:sz w:val="24"/>
          <w:szCs w:val="24"/>
          <w:highlight w:val="none"/>
        </w:rPr>
        <w:t>）要特别注意斗式提升机的防火安全，应使料斗和皮带牢固固定，要有良好的张紧装置和过载保护，避免料斗与机壳摩擦引起火花</w:t>
      </w:r>
      <w:r>
        <w:rPr>
          <w:rFonts w:hint="default" w:ascii="Times New Roman" w:hAnsi="Times New Roman" w:eastAsia="宋体" w:cs="Times New Roman"/>
          <w:color w:val="auto"/>
          <w:kern w:val="0"/>
          <w:sz w:val="24"/>
          <w:szCs w:val="24"/>
          <w:highlight w:val="none"/>
          <w:lang w:eastAsia="zh-CN"/>
        </w:rPr>
        <w:t>。</w:t>
      </w:r>
    </w:p>
    <w:p w14:paraId="5071DEF0">
      <w:pPr>
        <w:keepNext w:val="0"/>
        <w:keepLines w:val="0"/>
        <w:pageBreakBefore w:val="0"/>
        <w:widowControl w:val="0"/>
        <w:kinsoku/>
        <w:wordWrap/>
        <w:overflowPunct/>
        <w:topLinePunct/>
        <w:autoSpaceDE w:val="0"/>
        <w:autoSpaceDN w:val="0"/>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val="en-US" w:eastAsia="zh-CN"/>
        </w:rPr>
        <w:t>6</w:t>
      </w:r>
      <w:r>
        <w:rPr>
          <w:rFonts w:hint="default" w:ascii="Times New Roman" w:hAnsi="Times New Roman" w:eastAsia="宋体" w:cs="Times New Roman"/>
          <w:color w:val="auto"/>
          <w:kern w:val="0"/>
          <w:sz w:val="24"/>
          <w:szCs w:val="24"/>
          <w:highlight w:val="none"/>
        </w:rPr>
        <w:t>）清理去杂系统要设有磁性装置，并使其经常保持有效状态。</w:t>
      </w:r>
    </w:p>
    <w:p w14:paraId="1B12351C">
      <w:pPr>
        <w:keepNext w:val="0"/>
        <w:keepLines w:val="0"/>
        <w:pageBreakBefore w:val="0"/>
        <w:widowControl w:val="0"/>
        <w:kinsoku/>
        <w:wordWrap/>
        <w:overflowPunct/>
        <w:topLinePunct/>
        <w:autoSpaceDE w:val="0"/>
        <w:autoSpaceDN w:val="0"/>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val="en-US" w:eastAsia="zh-CN"/>
        </w:rPr>
        <w:t>7</w:t>
      </w:r>
      <w:r>
        <w:rPr>
          <w:rFonts w:hint="default" w:ascii="Times New Roman" w:hAnsi="Times New Roman" w:eastAsia="宋体" w:cs="Times New Roman"/>
          <w:color w:val="auto"/>
          <w:kern w:val="0"/>
          <w:sz w:val="24"/>
          <w:szCs w:val="24"/>
          <w:highlight w:val="none"/>
        </w:rPr>
        <w:t>）整个作业区应装有疏散报警装置，使所有地方的工作人员能听到和看到信号。</w:t>
      </w:r>
    </w:p>
    <w:p w14:paraId="75263499">
      <w:pPr>
        <w:keepNext w:val="0"/>
        <w:keepLines w:val="0"/>
        <w:pageBreakBefore w:val="0"/>
        <w:widowControl w:val="0"/>
        <w:kinsoku/>
        <w:wordWrap/>
        <w:overflowPunct/>
        <w:topLinePunct/>
        <w:autoSpaceDE w:val="0"/>
        <w:bidi w:val="0"/>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val="en-US" w:eastAsia="zh-CN"/>
        </w:rPr>
        <w:t>8</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highlight w:val="none"/>
        </w:rPr>
        <w:t>TMR车间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kern w:val="0"/>
          <w:sz w:val="24"/>
          <w:szCs w:val="24"/>
          <w:highlight w:val="none"/>
          <w:lang w:eastAsia="zh-CN"/>
        </w:rPr>
        <w:t>草棚</w:t>
      </w:r>
      <w:r>
        <w:rPr>
          <w:rFonts w:hint="default" w:ascii="Times New Roman" w:hAnsi="Times New Roman" w:eastAsia="宋体" w:cs="Times New Roman"/>
          <w:color w:val="auto"/>
          <w:kern w:val="0"/>
          <w:sz w:val="24"/>
          <w:szCs w:val="24"/>
          <w:highlight w:val="none"/>
        </w:rPr>
        <w:t>及配套设施的建设应满足建筑安全、设备安全和使用安全的要求</w:t>
      </w:r>
      <w:r>
        <w:rPr>
          <w:rFonts w:hint="default" w:ascii="Times New Roman" w:hAnsi="Times New Roman" w:eastAsia="宋体" w:cs="Times New Roman"/>
          <w:color w:val="auto"/>
          <w:highlight w:val="none"/>
        </w:rPr>
        <w:t>。</w:t>
      </w:r>
    </w:p>
    <w:bookmarkEnd w:id="533"/>
    <w:bookmarkEnd w:id="534"/>
    <w:p w14:paraId="14C76980">
      <w:pPr>
        <w:pStyle w:val="3"/>
        <w:pageBreakBefore w:val="0"/>
        <w:widowControl w:val="0"/>
        <w:kinsoku/>
        <w:wordWrap/>
        <w:topLinePunct/>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537" w:name="_Toc32549"/>
      <w:r>
        <w:rPr>
          <w:rFonts w:hint="default" w:ascii="Times New Roman" w:hAnsi="Times New Roman" w:eastAsia="宋体" w:cs="Times New Roman"/>
          <w:color w:val="auto"/>
          <w:highlight w:val="none"/>
        </w:rPr>
        <w:t>6.6环境风险管理</w:t>
      </w:r>
      <w:bookmarkEnd w:id="537"/>
    </w:p>
    <w:p w14:paraId="4E268B0E">
      <w:pPr>
        <w:pStyle w:val="5"/>
        <w:pageBreakBefore w:val="0"/>
        <w:widowControl w:val="0"/>
        <w:kinsoku/>
        <w:wordWrap/>
        <w:topLinePunct/>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538" w:name="_Toc10107"/>
      <w:r>
        <w:rPr>
          <w:rFonts w:hint="default" w:ascii="Times New Roman" w:hAnsi="Times New Roman" w:eastAsia="宋体" w:cs="Times New Roman"/>
          <w:color w:val="auto"/>
          <w:highlight w:val="none"/>
        </w:rPr>
        <w:t>6.6.1环境风险防范措施</w:t>
      </w:r>
      <w:bookmarkEnd w:id="538"/>
    </w:p>
    <w:p w14:paraId="50861678">
      <w:pPr>
        <w:pStyle w:val="6"/>
        <w:pageBreakBefore w:val="0"/>
        <w:widowControl w:val="0"/>
        <w:kinsoku/>
        <w:wordWrap/>
        <w:topLinePunct/>
        <w:bidi w:val="0"/>
        <w:snapToGrid w:val="0"/>
        <w:spacing w:before="0" w:after="0" w:line="360" w:lineRule="auto"/>
        <w:ind w:left="0" w:leftChars="0" w:right="0" w:rightChars="0"/>
        <w:outlineLvl w:val="2"/>
        <w:rPr>
          <w:rFonts w:hint="default" w:ascii="Times New Roman" w:hAnsi="Times New Roman" w:eastAsia="宋体" w:cs="Times New Roman"/>
          <w:color w:val="auto"/>
          <w:highlight w:val="none"/>
        </w:rPr>
      </w:pPr>
      <w:bookmarkStart w:id="539" w:name="_Toc25636"/>
      <w:bookmarkStart w:id="540" w:name="_Toc11043"/>
      <w:r>
        <w:rPr>
          <w:rFonts w:hint="default" w:ascii="Times New Roman" w:hAnsi="Times New Roman" w:eastAsia="宋体" w:cs="Times New Roman"/>
          <w:color w:val="auto"/>
          <w:highlight w:val="none"/>
        </w:rPr>
        <w:t>6.6.1.1废水风险防范措施</w:t>
      </w:r>
      <w:bookmarkEnd w:id="539"/>
      <w:bookmarkEnd w:id="540"/>
    </w:p>
    <w:p w14:paraId="1139EBFD">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（1）设备、管道设计按有关规定留有满足要求的安全系数，均按规范进行强度实验、严密性测试和防腐措施检验；工程抗震设防烈度8度。采取符合要求的静电、雷击防护措施；</w:t>
      </w:r>
    </w:p>
    <w:p w14:paraId="43CEE5AC">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（2）养殖场的排水系统应实行雨污</w:t>
      </w:r>
      <w:r>
        <w:rPr>
          <w:rFonts w:hint="default" w:ascii="Times New Roman" w:hAnsi="Times New Roman" w:eastAsia="宋体" w:cs="Times New Roman"/>
          <w:color w:val="auto"/>
          <w:highlight w:val="none"/>
          <w:lang w:eastAsia="zh-CN"/>
        </w:rPr>
        <w:t>分流</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牛舍、</w:t>
      </w:r>
      <w:r>
        <w:rPr>
          <w:rFonts w:hint="default" w:ascii="Times New Roman" w:hAnsi="Times New Roman" w:eastAsia="宋体" w:cs="Times New Roman"/>
          <w:color w:val="auto"/>
          <w:highlight w:val="none"/>
        </w:rPr>
        <w:t>运动场、</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等构筑物周围设置截水沟，防止雨水进入造成溢流污染地下水。</w:t>
      </w:r>
    </w:p>
    <w:p w14:paraId="22EA863C">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（3）本项目</w:t>
      </w:r>
      <w:r>
        <w:rPr>
          <w:rFonts w:hint="default" w:ascii="Times New Roman" w:hAnsi="Times New Roman" w:eastAsia="宋体" w:cs="Times New Roman"/>
          <w:color w:val="auto"/>
          <w:highlight w:val="none"/>
          <w:lang w:eastAsia="zh-CN"/>
        </w:rPr>
        <w:t>危废暂存间</w:t>
      </w:r>
      <w:r>
        <w:rPr>
          <w:rFonts w:hint="default" w:ascii="Times New Roman" w:hAnsi="Times New Roman" w:eastAsia="宋体" w:cs="Times New Roman"/>
          <w:color w:val="auto"/>
          <w:highlight w:val="none"/>
        </w:rPr>
        <w:t>按照《畜禽养殖业污染治理工程技术规范》要求</w:t>
      </w:r>
      <w:r>
        <w:rPr>
          <w:rFonts w:hint="default" w:ascii="Times New Roman" w:hAnsi="Times New Roman" w:eastAsia="宋体" w:cs="Times New Roman"/>
          <w:color w:val="auto"/>
          <w:highlight w:val="none"/>
          <w:lang w:eastAsia="zh-CN"/>
        </w:rPr>
        <w:t>采取</w:t>
      </w:r>
      <w:r>
        <w:rPr>
          <w:rFonts w:hint="default" w:ascii="Times New Roman" w:hAnsi="Times New Roman" w:eastAsia="宋体" w:cs="Times New Roman"/>
          <w:color w:val="auto"/>
          <w:highlight w:val="none"/>
        </w:rPr>
        <w:t>防渗措施。具体防渗措施要求如下：</w:t>
      </w:r>
    </w:p>
    <w:p w14:paraId="43AE9721">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冷藏间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危废暂存间</w:t>
      </w:r>
      <w:r>
        <w:rPr>
          <w:rFonts w:hint="default" w:ascii="Times New Roman" w:hAnsi="Times New Roman" w:eastAsia="宋体" w:cs="Times New Roman"/>
          <w:color w:val="auto"/>
          <w:highlight w:val="none"/>
        </w:rPr>
        <w:t>等重点防渗区铺设2mm厚HDPE土工膜进行防渗，</w:t>
      </w:r>
      <w:r>
        <w:rPr>
          <w:rFonts w:hint="default" w:ascii="Times New Roman" w:hAnsi="Times New Roman" w:eastAsia="宋体" w:cs="Times New Roman"/>
          <w:color w:val="auto"/>
          <w:kern w:val="0"/>
          <w:sz w:val="24"/>
          <w:szCs w:val="24"/>
          <w:highlight w:val="none"/>
        </w:rPr>
        <w:t>或参照《</w:t>
      </w:r>
      <w:r>
        <w:rPr>
          <w:rFonts w:hint="default" w:ascii="Times New Roman" w:hAnsi="Times New Roman" w:eastAsia="宋体" w:cs="Times New Roman"/>
          <w:color w:val="auto"/>
          <w:kern w:val="0"/>
          <w:sz w:val="24"/>
          <w:szCs w:val="24"/>
          <w:highlight w:val="none"/>
          <w:lang w:eastAsia="zh-CN"/>
        </w:rPr>
        <w:t>环境影响评价技术导则</w:t>
      </w:r>
      <w:r>
        <w:rPr>
          <w:rFonts w:hint="default" w:ascii="Times New Roman" w:hAnsi="Times New Roman" w:eastAsia="宋体" w:cs="Times New Roman"/>
          <w:color w:val="auto"/>
          <w:kern w:val="0"/>
          <w:sz w:val="24"/>
          <w:szCs w:val="24"/>
          <w:highlight w:val="none"/>
        </w:rPr>
        <w:t>地下水环境》（HJ610-2016）</w:t>
      </w:r>
      <w:r>
        <w:rPr>
          <w:rFonts w:hint="default" w:ascii="Times New Roman" w:hAnsi="Times New Roman" w:eastAsia="宋体" w:cs="Times New Roman"/>
          <w:color w:val="auto"/>
          <w:sz w:val="24"/>
          <w:szCs w:val="24"/>
          <w:highlight w:val="none"/>
        </w:rPr>
        <w:t>中的相</w:t>
      </w:r>
      <w:r>
        <w:rPr>
          <w:rFonts w:hint="default" w:ascii="Times New Roman" w:hAnsi="Times New Roman" w:eastAsia="宋体" w:cs="Times New Roman"/>
          <w:color w:val="auto"/>
          <w:highlight w:val="none"/>
        </w:rPr>
        <w:t>关要求进行防渗，渗透系数≤10</w:t>
      </w:r>
      <w:r>
        <w:rPr>
          <w:rFonts w:hint="default" w:ascii="Times New Roman" w:hAnsi="Times New Roman" w:eastAsia="宋体" w:cs="Times New Roman"/>
          <w:color w:val="auto"/>
          <w:highlight w:val="none"/>
          <w:vertAlign w:val="superscript"/>
        </w:rPr>
        <w:t>-10</w:t>
      </w:r>
      <w:r>
        <w:rPr>
          <w:rFonts w:hint="default" w:ascii="Times New Roman" w:hAnsi="Times New Roman" w:eastAsia="宋体" w:cs="Times New Roman"/>
          <w:color w:val="auto"/>
          <w:highlight w:val="none"/>
        </w:rPr>
        <w:t>cm/s</w:t>
      </w:r>
      <w:r>
        <w:rPr>
          <w:rFonts w:hint="default" w:ascii="Times New Roman" w:hAnsi="Times New Roman" w:eastAsia="宋体" w:cs="Times New Roman"/>
          <w:color w:val="auto"/>
          <w:highlight w:val="none"/>
          <w:lang w:eastAsia="zh-CN"/>
        </w:rPr>
        <w:t>；</w:t>
      </w:r>
    </w:p>
    <w:p w14:paraId="4B60961D">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化粪池</w:t>
      </w:r>
      <w:r>
        <w:rPr>
          <w:rFonts w:hint="default" w:ascii="Times New Roman" w:hAnsi="Times New Roman" w:eastAsia="宋体" w:cs="Times New Roman"/>
          <w:color w:val="auto"/>
          <w:highlight w:val="none"/>
        </w:rPr>
        <w:t>等构筑物，均参照《一般工业固体废物贮存和填埋污染控制标准》（GB18599-2020）中的相关要求进行防渗，渗透系数≤1.0×10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w:t>
      </w:r>
    </w:p>
    <w:p w14:paraId="1E13C039">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（4）根据《</w:t>
      </w:r>
      <w:r>
        <w:rPr>
          <w:rFonts w:hint="default" w:ascii="Times New Roman" w:hAnsi="Times New Roman" w:eastAsia="宋体" w:cs="Times New Roman"/>
          <w:color w:val="auto"/>
          <w:highlight w:val="none"/>
          <w:lang w:eastAsia="zh-CN"/>
        </w:rPr>
        <w:t>环境影响评价技术导则</w:t>
      </w:r>
      <w:r>
        <w:rPr>
          <w:rFonts w:hint="default" w:ascii="Times New Roman" w:hAnsi="Times New Roman" w:eastAsia="宋体" w:cs="Times New Roman"/>
          <w:color w:val="auto"/>
          <w:highlight w:val="none"/>
        </w:rPr>
        <w:t>地下水环境》（HJ610-2016），本项目地下水为三级评价，根据当地水文地质资料，地下水流向为北向</w:t>
      </w:r>
      <w:r>
        <w:rPr>
          <w:rFonts w:hint="default" w:ascii="Times New Roman" w:hAnsi="Times New Roman" w:eastAsia="宋体" w:cs="Times New Roman"/>
          <w:color w:val="auto"/>
          <w:highlight w:val="none"/>
          <w:lang w:eastAsia="zh-CN"/>
        </w:rPr>
        <w:t>南</w:t>
      </w:r>
      <w:r>
        <w:rPr>
          <w:rFonts w:hint="default" w:ascii="Times New Roman" w:hAnsi="Times New Roman" w:eastAsia="宋体" w:cs="Times New Roman"/>
          <w:color w:val="auto"/>
          <w:highlight w:val="none"/>
        </w:rPr>
        <w:t>，本项目在厂区</w:t>
      </w:r>
      <w:r>
        <w:rPr>
          <w:rFonts w:hint="default" w:ascii="Times New Roman" w:hAnsi="Times New Roman" w:eastAsia="宋体" w:cs="Times New Roman"/>
          <w:color w:val="auto"/>
          <w:highlight w:val="none"/>
          <w:lang w:eastAsia="zh-CN"/>
        </w:rPr>
        <w:t>南侧</w:t>
      </w:r>
      <w:r>
        <w:rPr>
          <w:rFonts w:hint="default" w:ascii="Times New Roman" w:hAnsi="Times New Roman" w:eastAsia="宋体" w:cs="Times New Roman"/>
          <w:color w:val="auto"/>
          <w:highlight w:val="none"/>
        </w:rPr>
        <w:t>设置1口地下水监测井。</w:t>
      </w:r>
    </w:p>
    <w:p w14:paraId="33767A85">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（5）加强事故监控。企业内部人员应定期巡检，对于管道、</w:t>
      </w:r>
      <w:r>
        <w:rPr>
          <w:rFonts w:hint="default" w:ascii="Times New Roman" w:hAnsi="Times New Roman" w:eastAsia="宋体" w:cs="Times New Roman"/>
          <w:color w:val="auto"/>
          <w:highlight w:val="none"/>
          <w:lang w:eastAsia="zh-CN"/>
        </w:rPr>
        <w:t>化粪池</w:t>
      </w:r>
      <w:r>
        <w:rPr>
          <w:rFonts w:hint="default" w:ascii="Times New Roman" w:hAnsi="Times New Roman" w:eastAsia="宋体" w:cs="Times New Roman"/>
          <w:color w:val="auto"/>
          <w:highlight w:val="none"/>
        </w:rPr>
        <w:t>要定期进行维护。及时发现各种可能引起养殖废水事故排放的异常情形，并在相关人员的配合下消除事故隐患。</w:t>
      </w:r>
    </w:p>
    <w:p w14:paraId="370D8221">
      <w:pPr>
        <w:pStyle w:val="6"/>
        <w:pageBreakBefore w:val="0"/>
        <w:widowControl w:val="0"/>
        <w:kinsoku/>
        <w:wordWrap/>
        <w:topLinePunct/>
        <w:bidi w:val="0"/>
        <w:snapToGrid w:val="0"/>
        <w:spacing w:before="0" w:after="0" w:line="360" w:lineRule="auto"/>
        <w:ind w:left="0" w:leftChars="0" w:right="0" w:rightChars="0"/>
        <w:outlineLvl w:val="2"/>
        <w:rPr>
          <w:rFonts w:hint="default" w:ascii="Times New Roman" w:hAnsi="Times New Roman" w:eastAsia="宋体" w:cs="Times New Roman"/>
          <w:color w:val="auto"/>
          <w:highlight w:val="none"/>
        </w:rPr>
      </w:pPr>
      <w:bookmarkStart w:id="541" w:name="_Toc3607"/>
      <w:bookmarkStart w:id="542" w:name="_Toc19555"/>
      <w:r>
        <w:rPr>
          <w:rFonts w:hint="default" w:ascii="Times New Roman" w:hAnsi="Times New Roman" w:eastAsia="宋体" w:cs="Times New Roman"/>
          <w:color w:val="auto"/>
          <w:highlight w:val="none"/>
        </w:rPr>
        <w:t>6.6.1.2管理措施</w:t>
      </w:r>
      <w:bookmarkEnd w:id="541"/>
      <w:bookmarkEnd w:id="542"/>
    </w:p>
    <w:p w14:paraId="6B0EEB4B">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①制定安全管理制度及建立有效的安全管理组织，确保各种有关的安全管理规定能在各个环节上得到充分落实，并能有所改进与提高；</w:t>
      </w:r>
    </w:p>
    <w:p w14:paraId="69C0DC24">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②在投产运行前，应</w:t>
      </w:r>
      <w:r>
        <w:rPr>
          <w:rFonts w:hint="default" w:ascii="Times New Roman" w:hAnsi="Times New Roman" w:eastAsia="宋体" w:cs="Times New Roman"/>
          <w:color w:val="auto"/>
          <w:highlight w:val="none"/>
          <w:lang w:eastAsia="zh-CN"/>
        </w:rPr>
        <w:t>制定</w:t>
      </w:r>
      <w:r>
        <w:rPr>
          <w:rFonts w:hint="default" w:ascii="Times New Roman" w:hAnsi="Times New Roman" w:eastAsia="宋体" w:cs="Times New Roman"/>
          <w:color w:val="auto"/>
          <w:highlight w:val="none"/>
        </w:rPr>
        <w:t>正常、异常或紧急状态下的操作手册和维修手册，并对操作、维修人员进行培训，避免因严重操作失误而造成的事故；</w:t>
      </w:r>
    </w:p>
    <w:p w14:paraId="447075AE">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③加强对工作人员安全素质方面的教育及训练，包括安全知识、安全技术、安全心理、职业卫生及排险与消防活动等，而且要时常演练与考核；</w:t>
      </w:r>
    </w:p>
    <w:p w14:paraId="46EB6AC7">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④制定应急操作规程，在规程中应说明发生事故时应采取的操作步骤，规定抢修进度，限制事故的影响；</w:t>
      </w:r>
    </w:p>
    <w:p w14:paraId="7EDFFBA3">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⑤对重要的仪器设备有完善的检查项目、维护方法；按计划进行定期维护；有专门档案（包括维护记录档案），文件齐全；</w:t>
      </w:r>
    </w:p>
    <w:p w14:paraId="2CD5A460">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⑥站区内设有醒目的“严禁烟火”标志和防火安全制度。</w:t>
      </w:r>
    </w:p>
    <w:p w14:paraId="7DA667AB">
      <w:pPr>
        <w:pStyle w:val="5"/>
        <w:pageBreakBefore w:val="0"/>
        <w:widowControl w:val="0"/>
        <w:kinsoku/>
        <w:wordWrap/>
        <w:topLinePunct/>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543" w:name="_Toc11688"/>
      <w:r>
        <w:rPr>
          <w:rFonts w:hint="default" w:ascii="Times New Roman" w:hAnsi="Times New Roman" w:eastAsia="宋体" w:cs="Times New Roman"/>
          <w:color w:val="auto"/>
          <w:highlight w:val="none"/>
        </w:rPr>
        <w:t>6.6.2突发环境事件应急预案编制要求</w:t>
      </w:r>
      <w:bookmarkEnd w:id="543"/>
    </w:p>
    <w:p w14:paraId="3606DA24">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根据《建设项目环境风险评价技术导则》（HJ169-2018），按照国家、地方和相关部门要求，本次评价提出企业突发环境事件应急预案编制的原则要求：</w:t>
      </w:r>
    </w:p>
    <w:p w14:paraId="0909A5F8">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单位按照国家、地方和相关部门要求，提出企业突发环境事件应急预案编制或完善的原则要求，包括预案适用范围、环境事件分类与分级、组织机构与职责、监控和预警、应急响应、应急保障、善后处置、预案管理与演练等内容。</w:t>
      </w:r>
    </w:p>
    <w:p w14:paraId="027500CC">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应急预案明确企业、园区/区域、地方政府环境风险应急体系。企业突发环境事件应急预案应体现分级响应、区域联动的原则，与地方政府突发环境事件应急预案相衔接，明确分级响应程序。</w:t>
      </w:r>
    </w:p>
    <w:p w14:paraId="171EF10B">
      <w:pPr>
        <w:pStyle w:val="3"/>
        <w:pageBreakBefore w:val="0"/>
        <w:widowControl w:val="0"/>
        <w:kinsoku/>
        <w:wordWrap/>
        <w:topLinePunct/>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544" w:name="_Toc32558"/>
      <w:r>
        <w:rPr>
          <w:rFonts w:hint="default" w:ascii="Times New Roman" w:hAnsi="Times New Roman" w:eastAsia="宋体" w:cs="Times New Roman"/>
          <w:color w:val="auto"/>
          <w:highlight w:val="none"/>
        </w:rPr>
        <w:t>6.7结论与建议</w:t>
      </w:r>
      <w:bookmarkEnd w:id="544"/>
    </w:p>
    <w:p w14:paraId="3E3D4103">
      <w:pPr>
        <w:pStyle w:val="5"/>
        <w:pageBreakBefore w:val="0"/>
        <w:widowControl w:val="0"/>
        <w:kinsoku/>
        <w:wordWrap/>
        <w:topLinePunct/>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545" w:name="_Toc8348"/>
      <w:r>
        <w:rPr>
          <w:rFonts w:hint="default" w:ascii="Times New Roman" w:hAnsi="Times New Roman" w:eastAsia="宋体" w:cs="Times New Roman"/>
          <w:color w:val="auto"/>
          <w:highlight w:val="none"/>
        </w:rPr>
        <w:t>6.7.1结论</w:t>
      </w:r>
      <w:bookmarkEnd w:id="545"/>
    </w:p>
    <w:p w14:paraId="0268FD8A">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项目运营期场内不涉及《建设项目环境风险评价技术导则》（HJ169-2018）附录B内重点关注的危险物质；根据2.6.5.1风险评价等级判定，本项目环境风险潜势为Ⅰ级，评价等级为简单分析。</w:t>
      </w:r>
    </w:p>
    <w:p w14:paraId="7D3ABD47">
      <w:pPr>
        <w:pageBreakBefore w:val="0"/>
        <w:widowControl w:val="0"/>
        <w:kinsoku/>
        <w:wordWrap/>
        <w:topLinePunct/>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项目环境风险简单分析内容见表6.7-1。</w:t>
      </w:r>
    </w:p>
    <w:p w14:paraId="01140B31">
      <w:pPr>
        <w:pStyle w:val="7"/>
        <w:pageBreakBefore w:val="0"/>
        <w:widowControl w:val="0"/>
        <w:kinsoku/>
        <w:wordWrap/>
        <w:topLinePunct/>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表6.7-1建设项目环境风险简单分析内容表</w:t>
      </w:r>
    </w:p>
    <w:tbl>
      <w:tblPr>
        <w:tblStyle w:val="40"/>
        <w:tblW w:w="8277" w:type="dxa"/>
        <w:jc w:val="center"/>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220"/>
        <w:gridCol w:w="1514"/>
        <w:gridCol w:w="1361"/>
        <w:gridCol w:w="1622"/>
        <w:gridCol w:w="1560"/>
      </w:tblGrid>
      <w:tr w14:paraId="6E9C2EE6">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422" w:type="dxa"/>
            <w:tcBorders>
              <w:top w:val="single" w:color="auto" w:sz="4" w:space="0"/>
              <w:left w:val="single" w:color="auto" w:sz="4" w:space="0"/>
              <w:bottom w:val="single" w:color="auto" w:sz="4" w:space="0"/>
              <w:right w:val="single" w:color="auto" w:sz="4" w:space="0"/>
            </w:tcBorders>
            <w:vAlign w:val="center"/>
          </w:tcPr>
          <w:p w14:paraId="1312C1D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建设项目名称</w:t>
            </w:r>
          </w:p>
        </w:tc>
        <w:tc>
          <w:tcPr>
            <w:tcW w:w="6581" w:type="dxa"/>
            <w:gridSpan w:val="4"/>
            <w:tcBorders>
              <w:top w:val="single" w:color="auto" w:sz="4" w:space="0"/>
              <w:left w:val="single" w:color="auto" w:sz="4" w:space="0"/>
              <w:bottom w:val="single" w:color="auto" w:sz="4" w:space="0"/>
              <w:right w:val="single" w:color="auto" w:sz="4" w:space="0"/>
            </w:tcBorders>
            <w:vAlign w:val="center"/>
          </w:tcPr>
          <w:p w14:paraId="6F8867E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乌拉特前旗大佘太中海禾牧养殖专业合作社新建肉牛养殖项目</w:t>
            </w:r>
          </w:p>
        </w:tc>
      </w:tr>
      <w:tr w14:paraId="31BCAE36">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422" w:type="dxa"/>
            <w:tcBorders>
              <w:top w:val="single" w:color="auto" w:sz="4" w:space="0"/>
              <w:left w:val="single" w:color="auto" w:sz="4" w:space="0"/>
              <w:bottom w:val="single" w:color="auto" w:sz="4" w:space="0"/>
              <w:right w:val="single" w:color="auto" w:sz="4" w:space="0"/>
            </w:tcBorders>
            <w:vAlign w:val="center"/>
          </w:tcPr>
          <w:p w14:paraId="210F781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建设地点</w:t>
            </w:r>
          </w:p>
        </w:tc>
        <w:tc>
          <w:tcPr>
            <w:tcW w:w="1645" w:type="dxa"/>
            <w:tcBorders>
              <w:top w:val="single" w:color="auto" w:sz="4" w:space="0"/>
              <w:left w:val="single" w:color="auto" w:sz="4" w:space="0"/>
              <w:bottom w:val="single" w:color="auto" w:sz="4" w:space="0"/>
              <w:right w:val="single" w:color="auto" w:sz="4" w:space="0"/>
            </w:tcBorders>
            <w:vAlign w:val="center"/>
          </w:tcPr>
          <w:p w14:paraId="52C7186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（内蒙古）自治区</w:t>
            </w:r>
          </w:p>
        </w:tc>
        <w:tc>
          <w:tcPr>
            <w:tcW w:w="1476" w:type="dxa"/>
            <w:tcBorders>
              <w:top w:val="single" w:color="auto" w:sz="4" w:space="0"/>
              <w:left w:val="single" w:color="auto" w:sz="4" w:space="0"/>
              <w:bottom w:val="single" w:color="auto" w:sz="4" w:space="0"/>
              <w:right w:val="single" w:color="auto" w:sz="4" w:space="0"/>
            </w:tcBorders>
            <w:vAlign w:val="center"/>
          </w:tcPr>
          <w:p w14:paraId="76901CB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（巴彦淖尔）市</w:t>
            </w:r>
          </w:p>
        </w:tc>
        <w:tc>
          <w:tcPr>
            <w:tcW w:w="1764" w:type="dxa"/>
            <w:tcBorders>
              <w:top w:val="single" w:color="auto" w:sz="4" w:space="0"/>
              <w:left w:val="single" w:color="auto" w:sz="4" w:space="0"/>
              <w:bottom w:val="single" w:color="auto" w:sz="4" w:space="0"/>
              <w:right w:val="single" w:color="auto" w:sz="4" w:space="0"/>
            </w:tcBorders>
            <w:vAlign w:val="center"/>
          </w:tcPr>
          <w:p w14:paraId="023DA79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乌拉特前旗</w:t>
            </w:r>
            <w:r>
              <w:rPr>
                <w:rFonts w:hint="default" w:ascii="Times New Roman" w:hAnsi="Times New Roman" w:eastAsia="宋体" w:cs="Times New Roman"/>
                <w:color w:val="auto"/>
                <w:sz w:val="21"/>
                <w:szCs w:val="21"/>
                <w:highlight w:val="none"/>
              </w:rPr>
              <w:t>）县</w:t>
            </w:r>
          </w:p>
        </w:tc>
        <w:tc>
          <w:tcPr>
            <w:tcW w:w="1696" w:type="dxa"/>
            <w:tcBorders>
              <w:top w:val="single" w:color="auto" w:sz="4" w:space="0"/>
              <w:left w:val="single" w:color="auto" w:sz="4" w:space="0"/>
              <w:bottom w:val="single" w:color="auto" w:sz="4" w:space="0"/>
              <w:right w:val="single" w:color="auto" w:sz="4" w:space="0"/>
            </w:tcBorders>
            <w:vAlign w:val="center"/>
          </w:tcPr>
          <w:p w14:paraId="047FCFD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大佘太镇马卜子村</w:t>
            </w:r>
          </w:p>
        </w:tc>
      </w:tr>
      <w:tr w14:paraId="063CC179">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422" w:type="dxa"/>
            <w:tcBorders>
              <w:top w:val="single" w:color="auto" w:sz="4" w:space="0"/>
              <w:left w:val="single" w:color="auto" w:sz="4" w:space="0"/>
              <w:bottom w:val="single" w:color="auto" w:sz="4" w:space="0"/>
              <w:right w:val="single" w:color="auto" w:sz="4" w:space="0"/>
            </w:tcBorders>
            <w:vAlign w:val="center"/>
          </w:tcPr>
          <w:p w14:paraId="1E54A69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地理坐标</w:t>
            </w:r>
          </w:p>
        </w:tc>
        <w:tc>
          <w:tcPr>
            <w:tcW w:w="1645" w:type="dxa"/>
            <w:tcBorders>
              <w:top w:val="single" w:color="auto" w:sz="4" w:space="0"/>
              <w:left w:val="single" w:color="auto" w:sz="4" w:space="0"/>
              <w:bottom w:val="single" w:color="auto" w:sz="4" w:space="0"/>
              <w:right w:val="single" w:color="auto" w:sz="4" w:space="0"/>
            </w:tcBorders>
            <w:vAlign w:val="center"/>
          </w:tcPr>
          <w:p w14:paraId="2ED635A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经度</w:t>
            </w:r>
          </w:p>
        </w:tc>
        <w:tc>
          <w:tcPr>
            <w:tcW w:w="1476" w:type="dxa"/>
            <w:tcBorders>
              <w:top w:val="single" w:color="auto" w:sz="4" w:space="0"/>
              <w:left w:val="single" w:color="auto" w:sz="4" w:space="0"/>
              <w:bottom w:val="single" w:color="auto" w:sz="4" w:space="0"/>
              <w:right w:val="single" w:color="auto" w:sz="4" w:space="0"/>
            </w:tcBorders>
            <w:vAlign w:val="center"/>
          </w:tcPr>
          <w:p w14:paraId="01D8A9E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108°56'2"</w:t>
            </w:r>
          </w:p>
        </w:tc>
        <w:tc>
          <w:tcPr>
            <w:tcW w:w="1764" w:type="dxa"/>
            <w:tcBorders>
              <w:top w:val="single" w:color="auto" w:sz="4" w:space="0"/>
              <w:left w:val="single" w:color="auto" w:sz="4" w:space="0"/>
              <w:bottom w:val="single" w:color="auto" w:sz="4" w:space="0"/>
              <w:right w:val="single" w:color="auto" w:sz="4" w:space="0"/>
            </w:tcBorders>
            <w:vAlign w:val="center"/>
          </w:tcPr>
          <w:p w14:paraId="707E623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纬度</w:t>
            </w:r>
          </w:p>
        </w:tc>
        <w:tc>
          <w:tcPr>
            <w:tcW w:w="1696" w:type="dxa"/>
            <w:tcBorders>
              <w:top w:val="single" w:color="auto" w:sz="4" w:space="0"/>
              <w:left w:val="single" w:color="auto" w:sz="4" w:space="0"/>
              <w:bottom w:val="single" w:color="auto" w:sz="4" w:space="0"/>
              <w:right w:val="single" w:color="auto" w:sz="4" w:space="0"/>
            </w:tcBorders>
            <w:vAlign w:val="center"/>
          </w:tcPr>
          <w:p w14:paraId="64AF638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41°07'07"</w:t>
            </w:r>
          </w:p>
        </w:tc>
      </w:tr>
      <w:tr w14:paraId="3AEF486C">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422" w:type="dxa"/>
            <w:tcBorders>
              <w:top w:val="single" w:color="auto" w:sz="4" w:space="0"/>
              <w:left w:val="single" w:color="auto" w:sz="4" w:space="0"/>
              <w:bottom w:val="single" w:color="auto" w:sz="4" w:space="0"/>
              <w:right w:val="single" w:color="auto" w:sz="4" w:space="0"/>
            </w:tcBorders>
            <w:vAlign w:val="center"/>
          </w:tcPr>
          <w:p w14:paraId="69E88FE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主要危险物质及分布</w:t>
            </w:r>
          </w:p>
        </w:tc>
        <w:tc>
          <w:tcPr>
            <w:tcW w:w="6581" w:type="dxa"/>
            <w:gridSpan w:val="4"/>
            <w:tcBorders>
              <w:top w:val="single" w:color="auto" w:sz="4" w:space="0"/>
              <w:left w:val="single" w:color="auto" w:sz="4" w:space="0"/>
              <w:bottom w:val="single" w:color="auto" w:sz="4" w:space="0"/>
              <w:right w:val="single" w:color="auto" w:sz="4" w:space="0"/>
            </w:tcBorders>
            <w:vAlign w:val="center"/>
          </w:tcPr>
          <w:p w14:paraId="6485388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r>
      <w:tr w14:paraId="3A5D6A18">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422" w:type="dxa"/>
            <w:tcBorders>
              <w:top w:val="single" w:color="auto" w:sz="4" w:space="0"/>
              <w:left w:val="single" w:color="auto" w:sz="4" w:space="0"/>
              <w:bottom w:val="single" w:color="auto" w:sz="4" w:space="0"/>
              <w:right w:val="single" w:color="auto" w:sz="4" w:space="0"/>
            </w:tcBorders>
            <w:vAlign w:val="center"/>
          </w:tcPr>
          <w:p w14:paraId="4DC5ABA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环境影响途径及危害后果（大气、地表水、地下水等）</w:t>
            </w:r>
          </w:p>
        </w:tc>
        <w:tc>
          <w:tcPr>
            <w:tcW w:w="6581" w:type="dxa"/>
            <w:gridSpan w:val="4"/>
            <w:tcBorders>
              <w:top w:val="single" w:color="auto" w:sz="4" w:space="0"/>
              <w:left w:val="single" w:color="auto" w:sz="4" w:space="0"/>
              <w:bottom w:val="single" w:color="auto" w:sz="4" w:space="0"/>
              <w:right w:val="single" w:color="auto" w:sz="4" w:space="0"/>
            </w:tcBorders>
            <w:vAlign w:val="center"/>
          </w:tcPr>
          <w:p w14:paraId="14C0776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本项目环境风险主要为</w:t>
            </w:r>
            <w:r>
              <w:rPr>
                <w:rFonts w:hint="default" w:ascii="Times New Roman" w:hAnsi="Times New Roman" w:eastAsia="宋体" w:cs="Times New Roman"/>
                <w:color w:val="0000FF"/>
                <w:sz w:val="21"/>
                <w:szCs w:val="21"/>
                <w:highlight w:val="none"/>
                <w:lang w:eastAsia="zh-CN"/>
              </w:rPr>
              <w:t>危废暂存间、</w:t>
            </w:r>
            <w:r>
              <w:rPr>
                <w:rFonts w:hint="default" w:ascii="Times New Roman" w:hAnsi="Times New Roman" w:eastAsia="宋体" w:cs="Times New Roman"/>
                <w:color w:val="auto"/>
                <w:sz w:val="21"/>
                <w:szCs w:val="21"/>
                <w:highlight w:val="none"/>
                <w:lang w:eastAsia="zh-CN"/>
              </w:rPr>
              <w:t>粪污处理池</w:t>
            </w:r>
            <w:r>
              <w:rPr>
                <w:rFonts w:hint="default" w:ascii="Times New Roman" w:hAnsi="Times New Roman" w:eastAsia="宋体" w:cs="Times New Roman"/>
                <w:color w:val="auto"/>
                <w:sz w:val="21"/>
                <w:szCs w:val="21"/>
                <w:highlight w:val="none"/>
              </w:rPr>
              <w:t>的硬化地面、防渗设</w:t>
            </w:r>
            <w:r>
              <w:rPr>
                <w:rFonts w:hint="default" w:ascii="Times New Roman" w:hAnsi="Times New Roman" w:eastAsia="宋体" w:cs="Times New Roman"/>
                <w:color w:val="auto"/>
                <w:sz w:val="21"/>
                <w:szCs w:val="21"/>
                <w:highlight w:val="none"/>
                <w:lang w:eastAsia="zh-CN"/>
              </w:rPr>
              <w:t>施</w:t>
            </w:r>
            <w:r>
              <w:rPr>
                <w:rFonts w:hint="default" w:ascii="Times New Roman" w:hAnsi="Times New Roman" w:eastAsia="宋体" w:cs="Times New Roman"/>
                <w:color w:val="auto"/>
                <w:sz w:val="21"/>
                <w:szCs w:val="21"/>
                <w:highlight w:val="none"/>
              </w:rPr>
              <w:t>出现破损，出现污水渗漏的情况</w:t>
            </w:r>
            <w:r>
              <w:rPr>
                <w:rFonts w:hint="default" w:ascii="Times New Roman" w:hAnsi="Times New Roman" w:eastAsia="宋体" w:cs="Times New Roman"/>
                <w:color w:val="auto"/>
                <w:sz w:val="21"/>
                <w:szCs w:val="21"/>
                <w:highlight w:val="none"/>
                <w:lang w:eastAsia="zh-CN"/>
              </w:rPr>
              <w:t>；</w:t>
            </w:r>
          </w:p>
          <w:p w14:paraId="7976DB2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草棚</w:t>
            </w:r>
            <w:r>
              <w:rPr>
                <w:rFonts w:hint="default" w:ascii="Times New Roman" w:hAnsi="Times New Roman" w:eastAsia="宋体" w:cs="Times New Roman"/>
                <w:color w:val="auto"/>
                <w:sz w:val="21"/>
                <w:szCs w:val="21"/>
                <w:highlight w:val="none"/>
                <w:lang w:val="en-US" w:eastAsia="zh-CN"/>
              </w:rPr>
              <w:t>、青贮平台、</w:t>
            </w:r>
            <w:r>
              <w:rPr>
                <w:rFonts w:hint="default" w:ascii="Times New Roman" w:hAnsi="Times New Roman" w:eastAsia="宋体" w:cs="Times New Roman"/>
                <w:color w:val="auto"/>
                <w:kern w:val="0"/>
                <w:sz w:val="21"/>
                <w:szCs w:val="21"/>
                <w:highlight w:val="none"/>
                <w:lang w:val="en-US" w:eastAsia="zh-CN"/>
              </w:rPr>
              <w:t>TMR车间</w:t>
            </w:r>
            <w:r>
              <w:rPr>
                <w:rFonts w:hint="default" w:ascii="Times New Roman" w:hAnsi="Times New Roman" w:eastAsia="宋体" w:cs="Times New Roman"/>
                <w:color w:val="auto"/>
                <w:sz w:val="21"/>
                <w:szCs w:val="21"/>
                <w:highlight w:val="none"/>
                <w:lang w:eastAsia="zh-CN"/>
              </w:rPr>
              <w:t>发生火灾；</w:t>
            </w:r>
          </w:p>
        </w:tc>
      </w:tr>
      <w:tr w14:paraId="4AD14486">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422" w:type="dxa"/>
            <w:tcBorders>
              <w:top w:val="single" w:color="auto" w:sz="4" w:space="0"/>
              <w:left w:val="single" w:color="auto" w:sz="4" w:space="0"/>
              <w:bottom w:val="single" w:color="auto" w:sz="4" w:space="0"/>
              <w:right w:val="single" w:color="auto" w:sz="4" w:space="0"/>
            </w:tcBorders>
            <w:vAlign w:val="center"/>
          </w:tcPr>
          <w:p w14:paraId="2887481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风险防范措施要求</w:t>
            </w:r>
          </w:p>
        </w:tc>
        <w:tc>
          <w:tcPr>
            <w:tcW w:w="6581" w:type="dxa"/>
            <w:gridSpan w:val="4"/>
            <w:tcBorders>
              <w:top w:val="single" w:color="auto" w:sz="4" w:space="0"/>
              <w:left w:val="single" w:color="auto" w:sz="4" w:space="0"/>
              <w:bottom w:val="single" w:color="auto" w:sz="4" w:space="0"/>
              <w:right w:val="single" w:color="auto" w:sz="4" w:space="0"/>
            </w:tcBorders>
            <w:vAlign w:val="center"/>
          </w:tcPr>
          <w:p w14:paraId="25C0230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从技术、工艺和管理三个方面入手，采取综合措施，预防泄漏事故，详见6.6环境风险防范措施及应急要求</w:t>
            </w:r>
          </w:p>
        </w:tc>
      </w:tr>
    </w:tbl>
    <w:p w14:paraId="6572A3AD">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546" w:name="_Toc17980"/>
      <w:r>
        <w:rPr>
          <w:rFonts w:hint="default" w:ascii="Times New Roman" w:hAnsi="Times New Roman" w:eastAsia="宋体" w:cs="Times New Roman"/>
          <w:color w:val="auto"/>
          <w:highlight w:val="none"/>
        </w:rPr>
        <w:t>6.7.2建议</w:t>
      </w:r>
      <w:bookmarkEnd w:id="546"/>
    </w:p>
    <w:p w14:paraId="19C574D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（1）要求建设单位针对可能发生的重大环境风险事故制定详细的环境风险应急预案，并经过专家评审，定期进行预案演练。</w:t>
      </w:r>
    </w:p>
    <w:p w14:paraId="079C472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（2）建立企业环境风险应急机制，加强养殖区、</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的巡查，监视力度，强化风险管理。</w:t>
      </w:r>
    </w:p>
    <w:p w14:paraId="456CEC1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（3）建设单位须采取有效的防范、减缓措施，并制定突发性事故应急预案，强化安全管理，降低事故发生的可能性，使危险等级降低到可接受水平。</w:t>
      </w:r>
    </w:p>
    <w:p w14:paraId="5D32933D">
      <w:pPr>
        <w:pageBreakBefore w:val="0"/>
        <w:kinsoku/>
        <w:wordWrap/>
        <w:overflowPunct w:val="0"/>
        <w:bidi w:val="0"/>
        <w:snapToGrid w:val="0"/>
        <w:spacing w:line="360" w:lineRule="auto"/>
        <w:ind w:left="0" w:leftChars="0" w:right="0" w:rightChars="0" w:firstLine="480"/>
        <w:rPr>
          <w:rFonts w:hint="default" w:ascii="Times New Roman" w:hAnsi="Times New Roman" w:eastAsia="宋体" w:cs="Times New Roman"/>
          <w:color w:val="auto"/>
          <w:highlight w:val="none"/>
        </w:rPr>
      </w:pPr>
    </w:p>
    <w:bookmarkEnd w:id="507"/>
    <w:p w14:paraId="01D75354">
      <w:pPr>
        <w:pageBreakBefore w:val="0"/>
        <w:kinsoku/>
        <w:wordWrap/>
        <w:overflowPunct w:val="0"/>
        <w:bidi w:val="0"/>
        <w:snapToGrid w:val="0"/>
        <w:spacing w:line="360" w:lineRule="auto"/>
        <w:ind w:left="0" w:leftChars="0" w:right="0" w:rightChars="0" w:firstLine="480"/>
        <w:rPr>
          <w:rFonts w:hint="default" w:ascii="Times New Roman" w:hAnsi="Times New Roman" w:eastAsia="宋体" w:cs="Times New Roman"/>
          <w:color w:val="auto"/>
          <w:highlight w:val="none"/>
        </w:rPr>
      </w:pPr>
    </w:p>
    <w:p w14:paraId="10FB4243">
      <w:pPr>
        <w:pStyle w:val="2"/>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sectPr>
          <w:pgSz w:w="11906" w:h="16838"/>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26" w:charSpace="0"/>
        </w:sectPr>
      </w:pPr>
      <w:bookmarkStart w:id="547" w:name="_Toc523322383"/>
    </w:p>
    <w:p w14:paraId="20B23416">
      <w:pPr>
        <w:pStyle w:val="2"/>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bookmarkStart w:id="548" w:name="_Toc6948"/>
      <w:bookmarkStart w:id="549" w:name="_Toc523322368"/>
      <w:r>
        <w:rPr>
          <w:rFonts w:hint="default" w:ascii="Times New Roman" w:hAnsi="Times New Roman" w:eastAsia="宋体" w:cs="Times New Roman"/>
          <w:color w:val="auto"/>
          <w:highlight w:val="none"/>
        </w:rPr>
        <w:t>7环境保护措施及其可行性论证</w:t>
      </w:r>
      <w:bookmarkEnd w:id="548"/>
      <w:bookmarkEnd w:id="549"/>
    </w:p>
    <w:p w14:paraId="4BCE30C1">
      <w:pPr>
        <w:pStyle w:val="3"/>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0"/>
        <w:rPr>
          <w:rFonts w:hint="default" w:ascii="Times New Roman" w:hAnsi="Times New Roman" w:eastAsia="宋体" w:cs="Times New Roman"/>
          <w:color w:val="auto"/>
          <w:highlight w:val="none"/>
        </w:rPr>
      </w:pPr>
      <w:bookmarkStart w:id="550" w:name="_Toc29345"/>
      <w:bookmarkStart w:id="551" w:name="_Toc523322369"/>
      <w:r>
        <w:rPr>
          <w:rFonts w:hint="default" w:ascii="Times New Roman" w:hAnsi="Times New Roman" w:eastAsia="宋体" w:cs="Times New Roman"/>
          <w:color w:val="auto"/>
          <w:highlight w:val="none"/>
        </w:rPr>
        <w:t>7.1施工期环境保护措施</w:t>
      </w:r>
      <w:bookmarkEnd w:id="550"/>
      <w:bookmarkEnd w:id="551"/>
    </w:p>
    <w:p w14:paraId="23A12C3C">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552" w:name="_Toc7299"/>
      <w:bookmarkStart w:id="553" w:name="_Toc523322370"/>
      <w:bookmarkStart w:id="554" w:name="_Toc10938"/>
      <w:r>
        <w:rPr>
          <w:rFonts w:hint="default" w:ascii="Times New Roman" w:hAnsi="Times New Roman" w:eastAsia="宋体" w:cs="Times New Roman"/>
          <w:color w:val="auto"/>
          <w:highlight w:val="none"/>
        </w:rPr>
        <w:t>7.1.1施工期大气环境保护措施</w:t>
      </w:r>
      <w:bookmarkEnd w:id="552"/>
      <w:bookmarkEnd w:id="553"/>
      <w:bookmarkEnd w:id="554"/>
    </w:p>
    <w:p w14:paraId="3438FE26">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根据施工期大气环境影响分析结果、根据相关法律法规确定本项目施工期大气环境保护措施，具体措施如下：</w:t>
      </w:r>
    </w:p>
    <w:p w14:paraId="6E1AD158">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outlineLvl w:val="2"/>
        <w:rPr>
          <w:rFonts w:hint="default" w:ascii="Times New Roman" w:hAnsi="Times New Roman" w:eastAsia="宋体" w:cs="Times New Roman"/>
          <w:color w:val="auto"/>
          <w:highlight w:val="none"/>
        </w:rPr>
      </w:pPr>
      <w:bookmarkStart w:id="555" w:name="_Toc9324"/>
      <w:bookmarkStart w:id="556" w:name="_Toc29165"/>
      <w:r>
        <w:rPr>
          <w:rFonts w:hint="default" w:ascii="Times New Roman" w:hAnsi="Times New Roman" w:eastAsia="宋体" w:cs="Times New Roman"/>
          <w:color w:val="auto"/>
          <w:highlight w:val="none"/>
        </w:rPr>
        <w:t>（1）整体防治措施：</w:t>
      </w:r>
      <w:bookmarkEnd w:id="555"/>
      <w:bookmarkEnd w:id="556"/>
    </w:p>
    <w:p w14:paraId="1A64EEA8">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①建设单位应当将防治扬尘污染的费用列入工程造价，并在施工承包合同中明确施工单位扬尘污染防治责任。施工单位应当制定具体的施工扬尘污染防治实施方案。</w:t>
      </w:r>
    </w:p>
    <w:p w14:paraId="0A7D3B4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②施工单位应当在施工</w:t>
      </w:r>
      <w:r>
        <w:rPr>
          <w:rFonts w:hint="default" w:ascii="Times New Roman" w:hAnsi="Times New Roman" w:eastAsia="宋体" w:cs="Times New Roman"/>
          <w:color w:val="auto"/>
          <w:highlight w:val="none"/>
          <w:lang w:eastAsia="zh-CN"/>
        </w:rPr>
        <w:t>场地</w:t>
      </w:r>
      <w:r>
        <w:rPr>
          <w:rFonts w:hint="default" w:ascii="Times New Roman" w:hAnsi="Times New Roman" w:eastAsia="宋体" w:cs="Times New Roman"/>
          <w:color w:val="auto"/>
          <w:highlight w:val="none"/>
        </w:rPr>
        <w:t>洒水抑尘、车辆等有效防尘降尘措施，对施工场地及施工道路每天洒水抑尘作业4～5次，可使扬尘量减少70%左右。</w:t>
      </w:r>
    </w:p>
    <w:p w14:paraId="0DD3A06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加强施工现场运输车辆管理，注重车辆的维护保养，严禁使用冒黑烟车辆，限制车速，严禁超高、超载运输；保证所运物品无撒漏、扬散，防止建筑材料、垃圾和尘土飞扬、洒落和流溢，有效抑制粉尘和二次扬尘污染；驶出工地的车辆必须车身整洁，装载车厢完好，装载货物堆码整齐，不得污染道路。</w:t>
      </w:r>
    </w:p>
    <w:p w14:paraId="45EEEE80">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④施工场区不使用油耗高、效率低、废气排放严重的施工机械，对燃油设备合理配置，加强管理，工程运输车辆尾气达标。</w:t>
      </w:r>
    </w:p>
    <w:p w14:paraId="15073F37">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⑤加快施工进度，尽量缩短工期。</w:t>
      </w:r>
    </w:p>
    <w:p w14:paraId="3553345D">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outlineLvl w:val="2"/>
        <w:rPr>
          <w:rFonts w:hint="default" w:ascii="Times New Roman" w:hAnsi="Times New Roman" w:eastAsia="宋体" w:cs="Times New Roman"/>
          <w:color w:val="auto"/>
          <w:highlight w:val="none"/>
        </w:rPr>
      </w:pPr>
      <w:bookmarkStart w:id="557" w:name="_Toc3150"/>
      <w:bookmarkStart w:id="558" w:name="_Toc12472"/>
      <w:r>
        <w:rPr>
          <w:rFonts w:hint="default" w:ascii="Times New Roman" w:hAnsi="Times New Roman" w:eastAsia="宋体" w:cs="Times New Roman"/>
          <w:color w:val="auto"/>
          <w:highlight w:val="none"/>
        </w:rPr>
        <w:t>（2）扬尘防治措施</w:t>
      </w:r>
      <w:bookmarkEnd w:id="557"/>
      <w:bookmarkEnd w:id="558"/>
    </w:p>
    <w:p w14:paraId="4BF72D7E">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①料场集中堆放的采取覆盖并保持其表面湿润或固化处理，并在堆场表面用防尘网进行遮盖，以防止风蚀防尘措施。</w:t>
      </w:r>
    </w:p>
    <w:p w14:paraId="2A581690">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②对开挖等施工作业面（点）进行封闭施工或者采取洒水等控尘降尘措施。</w:t>
      </w:r>
    </w:p>
    <w:p w14:paraId="093F59E5">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③采取分段施工，分段回填、分段恢复，减少裸露地面面积和土方堆置。</w:t>
      </w:r>
    </w:p>
    <w:p w14:paraId="64FE7CD3">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④当出现4级及以上风力天气情况时，禁止土方施工，并</w:t>
      </w:r>
      <w:r>
        <w:rPr>
          <w:rFonts w:hint="default" w:ascii="Times New Roman" w:hAnsi="Times New Roman" w:eastAsia="宋体" w:cs="Times New Roman"/>
          <w:color w:val="auto"/>
          <w:highlight w:val="none"/>
          <w:lang w:eastAsia="zh-CN"/>
        </w:rPr>
        <w:t>做好</w:t>
      </w:r>
      <w:r>
        <w:rPr>
          <w:rFonts w:hint="default" w:ascii="Times New Roman" w:hAnsi="Times New Roman" w:eastAsia="宋体" w:cs="Times New Roman"/>
          <w:color w:val="auto"/>
          <w:highlight w:val="none"/>
        </w:rPr>
        <w:t>遮掩、洒水抑尘工作。</w:t>
      </w:r>
    </w:p>
    <w:p w14:paraId="583724E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⑤施工完成后，及时进行表土覆盖和植被恢复，防止基础裸露。</w:t>
      </w:r>
    </w:p>
    <w:p w14:paraId="53DC600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⑥运输车辆严禁超限运输并在运输物料及土方上覆盖苫布，严禁物料散落和起尘；运输车辆</w:t>
      </w:r>
      <w:r>
        <w:rPr>
          <w:rFonts w:hint="default" w:ascii="Times New Roman" w:hAnsi="Times New Roman" w:eastAsia="宋体" w:cs="Times New Roman"/>
          <w:color w:val="auto"/>
          <w:highlight w:val="none"/>
          <w:lang w:eastAsia="zh-CN"/>
        </w:rPr>
        <w:t>减速</w:t>
      </w:r>
      <w:r>
        <w:rPr>
          <w:rFonts w:hint="default" w:ascii="Times New Roman" w:hAnsi="Times New Roman" w:eastAsia="宋体" w:cs="Times New Roman"/>
          <w:color w:val="auto"/>
          <w:highlight w:val="none"/>
        </w:rPr>
        <w:t>慢行，固定行车路线，干燥大风天气对</w:t>
      </w:r>
      <w:r>
        <w:rPr>
          <w:rFonts w:hint="default" w:ascii="Times New Roman" w:hAnsi="Times New Roman" w:eastAsia="宋体" w:cs="Times New Roman"/>
          <w:color w:val="auto"/>
          <w:highlight w:val="none"/>
          <w:lang w:eastAsia="zh-CN"/>
        </w:rPr>
        <w:t>途经</w:t>
      </w:r>
      <w:r>
        <w:rPr>
          <w:rFonts w:hint="default" w:ascii="Times New Roman" w:hAnsi="Times New Roman" w:eastAsia="宋体" w:cs="Times New Roman"/>
          <w:color w:val="auto"/>
          <w:highlight w:val="none"/>
        </w:rPr>
        <w:t>敏感点路段运输道路洒水抑尘。</w:t>
      </w:r>
    </w:p>
    <w:p w14:paraId="74676EC0">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⑦对临时占地采取严格处理措施，取土过程中及时对取土面加盖，防止生成新尘源；对于临时堆土场及时洒水，并加盖，防止形成新尘源。</w:t>
      </w:r>
    </w:p>
    <w:p w14:paraId="4FC3700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⑧施工垃圾应及时清运，集中堆放的采取覆盖并保持其表面湿润或固化处理，并在土堆表面用防尘网进行遮盖，以防止风蚀。</w:t>
      </w:r>
    </w:p>
    <w:p w14:paraId="27AB76D0">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⑨可能产生扬尘污染的建筑材料在库房存放，避免露天堆放，或者严密遮盖或采用洒水、遮盖物或喷洒遮盖剂等措施防止扬尘。</w:t>
      </w:r>
    </w:p>
    <w:p w14:paraId="6C3A71AF">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通过上述各项措施，可基本控制建筑施工扬尘的产生，降低施工扬尘对周围环境的影响。</w:t>
      </w:r>
    </w:p>
    <w:p w14:paraId="369B34A0">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施工期间大气污染防治措施目前较成熟，实践表明只要管理和工程措施到位，完全能够满足环保要求。</w:t>
      </w:r>
    </w:p>
    <w:p w14:paraId="1FCC2041">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559" w:name="_Toc29168"/>
      <w:bookmarkStart w:id="560" w:name="_Toc523322371"/>
      <w:bookmarkStart w:id="561" w:name="_Toc6972"/>
      <w:r>
        <w:rPr>
          <w:rFonts w:hint="default" w:ascii="Times New Roman" w:hAnsi="Times New Roman" w:eastAsia="宋体" w:cs="Times New Roman"/>
          <w:color w:val="auto"/>
          <w:highlight w:val="none"/>
        </w:rPr>
        <w:t>7.1.2施工期水环境保护措施</w:t>
      </w:r>
      <w:bookmarkEnd w:id="559"/>
      <w:bookmarkEnd w:id="560"/>
      <w:bookmarkEnd w:id="561"/>
    </w:p>
    <w:p w14:paraId="4E02C8B8">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（1）加强施工机械管理，防止油的跑、冒、滴、漏。</w:t>
      </w:r>
    </w:p>
    <w:p w14:paraId="12B993C0">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（2）项目施工期生活污水</w:t>
      </w:r>
      <w:r>
        <w:rPr>
          <w:rFonts w:hint="default" w:ascii="Times New Roman" w:hAnsi="Times New Roman" w:eastAsia="宋体" w:cs="Times New Roman"/>
          <w:color w:val="auto"/>
          <w:highlight w:val="none"/>
          <w:lang w:val="en-US" w:eastAsia="zh-CN"/>
        </w:rPr>
        <w:t>排入临时旱厕，定期由当地环卫部门清运处置</w:t>
      </w:r>
      <w:r>
        <w:rPr>
          <w:rFonts w:hint="default" w:ascii="Times New Roman" w:hAnsi="Times New Roman" w:eastAsia="宋体" w:cs="Times New Roman"/>
          <w:color w:val="auto"/>
          <w:highlight w:val="none"/>
        </w:rPr>
        <w:t>。</w:t>
      </w:r>
    </w:p>
    <w:p w14:paraId="7C1FBA8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施工过程中贯彻“一水多用、重复利用、节约用水”的原则，尽量减少废水的排放量。施工期间废水污染防治措施可行，能够满足环保要求。</w:t>
      </w:r>
    </w:p>
    <w:p w14:paraId="26FA013E">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562" w:name="_Toc523322372"/>
      <w:bookmarkStart w:id="563" w:name="_Toc29520"/>
      <w:bookmarkStart w:id="564" w:name="_Toc21678"/>
      <w:r>
        <w:rPr>
          <w:rFonts w:hint="default" w:ascii="Times New Roman" w:hAnsi="Times New Roman" w:eastAsia="宋体" w:cs="Times New Roman"/>
          <w:color w:val="auto"/>
          <w:highlight w:val="none"/>
        </w:rPr>
        <w:t>7.1.3施工期声环境保护措施</w:t>
      </w:r>
      <w:bookmarkEnd w:id="562"/>
      <w:bookmarkEnd w:id="563"/>
      <w:bookmarkEnd w:id="564"/>
    </w:p>
    <w:p w14:paraId="6EEF0F18">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bookmarkStart w:id="565" w:name="_Toc14156"/>
      <w:r>
        <w:rPr>
          <w:rFonts w:hint="default" w:ascii="Times New Roman" w:hAnsi="Times New Roman" w:eastAsia="宋体" w:cs="Times New Roman"/>
          <w:color w:val="auto"/>
          <w:highlight w:val="none"/>
        </w:rPr>
        <w:t>（1）在满足施工需要的前提下，尽可能选择低噪先进设备，并严格控制高噪声设备的施工时间。</w:t>
      </w:r>
    </w:p>
    <w:p w14:paraId="154E31A0">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（2）加强设备的维护保养，避免由于设备性能差而使机械噪声增大的现象。</w:t>
      </w:r>
    </w:p>
    <w:p w14:paraId="43DE20E5">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（3）施工单位应高度重视噪声影响，合理安排作业时间。</w:t>
      </w:r>
    </w:p>
    <w:p w14:paraId="49FCE55C">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（4）加快施工进度，尽量缩短工期。</w:t>
      </w:r>
    </w:p>
    <w:p w14:paraId="71F1C9EC">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（5）加强环境宣传和教育，认真落实各项降噪措施，做到文明施工。</w:t>
      </w:r>
    </w:p>
    <w:p w14:paraId="1A775C9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工程施工期噪声污染防治措施较为成熟，技术经济可行。</w:t>
      </w:r>
    </w:p>
    <w:p w14:paraId="63869C2B">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566" w:name="_Toc7093"/>
      <w:bookmarkStart w:id="567" w:name="_Toc523322373"/>
      <w:r>
        <w:rPr>
          <w:rFonts w:hint="default" w:ascii="Times New Roman" w:hAnsi="Times New Roman" w:eastAsia="宋体" w:cs="Times New Roman"/>
          <w:color w:val="auto"/>
          <w:highlight w:val="none"/>
        </w:rPr>
        <w:t>7.1.4施工期固体废物处理措施</w:t>
      </w:r>
      <w:bookmarkEnd w:id="565"/>
      <w:bookmarkEnd w:id="566"/>
      <w:bookmarkEnd w:id="567"/>
    </w:p>
    <w:p w14:paraId="05BD6E6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outlineLvl w:val="2"/>
        <w:rPr>
          <w:rFonts w:hint="default" w:ascii="Times New Roman" w:hAnsi="Times New Roman" w:eastAsia="宋体" w:cs="Times New Roman"/>
          <w:color w:val="auto"/>
          <w:highlight w:val="none"/>
        </w:rPr>
      </w:pPr>
      <w:bookmarkStart w:id="568" w:name="_Toc14924"/>
      <w:bookmarkStart w:id="569" w:name="_Toc14963"/>
      <w:r>
        <w:rPr>
          <w:rFonts w:hint="default" w:ascii="Times New Roman" w:hAnsi="Times New Roman" w:eastAsia="宋体" w:cs="Times New Roman"/>
          <w:color w:val="auto"/>
          <w:highlight w:val="none"/>
        </w:rPr>
        <w:t>（1）废包装物、建筑垃圾</w:t>
      </w:r>
      <w:bookmarkEnd w:id="568"/>
      <w:bookmarkEnd w:id="569"/>
    </w:p>
    <w:p w14:paraId="76B7024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工程建筑垃圾及时运至指定渣场规范处置。采用密闭车辆运输，并对进出工程场地的运输车辆轮胎进行清洗，避免将泥土带入道路。</w:t>
      </w:r>
    </w:p>
    <w:p w14:paraId="60A0AF0B">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outlineLvl w:val="2"/>
        <w:rPr>
          <w:rFonts w:hint="default" w:ascii="Times New Roman" w:hAnsi="Times New Roman" w:eastAsia="宋体" w:cs="Times New Roman"/>
          <w:color w:val="auto"/>
          <w:highlight w:val="none"/>
        </w:rPr>
      </w:pPr>
      <w:bookmarkStart w:id="570" w:name="_Toc25279"/>
      <w:bookmarkStart w:id="571" w:name="_Toc32565"/>
      <w:r>
        <w:rPr>
          <w:rFonts w:hint="default" w:ascii="Times New Roman" w:hAnsi="Times New Roman" w:eastAsia="宋体" w:cs="Times New Roman"/>
          <w:color w:val="auto"/>
          <w:highlight w:val="none"/>
        </w:rPr>
        <w:t>（2）生活垃圾</w:t>
      </w:r>
      <w:bookmarkEnd w:id="570"/>
      <w:bookmarkEnd w:id="571"/>
    </w:p>
    <w:p w14:paraId="5BE4E38D">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生活垃圾集中收集后</w:t>
      </w:r>
      <w:r>
        <w:rPr>
          <w:rFonts w:hint="default" w:ascii="Times New Roman" w:hAnsi="Times New Roman" w:eastAsia="宋体" w:cs="Times New Roman"/>
          <w:color w:val="auto"/>
          <w:highlight w:val="none"/>
          <w:lang w:bidi="zh-CN"/>
        </w:rPr>
        <w:t>清运到环卫部门指定的地点集中处理</w:t>
      </w:r>
      <w:r>
        <w:rPr>
          <w:rFonts w:hint="default" w:ascii="Times New Roman" w:hAnsi="Times New Roman" w:eastAsia="宋体" w:cs="Times New Roman"/>
          <w:color w:val="auto"/>
          <w:highlight w:val="none"/>
        </w:rPr>
        <w:t>。</w:t>
      </w:r>
    </w:p>
    <w:p w14:paraId="11C3AB8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采取上述污染防治措施，施工期固体废物对环境的影响很小。</w:t>
      </w:r>
    </w:p>
    <w:p w14:paraId="7136734F">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572" w:name="_Toc7005"/>
      <w:r>
        <w:rPr>
          <w:rFonts w:hint="default" w:ascii="Times New Roman" w:hAnsi="Times New Roman" w:eastAsia="宋体" w:cs="Times New Roman"/>
          <w:color w:val="auto"/>
          <w:highlight w:val="none"/>
        </w:rPr>
        <w:t>7.1.5施工期生态环境保护措施</w:t>
      </w:r>
      <w:bookmarkEnd w:id="572"/>
    </w:p>
    <w:p w14:paraId="747CBA3F">
      <w:pPr>
        <w:pStyle w:val="6"/>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2"/>
        <w:rPr>
          <w:rFonts w:hint="default" w:ascii="Times New Roman" w:hAnsi="Times New Roman" w:eastAsia="宋体" w:cs="Times New Roman"/>
          <w:color w:val="auto"/>
          <w:highlight w:val="none"/>
        </w:rPr>
      </w:pPr>
      <w:bookmarkStart w:id="573" w:name="_Toc29493"/>
      <w:bookmarkStart w:id="574" w:name="_Toc24423"/>
      <w:r>
        <w:rPr>
          <w:rFonts w:hint="default" w:ascii="Times New Roman" w:hAnsi="Times New Roman" w:eastAsia="宋体" w:cs="Times New Roman"/>
          <w:color w:val="auto"/>
          <w:highlight w:val="none"/>
        </w:rPr>
        <w:t>7.1.5.1主体工程施工期生态保护措施</w:t>
      </w:r>
      <w:bookmarkEnd w:id="573"/>
      <w:bookmarkEnd w:id="574"/>
    </w:p>
    <w:p w14:paraId="7DF92B17">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本项目施工期对生态环境的影响较小，但仍需采取如下措施：</w:t>
      </w:r>
    </w:p>
    <w:p w14:paraId="5F613D26">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（1）为消减施工队伍对植被的影响，在工程施工区设置警示牌，标明施工活动区，严令禁止到非施工区域活动，非施工区严禁烟火等破坏性活动。</w:t>
      </w:r>
    </w:p>
    <w:p w14:paraId="6F16E18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（2）在施工期间对施工人员加强施工区生态保护的宣传教育，以公告、宣传册发放等形式，教育施工人员，通过制度化禁止施工人员捕食蛙类、鸟类、兽类，以减轻施工对当地陆生动植物的影响。</w:t>
      </w:r>
    </w:p>
    <w:p w14:paraId="0E23234E">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（3）工程施工结束后，场区内施工临时占地应采取绿化措施，进行植被恢复；同时对</w:t>
      </w:r>
      <w:r>
        <w:rPr>
          <w:rFonts w:hint="default" w:ascii="Times New Roman" w:hAnsi="Times New Roman" w:eastAsia="宋体" w:cs="Times New Roman"/>
          <w:color w:val="auto"/>
          <w:highlight w:val="none"/>
          <w:lang w:val="en-US" w:eastAsia="zh-CN"/>
        </w:rPr>
        <w:t>养殖</w:t>
      </w:r>
      <w:r>
        <w:rPr>
          <w:rFonts w:hint="default" w:ascii="Times New Roman" w:hAnsi="Times New Roman" w:eastAsia="宋体" w:cs="Times New Roman"/>
          <w:color w:val="auto"/>
          <w:highlight w:val="none"/>
        </w:rPr>
        <w:t>场也尽可能进行绿化。</w:t>
      </w:r>
    </w:p>
    <w:p w14:paraId="1B7E44F8">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加强场区的绿化工作、对改善场区内小环境有重要意义。绿化可以吸尘灭菌、降低噪声、净化空气、防疫隔离、防暑防寒。如按冬季主风的上风向设防风林、在</w:t>
      </w:r>
      <w:r>
        <w:rPr>
          <w:rFonts w:hint="default" w:ascii="Times New Roman" w:hAnsi="Times New Roman" w:eastAsia="宋体" w:cs="Times New Roman"/>
          <w:color w:val="auto"/>
          <w:highlight w:val="none"/>
          <w:lang w:eastAsia="zh-CN"/>
        </w:rPr>
        <w:t>养殖</w:t>
      </w:r>
      <w:r>
        <w:rPr>
          <w:rFonts w:hint="default" w:ascii="Times New Roman" w:hAnsi="Times New Roman" w:eastAsia="宋体" w:cs="Times New Roman"/>
          <w:color w:val="auto"/>
          <w:highlight w:val="none"/>
        </w:rPr>
        <w:t>场的周围设隔离林、</w:t>
      </w:r>
      <w:r>
        <w:rPr>
          <w:rFonts w:hint="default" w:ascii="Times New Roman" w:hAnsi="Times New Roman" w:eastAsia="宋体" w:cs="Times New Roman"/>
          <w:color w:val="auto"/>
          <w:highlight w:val="none"/>
          <w:lang w:eastAsia="zh-CN"/>
        </w:rPr>
        <w:t>生活区和养殖区之间</w:t>
      </w:r>
      <w:r>
        <w:rPr>
          <w:rFonts w:hint="default" w:ascii="Times New Roman" w:hAnsi="Times New Roman" w:eastAsia="宋体" w:cs="Times New Roman"/>
          <w:color w:val="auto"/>
          <w:highlight w:val="none"/>
        </w:rPr>
        <w:t>设隔离林、道路两旁</w:t>
      </w:r>
      <w:r>
        <w:rPr>
          <w:rFonts w:hint="default" w:ascii="Times New Roman" w:hAnsi="Times New Roman" w:eastAsia="宋体" w:cs="Times New Roman"/>
          <w:color w:val="auto"/>
          <w:highlight w:val="none"/>
          <w:lang w:eastAsia="zh-CN"/>
        </w:rPr>
        <w:t>进行遮阴</w:t>
      </w:r>
      <w:r>
        <w:rPr>
          <w:rFonts w:hint="default" w:ascii="Times New Roman" w:hAnsi="Times New Roman" w:eastAsia="宋体" w:cs="Times New Roman"/>
          <w:color w:val="auto"/>
          <w:highlight w:val="none"/>
        </w:rPr>
        <w:t>绿化、场区裸露地面上种植花草。同时还应</w:t>
      </w:r>
      <w:r>
        <w:rPr>
          <w:rFonts w:hint="default" w:ascii="Times New Roman" w:hAnsi="Times New Roman" w:eastAsia="宋体" w:cs="Times New Roman"/>
          <w:color w:val="auto"/>
          <w:highlight w:val="none"/>
          <w:lang w:eastAsia="zh-CN"/>
        </w:rPr>
        <w:t>科学地选择</w:t>
      </w:r>
      <w:r>
        <w:rPr>
          <w:rFonts w:hint="default" w:ascii="Times New Roman" w:hAnsi="Times New Roman" w:eastAsia="宋体" w:cs="Times New Roman"/>
          <w:color w:val="auto"/>
          <w:highlight w:val="none"/>
        </w:rPr>
        <w:t>园艺花卉品种，充分利用植物的环境修复功能。经研究发现，绿色植物对空气污染具有很好的净化作用，不光是叶子，植物的根以及土壤里的细菌都能有效清除有害气体。建议在牛场周围栽种当地常见的较高大绿色植物，形成绿色屏障。</w:t>
      </w:r>
    </w:p>
    <w:p w14:paraId="2D3DF02C">
      <w:pPr>
        <w:pStyle w:val="6"/>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2"/>
        <w:rPr>
          <w:rFonts w:hint="default" w:ascii="Times New Roman" w:hAnsi="Times New Roman" w:eastAsia="宋体" w:cs="Times New Roman"/>
          <w:color w:val="auto"/>
          <w:highlight w:val="none"/>
        </w:rPr>
      </w:pPr>
      <w:bookmarkStart w:id="575" w:name="_Toc4776"/>
      <w:bookmarkStart w:id="576" w:name="_Toc32306"/>
      <w:r>
        <w:rPr>
          <w:rFonts w:hint="default" w:ascii="Times New Roman" w:hAnsi="Times New Roman" w:eastAsia="宋体" w:cs="Times New Roman"/>
          <w:color w:val="auto"/>
          <w:highlight w:val="none"/>
        </w:rPr>
        <w:t>7.1.5.2水土流失保护措施</w:t>
      </w:r>
      <w:bookmarkEnd w:id="575"/>
      <w:bookmarkEnd w:id="576"/>
    </w:p>
    <w:p w14:paraId="2651FBAC">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工程的建设对项目涉及区域水土保持的影响主要发生在施工期，由于表土的开挖、植被的破坏，使抵抗流失力强的表层土壤受到影响；遇到下雨天，将造成严重的水土流失。环评要求建设单位采取以下措施控制水土流失情况：</w:t>
      </w:r>
    </w:p>
    <w:p w14:paraId="79D4C690">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①进一步优化主体工程设计，在既保证主体工程顺利施工的条件下，同时兼顾水土保持的要求。</w:t>
      </w:r>
    </w:p>
    <w:p w14:paraId="5FF31B3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规范施工程序，优化施工组织和施工工艺。合理安排施工时序，尽量缩短施工工期，减少疏松地面的裸露时间；尽量避开雨季施工，适时开挖，减轻施工期造成的水土流失。增加土石方移动过程中临时处理措施，完善边坡挡土工程、护坡工程。修建临时性围墙封闭施工，将水土流失尽量控制在项目区内进行防治。既有利于阻挡水、土外流，防止对四周造成危害，又有利于施工管理。</w:t>
      </w:r>
    </w:p>
    <w:p w14:paraId="694111CC">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③增加临时排水措施和沉沙池工程。本工程全面扰动地表，施工建设期土体裸露面积大、裸露时间较长，雨季易产生严重水土流失，因此在采取永久性防治措施之前，应采取临时性措施，控制施工期水土流失。</w:t>
      </w:r>
    </w:p>
    <w:p w14:paraId="242B179F">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划定表土临时堆置区。为了保护和充分利用不可再生的表土资源，提高工程绿化时的造林成活率，减少工程绿化的造林成本，须设置表土临时堆置区，并对其采取临时性水土保持措施防止水土流失。在项目场地平整前，剥离场内部分表层腐殖土并集中堆置，并采取必要的防护，待工程基本建成后将腐殖土覆盖在绿化区域。</w:t>
      </w:r>
    </w:p>
    <w:p w14:paraId="5CE13255">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⑤工程各处开挖裸露被建筑物、道路占用外，尽可能全部恢复植被，减少水土流失，做到水土流失治理与景观保护相互统一，通过采用乔、灌、草立体绿化、美化等措施防治水土流失，美化项目区环境，使景观得到优化，环境得到改善。</w:t>
      </w:r>
    </w:p>
    <w:p w14:paraId="70FDBD72">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⑥项目建设应满足消防及交通要求，项目道路及给排水管网一次敷设到位，避免改沟改路，尤其应防止沟渠受截而使水流冲刷改道，造成水土流失。</w:t>
      </w:r>
    </w:p>
    <w:p w14:paraId="6A2521A4">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577" w:name="_Toc966"/>
      <w:bookmarkStart w:id="578" w:name="_Toc523322375"/>
      <w:r>
        <w:rPr>
          <w:rFonts w:hint="default" w:ascii="Times New Roman" w:hAnsi="Times New Roman" w:eastAsia="宋体" w:cs="Times New Roman"/>
          <w:color w:val="auto"/>
          <w:highlight w:val="none"/>
        </w:rPr>
        <w:t>7.1.6小结</w:t>
      </w:r>
      <w:bookmarkEnd w:id="577"/>
      <w:bookmarkEnd w:id="578"/>
    </w:p>
    <w:p w14:paraId="47AAABDB">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期的环境影响是随着施工活动而产生的，因此施工期环境影响具有暂时性的特点，施工活动结束影响逐渐消失，不会对区域产生长远的影响。施工期环境保护工作是一项管理和措施并重的工作，施工单位若能强化管理，很多潜在的污染问题便不会出现；对于出现的环境影响采取必要的措施来消减其影响，使其降至最低。本次评价要求建设单位和施工单位在施工委托时明确施工期的环境保护工作内容和目标，明确责任，在施工过程中加强施工管理和环境保护工作。</w:t>
      </w:r>
    </w:p>
    <w:p w14:paraId="62FE38BC">
      <w:pPr>
        <w:pStyle w:val="3"/>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0"/>
        <w:rPr>
          <w:rFonts w:hint="default" w:ascii="Times New Roman" w:hAnsi="Times New Roman" w:eastAsia="宋体" w:cs="Times New Roman"/>
          <w:color w:val="auto"/>
          <w:highlight w:val="none"/>
        </w:rPr>
      </w:pPr>
      <w:bookmarkStart w:id="579" w:name="_Toc530642990"/>
      <w:bookmarkStart w:id="580" w:name="_Toc9499"/>
      <w:r>
        <w:rPr>
          <w:rFonts w:hint="default" w:ascii="Times New Roman" w:hAnsi="Times New Roman" w:eastAsia="宋体" w:cs="Times New Roman"/>
          <w:color w:val="auto"/>
          <w:highlight w:val="none"/>
        </w:rPr>
        <w:t>7.2运营期大气污染防治措施及可行性</w:t>
      </w:r>
      <w:bookmarkEnd w:id="579"/>
      <w:bookmarkEnd w:id="580"/>
    </w:p>
    <w:p w14:paraId="42A81EAC">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本项目运营后产生的废气主要有牛舍及运动场、</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臭气等污染源，为了减少废气对周围环境的影响，需采取如下措施。</w:t>
      </w:r>
    </w:p>
    <w:p w14:paraId="4BCCB249">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581" w:name="_Toc25372"/>
      <w:r>
        <w:rPr>
          <w:rFonts w:hint="default" w:ascii="Times New Roman" w:hAnsi="Times New Roman" w:eastAsia="宋体" w:cs="Times New Roman"/>
          <w:color w:val="auto"/>
          <w:highlight w:val="none"/>
        </w:rPr>
        <w:t>7.2.1恶臭污染防治措施</w:t>
      </w:r>
      <w:bookmarkEnd w:id="581"/>
    </w:p>
    <w:p w14:paraId="79304EB3">
      <w:pPr>
        <w:pStyle w:val="6"/>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7.2.1.1牛舍恶臭防治措施</w:t>
      </w:r>
    </w:p>
    <w:p w14:paraId="125F8881">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养殖场有味气体来源于多个方面，例如动物呼吸、饲料、动物粪便及粪污处理系统等，其中以牛的粪便的味道为主，会挥发出氨、硫化氢等恶臭物质。在国际上，通常根据嗅觉判别标准，将臭气强度划分为6级，恶臭强度分级见下表。</w:t>
      </w:r>
    </w:p>
    <w:p w14:paraId="003C20F3">
      <w:pPr>
        <w:pStyle w:val="7"/>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表7.2-1恶臭强度分级法</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05"/>
        <w:gridCol w:w="6572"/>
      </w:tblGrid>
      <w:tr w14:paraId="25B270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42" w:type="dxa"/>
            <w:tcBorders>
              <w:top w:val="single" w:color="auto" w:sz="4" w:space="0"/>
              <w:left w:val="single" w:color="auto" w:sz="4" w:space="0"/>
            </w:tcBorders>
            <w:vAlign w:val="center"/>
          </w:tcPr>
          <w:p w14:paraId="7739A78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强度</w:t>
            </w:r>
          </w:p>
        </w:tc>
        <w:tc>
          <w:tcPr>
            <w:tcW w:w="7161" w:type="dxa"/>
            <w:tcBorders>
              <w:top w:val="single" w:color="auto" w:sz="4" w:space="0"/>
              <w:right w:val="single" w:color="auto" w:sz="4" w:space="0"/>
            </w:tcBorders>
            <w:vAlign w:val="center"/>
          </w:tcPr>
          <w:p w14:paraId="73B2AD7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指标</w:t>
            </w:r>
          </w:p>
        </w:tc>
      </w:tr>
      <w:tr w14:paraId="36E125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42" w:type="dxa"/>
            <w:tcBorders>
              <w:left w:val="single" w:color="auto" w:sz="4" w:space="0"/>
            </w:tcBorders>
            <w:vAlign w:val="center"/>
          </w:tcPr>
          <w:p w14:paraId="2087B7F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w:t>
            </w:r>
          </w:p>
        </w:tc>
        <w:tc>
          <w:tcPr>
            <w:tcW w:w="7161" w:type="dxa"/>
            <w:tcBorders>
              <w:right w:val="single" w:color="auto" w:sz="4" w:space="0"/>
            </w:tcBorders>
            <w:vAlign w:val="center"/>
          </w:tcPr>
          <w:p w14:paraId="51774A8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无味</w:t>
            </w:r>
          </w:p>
        </w:tc>
      </w:tr>
      <w:tr w14:paraId="3162E0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42" w:type="dxa"/>
            <w:tcBorders>
              <w:left w:val="single" w:color="auto" w:sz="4" w:space="0"/>
            </w:tcBorders>
            <w:vAlign w:val="center"/>
          </w:tcPr>
          <w:p w14:paraId="5D48146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w:t>
            </w:r>
          </w:p>
        </w:tc>
        <w:tc>
          <w:tcPr>
            <w:tcW w:w="7161" w:type="dxa"/>
            <w:tcBorders>
              <w:right w:val="single" w:color="auto" w:sz="4" w:space="0"/>
            </w:tcBorders>
            <w:vAlign w:val="center"/>
          </w:tcPr>
          <w:p w14:paraId="483ABDA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勉强能感觉到气味</w:t>
            </w:r>
          </w:p>
        </w:tc>
      </w:tr>
      <w:tr w14:paraId="0D8A5D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42" w:type="dxa"/>
            <w:tcBorders>
              <w:left w:val="single" w:color="auto" w:sz="4" w:space="0"/>
            </w:tcBorders>
            <w:vAlign w:val="center"/>
          </w:tcPr>
          <w:p w14:paraId="02FC55E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w:t>
            </w:r>
          </w:p>
        </w:tc>
        <w:tc>
          <w:tcPr>
            <w:tcW w:w="7161" w:type="dxa"/>
            <w:tcBorders>
              <w:right w:val="single" w:color="auto" w:sz="4" w:space="0"/>
            </w:tcBorders>
            <w:vAlign w:val="center"/>
          </w:tcPr>
          <w:p w14:paraId="0F365B5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气味很弱但能分辨其性质</w:t>
            </w:r>
          </w:p>
        </w:tc>
      </w:tr>
      <w:tr w14:paraId="18DA71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42" w:type="dxa"/>
            <w:tcBorders>
              <w:left w:val="single" w:color="auto" w:sz="4" w:space="0"/>
            </w:tcBorders>
            <w:vAlign w:val="center"/>
          </w:tcPr>
          <w:p w14:paraId="7A5ACCA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w:t>
            </w:r>
          </w:p>
        </w:tc>
        <w:tc>
          <w:tcPr>
            <w:tcW w:w="7161" w:type="dxa"/>
            <w:tcBorders>
              <w:right w:val="single" w:color="auto" w:sz="4" w:space="0"/>
            </w:tcBorders>
            <w:vAlign w:val="center"/>
          </w:tcPr>
          <w:p w14:paraId="6DC25B3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很容易感觉到气味</w:t>
            </w:r>
          </w:p>
        </w:tc>
      </w:tr>
      <w:tr w14:paraId="5EB7FE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42" w:type="dxa"/>
            <w:tcBorders>
              <w:left w:val="single" w:color="auto" w:sz="4" w:space="0"/>
            </w:tcBorders>
            <w:vAlign w:val="center"/>
          </w:tcPr>
          <w:p w14:paraId="3EA977C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w:t>
            </w:r>
          </w:p>
        </w:tc>
        <w:tc>
          <w:tcPr>
            <w:tcW w:w="7161" w:type="dxa"/>
            <w:tcBorders>
              <w:right w:val="single" w:color="auto" w:sz="4" w:space="0"/>
            </w:tcBorders>
            <w:vAlign w:val="center"/>
          </w:tcPr>
          <w:p w14:paraId="171AB57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强烈的气味</w:t>
            </w:r>
          </w:p>
        </w:tc>
      </w:tr>
      <w:tr w14:paraId="5EBCE9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42" w:type="dxa"/>
            <w:tcBorders>
              <w:left w:val="single" w:color="auto" w:sz="4" w:space="0"/>
              <w:bottom w:val="single" w:color="auto" w:sz="4" w:space="0"/>
            </w:tcBorders>
            <w:vAlign w:val="center"/>
          </w:tcPr>
          <w:p w14:paraId="18E3F09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5</w:t>
            </w:r>
          </w:p>
        </w:tc>
        <w:tc>
          <w:tcPr>
            <w:tcW w:w="7161" w:type="dxa"/>
            <w:tcBorders>
              <w:bottom w:val="single" w:color="auto" w:sz="4" w:space="0"/>
              <w:right w:val="single" w:color="auto" w:sz="4" w:space="0"/>
            </w:tcBorders>
            <w:vAlign w:val="center"/>
          </w:tcPr>
          <w:p w14:paraId="3E6D2DE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center"/>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无法忍受的极强气味</w:t>
            </w:r>
          </w:p>
        </w:tc>
      </w:tr>
    </w:tbl>
    <w:p w14:paraId="43D93B8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据初步统计，与养殖场有关的恶臭物质多达23种，大多为氨、硫化氢、硫醇类、酮类、胺类、吲哚类和醛类，国外研究出七种主要与养殖场有关的恶臭物质的浓度与臭气强度之间的关系，见下表。</w:t>
      </w:r>
    </w:p>
    <w:p w14:paraId="21568B30">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表7.2-2恶臭物质浓度与臭气强度的关系mg/m</w:t>
      </w:r>
      <w:r>
        <w:rPr>
          <w:rFonts w:hint="default" w:ascii="Times New Roman" w:hAnsi="Times New Roman" w:eastAsia="宋体" w:cs="Times New Roman"/>
          <w:color w:val="auto"/>
          <w:highlight w:val="none"/>
          <w:vertAlign w:val="superscript"/>
        </w:rPr>
        <w:t>3</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99"/>
        <w:gridCol w:w="962"/>
        <w:gridCol w:w="1035"/>
        <w:gridCol w:w="1036"/>
        <w:gridCol w:w="1037"/>
        <w:gridCol w:w="1036"/>
        <w:gridCol w:w="1037"/>
        <w:gridCol w:w="1035"/>
      </w:tblGrid>
      <w:tr w14:paraId="66741B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97" w:type="dxa"/>
            <w:tcBorders>
              <w:top w:val="single" w:color="auto" w:sz="4" w:space="0"/>
              <w:left w:val="single" w:color="auto" w:sz="4" w:space="0"/>
              <w:bottom w:val="single" w:color="auto" w:sz="4" w:space="0"/>
              <w:right w:val="single" w:color="auto" w:sz="4" w:space="0"/>
            </w:tcBorders>
            <w:vAlign w:val="center"/>
          </w:tcPr>
          <w:p w14:paraId="5AE553C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臭气强度</w:t>
            </w:r>
          </w:p>
        </w:tc>
        <w:tc>
          <w:tcPr>
            <w:tcW w:w="1045" w:type="dxa"/>
            <w:tcBorders>
              <w:top w:val="single" w:color="auto" w:sz="4" w:space="0"/>
              <w:left w:val="single" w:color="auto" w:sz="4" w:space="0"/>
              <w:bottom w:val="single" w:color="auto" w:sz="4" w:space="0"/>
              <w:right w:val="single" w:color="auto" w:sz="4" w:space="0"/>
            </w:tcBorders>
            <w:vAlign w:val="center"/>
          </w:tcPr>
          <w:p w14:paraId="4E6988F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w:t>
            </w:r>
          </w:p>
        </w:tc>
        <w:tc>
          <w:tcPr>
            <w:tcW w:w="1126" w:type="dxa"/>
            <w:tcBorders>
              <w:top w:val="single" w:color="auto" w:sz="4" w:space="0"/>
              <w:left w:val="single" w:color="auto" w:sz="4" w:space="0"/>
              <w:bottom w:val="single" w:color="auto" w:sz="4" w:space="0"/>
              <w:right w:val="single" w:color="auto" w:sz="4" w:space="0"/>
            </w:tcBorders>
            <w:vAlign w:val="center"/>
          </w:tcPr>
          <w:p w14:paraId="30EF464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硫醇</w:t>
            </w:r>
          </w:p>
        </w:tc>
        <w:tc>
          <w:tcPr>
            <w:tcW w:w="1127" w:type="dxa"/>
            <w:tcBorders>
              <w:top w:val="single" w:color="auto" w:sz="4" w:space="0"/>
              <w:left w:val="single" w:color="auto" w:sz="4" w:space="0"/>
              <w:bottom w:val="single" w:color="auto" w:sz="4" w:space="0"/>
              <w:right w:val="single" w:color="auto" w:sz="4" w:space="0"/>
            </w:tcBorders>
            <w:vAlign w:val="center"/>
          </w:tcPr>
          <w:p w14:paraId="63ECFB0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硫化氢</w:t>
            </w:r>
          </w:p>
        </w:tc>
        <w:tc>
          <w:tcPr>
            <w:tcW w:w="1128" w:type="dxa"/>
            <w:tcBorders>
              <w:top w:val="single" w:color="auto" w:sz="4" w:space="0"/>
              <w:left w:val="single" w:color="auto" w:sz="4" w:space="0"/>
              <w:bottom w:val="single" w:color="auto" w:sz="4" w:space="0"/>
              <w:right w:val="single" w:color="auto" w:sz="4" w:space="0"/>
            </w:tcBorders>
            <w:vAlign w:val="center"/>
          </w:tcPr>
          <w:p w14:paraId="74F1AD0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甲基硫</w:t>
            </w:r>
          </w:p>
        </w:tc>
        <w:tc>
          <w:tcPr>
            <w:tcW w:w="1127" w:type="dxa"/>
            <w:tcBorders>
              <w:top w:val="single" w:color="auto" w:sz="4" w:space="0"/>
              <w:left w:val="single" w:color="auto" w:sz="4" w:space="0"/>
              <w:bottom w:val="single" w:color="auto" w:sz="4" w:space="0"/>
              <w:right w:val="single" w:color="auto" w:sz="4" w:space="0"/>
            </w:tcBorders>
            <w:vAlign w:val="center"/>
          </w:tcPr>
          <w:p w14:paraId="3E3CEAF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二甲硫</w:t>
            </w:r>
          </w:p>
        </w:tc>
        <w:tc>
          <w:tcPr>
            <w:tcW w:w="1128" w:type="dxa"/>
            <w:tcBorders>
              <w:top w:val="single" w:color="auto" w:sz="4" w:space="0"/>
              <w:left w:val="single" w:color="auto" w:sz="4" w:space="0"/>
              <w:bottom w:val="single" w:color="auto" w:sz="4" w:space="0"/>
              <w:right w:val="single" w:color="auto" w:sz="4" w:space="0"/>
            </w:tcBorders>
            <w:vAlign w:val="center"/>
          </w:tcPr>
          <w:p w14:paraId="22C1BA2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三甲胺</w:t>
            </w:r>
          </w:p>
        </w:tc>
        <w:tc>
          <w:tcPr>
            <w:tcW w:w="1125" w:type="dxa"/>
            <w:tcBorders>
              <w:top w:val="single" w:color="auto" w:sz="4" w:space="0"/>
              <w:left w:val="single" w:color="auto" w:sz="4" w:space="0"/>
              <w:bottom w:val="single" w:color="auto" w:sz="4" w:space="0"/>
              <w:right w:val="single" w:color="auto" w:sz="4" w:space="0"/>
            </w:tcBorders>
            <w:vAlign w:val="center"/>
          </w:tcPr>
          <w:p w14:paraId="13AD416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乙醛</w:t>
            </w:r>
          </w:p>
        </w:tc>
      </w:tr>
      <w:tr w14:paraId="3D6976F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97" w:type="dxa"/>
            <w:tcBorders>
              <w:top w:val="single" w:color="auto" w:sz="4" w:space="0"/>
              <w:left w:val="single" w:color="auto" w:sz="4" w:space="0"/>
              <w:bottom w:val="single" w:color="auto" w:sz="4" w:space="0"/>
              <w:right w:val="single" w:color="auto" w:sz="4" w:space="0"/>
            </w:tcBorders>
            <w:vAlign w:val="center"/>
          </w:tcPr>
          <w:p w14:paraId="4B13086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045" w:type="dxa"/>
            <w:tcBorders>
              <w:top w:val="single" w:color="auto" w:sz="4" w:space="0"/>
              <w:left w:val="single" w:color="auto" w:sz="4" w:space="0"/>
              <w:bottom w:val="single" w:color="auto" w:sz="4" w:space="0"/>
              <w:right w:val="single" w:color="auto" w:sz="4" w:space="0"/>
            </w:tcBorders>
            <w:vAlign w:val="center"/>
          </w:tcPr>
          <w:p w14:paraId="3B978B7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w:t>
            </w:r>
          </w:p>
        </w:tc>
        <w:tc>
          <w:tcPr>
            <w:tcW w:w="1126" w:type="dxa"/>
            <w:tcBorders>
              <w:top w:val="single" w:color="auto" w:sz="4" w:space="0"/>
              <w:left w:val="single" w:color="auto" w:sz="4" w:space="0"/>
              <w:bottom w:val="single" w:color="auto" w:sz="4" w:space="0"/>
              <w:right w:val="single" w:color="auto" w:sz="4" w:space="0"/>
            </w:tcBorders>
            <w:vAlign w:val="center"/>
          </w:tcPr>
          <w:p w14:paraId="10A7DA8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0.0001</w:t>
            </w:r>
          </w:p>
        </w:tc>
        <w:tc>
          <w:tcPr>
            <w:tcW w:w="1127" w:type="dxa"/>
            <w:tcBorders>
              <w:top w:val="single" w:color="auto" w:sz="4" w:space="0"/>
              <w:left w:val="single" w:color="auto" w:sz="4" w:space="0"/>
              <w:bottom w:val="single" w:color="auto" w:sz="4" w:space="0"/>
              <w:right w:val="single" w:color="auto" w:sz="4" w:space="0"/>
            </w:tcBorders>
            <w:vAlign w:val="center"/>
          </w:tcPr>
          <w:p w14:paraId="01406DC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0.0005</w:t>
            </w:r>
          </w:p>
        </w:tc>
        <w:tc>
          <w:tcPr>
            <w:tcW w:w="1128" w:type="dxa"/>
            <w:tcBorders>
              <w:top w:val="single" w:color="auto" w:sz="4" w:space="0"/>
              <w:left w:val="single" w:color="auto" w:sz="4" w:space="0"/>
              <w:bottom w:val="single" w:color="auto" w:sz="4" w:space="0"/>
              <w:right w:val="single" w:color="auto" w:sz="4" w:space="0"/>
            </w:tcBorders>
            <w:vAlign w:val="center"/>
          </w:tcPr>
          <w:p w14:paraId="197E920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0.0001</w:t>
            </w:r>
          </w:p>
        </w:tc>
        <w:tc>
          <w:tcPr>
            <w:tcW w:w="1127" w:type="dxa"/>
            <w:tcBorders>
              <w:top w:val="single" w:color="auto" w:sz="4" w:space="0"/>
              <w:left w:val="single" w:color="auto" w:sz="4" w:space="0"/>
              <w:bottom w:val="single" w:color="auto" w:sz="4" w:space="0"/>
              <w:right w:val="single" w:color="auto" w:sz="4" w:space="0"/>
            </w:tcBorders>
            <w:vAlign w:val="center"/>
          </w:tcPr>
          <w:p w14:paraId="137EE8C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0.0003</w:t>
            </w:r>
          </w:p>
        </w:tc>
        <w:tc>
          <w:tcPr>
            <w:tcW w:w="1128" w:type="dxa"/>
            <w:tcBorders>
              <w:top w:val="single" w:color="auto" w:sz="4" w:space="0"/>
              <w:left w:val="single" w:color="auto" w:sz="4" w:space="0"/>
              <w:bottom w:val="single" w:color="auto" w:sz="4" w:space="0"/>
              <w:right w:val="single" w:color="auto" w:sz="4" w:space="0"/>
            </w:tcBorders>
            <w:vAlign w:val="center"/>
          </w:tcPr>
          <w:p w14:paraId="698DD0D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0.0001</w:t>
            </w:r>
          </w:p>
        </w:tc>
        <w:tc>
          <w:tcPr>
            <w:tcW w:w="1125" w:type="dxa"/>
            <w:tcBorders>
              <w:top w:val="single" w:color="auto" w:sz="4" w:space="0"/>
              <w:left w:val="single" w:color="auto" w:sz="4" w:space="0"/>
              <w:bottom w:val="single" w:color="auto" w:sz="4" w:space="0"/>
              <w:right w:val="single" w:color="auto" w:sz="4" w:space="0"/>
            </w:tcBorders>
            <w:vAlign w:val="center"/>
          </w:tcPr>
          <w:p w14:paraId="4EC7A3E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0.002</w:t>
            </w:r>
          </w:p>
        </w:tc>
      </w:tr>
      <w:tr w14:paraId="3B8DF2C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97" w:type="dxa"/>
            <w:tcBorders>
              <w:top w:val="single" w:color="auto" w:sz="4" w:space="0"/>
              <w:left w:val="single" w:color="auto" w:sz="4" w:space="0"/>
              <w:bottom w:val="single" w:color="auto" w:sz="4" w:space="0"/>
              <w:right w:val="single" w:color="auto" w:sz="4" w:space="0"/>
            </w:tcBorders>
            <w:vAlign w:val="center"/>
          </w:tcPr>
          <w:p w14:paraId="2203AE5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045" w:type="dxa"/>
            <w:tcBorders>
              <w:top w:val="single" w:color="auto" w:sz="4" w:space="0"/>
              <w:left w:val="single" w:color="auto" w:sz="4" w:space="0"/>
              <w:bottom w:val="single" w:color="auto" w:sz="4" w:space="0"/>
              <w:right w:val="single" w:color="auto" w:sz="4" w:space="0"/>
            </w:tcBorders>
            <w:vAlign w:val="center"/>
          </w:tcPr>
          <w:p w14:paraId="0733B5C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w:t>
            </w:r>
          </w:p>
        </w:tc>
        <w:tc>
          <w:tcPr>
            <w:tcW w:w="1126" w:type="dxa"/>
            <w:tcBorders>
              <w:top w:val="single" w:color="auto" w:sz="4" w:space="0"/>
              <w:left w:val="single" w:color="auto" w:sz="4" w:space="0"/>
              <w:bottom w:val="single" w:color="auto" w:sz="4" w:space="0"/>
              <w:right w:val="single" w:color="auto" w:sz="4" w:space="0"/>
            </w:tcBorders>
            <w:vAlign w:val="center"/>
          </w:tcPr>
          <w:p w14:paraId="0387FB8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0.0007</w:t>
            </w:r>
          </w:p>
        </w:tc>
        <w:tc>
          <w:tcPr>
            <w:tcW w:w="1127" w:type="dxa"/>
            <w:tcBorders>
              <w:top w:val="single" w:color="auto" w:sz="4" w:space="0"/>
              <w:left w:val="single" w:color="auto" w:sz="4" w:space="0"/>
              <w:bottom w:val="single" w:color="auto" w:sz="4" w:space="0"/>
              <w:right w:val="single" w:color="auto" w:sz="4" w:space="0"/>
            </w:tcBorders>
            <w:vAlign w:val="center"/>
          </w:tcPr>
          <w:p w14:paraId="026E3C1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0.006</w:t>
            </w:r>
          </w:p>
        </w:tc>
        <w:tc>
          <w:tcPr>
            <w:tcW w:w="1128" w:type="dxa"/>
            <w:tcBorders>
              <w:top w:val="single" w:color="auto" w:sz="4" w:space="0"/>
              <w:left w:val="single" w:color="auto" w:sz="4" w:space="0"/>
              <w:bottom w:val="single" w:color="auto" w:sz="4" w:space="0"/>
              <w:right w:val="single" w:color="auto" w:sz="4" w:space="0"/>
            </w:tcBorders>
            <w:vAlign w:val="center"/>
          </w:tcPr>
          <w:p w14:paraId="3741780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0.002</w:t>
            </w:r>
          </w:p>
        </w:tc>
        <w:tc>
          <w:tcPr>
            <w:tcW w:w="1127" w:type="dxa"/>
            <w:tcBorders>
              <w:top w:val="single" w:color="auto" w:sz="4" w:space="0"/>
              <w:left w:val="single" w:color="auto" w:sz="4" w:space="0"/>
              <w:bottom w:val="single" w:color="auto" w:sz="4" w:space="0"/>
              <w:right w:val="single" w:color="auto" w:sz="4" w:space="0"/>
            </w:tcBorders>
            <w:vAlign w:val="center"/>
          </w:tcPr>
          <w:p w14:paraId="4FD3381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0.003</w:t>
            </w:r>
          </w:p>
        </w:tc>
        <w:tc>
          <w:tcPr>
            <w:tcW w:w="1128" w:type="dxa"/>
            <w:tcBorders>
              <w:top w:val="single" w:color="auto" w:sz="4" w:space="0"/>
              <w:left w:val="single" w:color="auto" w:sz="4" w:space="0"/>
              <w:bottom w:val="single" w:color="auto" w:sz="4" w:space="0"/>
              <w:right w:val="single" w:color="auto" w:sz="4" w:space="0"/>
            </w:tcBorders>
            <w:vAlign w:val="center"/>
          </w:tcPr>
          <w:p w14:paraId="723A028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0.001</w:t>
            </w:r>
          </w:p>
        </w:tc>
        <w:tc>
          <w:tcPr>
            <w:tcW w:w="1125" w:type="dxa"/>
            <w:tcBorders>
              <w:top w:val="single" w:color="auto" w:sz="4" w:space="0"/>
              <w:left w:val="single" w:color="auto" w:sz="4" w:space="0"/>
              <w:bottom w:val="single" w:color="auto" w:sz="4" w:space="0"/>
              <w:right w:val="single" w:color="auto" w:sz="4" w:space="0"/>
            </w:tcBorders>
            <w:vAlign w:val="center"/>
          </w:tcPr>
          <w:p w14:paraId="4AA7FA2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0.01</w:t>
            </w:r>
          </w:p>
        </w:tc>
      </w:tr>
      <w:tr w14:paraId="15D8389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97" w:type="dxa"/>
            <w:tcBorders>
              <w:top w:val="single" w:color="auto" w:sz="4" w:space="0"/>
              <w:left w:val="single" w:color="auto" w:sz="4" w:space="0"/>
              <w:bottom w:val="single" w:color="auto" w:sz="4" w:space="0"/>
              <w:right w:val="single" w:color="auto" w:sz="4" w:space="0"/>
            </w:tcBorders>
            <w:vAlign w:val="center"/>
          </w:tcPr>
          <w:p w14:paraId="1560105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w:t>
            </w:r>
          </w:p>
        </w:tc>
        <w:tc>
          <w:tcPr>
            <w:tcW w:w="1045" w:type="dxa"/>
            <w:tcBorders>
              <w:top w:val="single" w:color="auto" w:sz="4" w:space="0"/>
              <w:left w:val="single" w:color="auto" w:sz="4" w:space="0"/>
              <w:bottom w:val="single" w:color="auto" w:sz="4" w:space="0"/>
              <w:right w:val="single" w:color="auto" w:sz="4" w:space="0"/>
            </w:tcBorders>
            <w:vAlign w:val="center"/>
          </w:tcPr>
          <w:p w14:paraId="24A1D13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126" w:type="dxa"/>
            <w:tcBorders>
              <w:top w:val="single" w:color="auto" w:sz="4" w:space="0"/>
              <w:left w:val="single" w:color="auto" w:sz="4" w:space="0"/>
              <w:bottom w:val="single" w:color="auto" w:sz="4" w:space="0"/>
              <w:right w:val="single" w:color="auto" w:sz="4" w:space="0"/>
            </w:tcBorders>
            <w:vAlign w:val="center"/>
          </w:tcPr>
          <w:p w14:paraId="245F6AF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0.002</w:t>
            </w:r>
          </w:p>
        </w:tc>
        <w:tc>
          <w:tcPr>
            <w:tcW w:w="1127" w:type="dxa"/>
            <w:tcBorders>
              <w:top w:val="single" w:color="auto" w:sz="4" w:space="0"/>
              <w:left w:val="single" w:color="auto" w:sz="4" w:space="0"/>
              <w:bottom w:val="single" w:color="auto" w:sz="4" w:space="0"/>
              <w:right w:val="single" w:color="auto" w:sz="4" w:space="0"/>
            </w:tcBorders>
            <w:vAlign w:val="center"/>
          </w:tcPr>
          <w:p w14:paraId="78E919E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0.02</w:t>
            </w:r>
          </w:p>
        </w:tc>
        <w:tc>
          <w:tcPr>
            <w:tcW w:w="1128" w:type="dxa"/>
            <w:tcBorders>
              <w:top w:val="single" w:color="auto" w:sz="4" w:space="0"/>
              <w:left w:val="single" w:color="auto" w:sz="4" w:space="0"/>
              <w:bottom w:val="single" w:color="auto" w:sz="4" w:space="0"/>
              <w:right w:val="single" w:color="auto" w:sz="4" w:space="0"/>
            </w:tcBorders>
            <w:vAlign w:val="center"/>
          </w:tcPr>
          <w:p w14:paraId="5A1BD34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0.01</w:t>
            </w:r>
          </w:p>
        </w:tc>
        <w:tc>
          <w:tcPr>
            <w:tcW w:w="1127" w:type="dxa"/>
            <w:tcBorders>
              <w:top w:val="single" w:color="auto" w:sz="4" w:space="0"/>
              <w:left w:val="single" w:color="auto" w:sz="4" w:space="0"/>
              <w:bottom w:val="single" w:color="auto" w:sz="4" w:space="0"/>
              <w:right w:val="single" w:color="auto" w:sz="4" w:space="0"/>
            </w:tcBorders>
            <w:vAlign w:val="center"/>
          </w:tcPr>
          <w:p w14:paraId="212BC1E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0.009</w:t>
            </w:r>
          </w:p>
        </w:tc>
        <w:tc>
          <w:tcPr>
            <w:tcW w:w="1128" w:type="dxa"/>
            <w:tcBorders>
              <w:top w:val="single" w:color="auto" w:sz="4" w:space="0"/>
              <w:left w:val="single" w:color="auto" w:sz="4" w:space="0"/>
              <w:bottom w:val="single" w:color="auto" w:sz="4" w:space="0"/>
              <w:right w:val="single" w:color="auto" w:sz="4" w:space="0"/>
            </w:tcBorders>
            <w:vAlign w:val="center"/>
          </w:tcPr>
          <w:p w14:paraId="2448E31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0.005</w:t>
            </w:r>
          </w:p>
        </w:tc>
        <w:tc>
          <w:tcPr>
            <w:tcW w:w="1125" w:type="dxa"/>
            <w:tcBorders>
              <w:top w:val="single" w:color="auto" w:sz="4" w:space="0"/>
              <w:left w:val="single" w:color="auto" w:sz="4" w:space="0"/>
              <w:bottom w:val="single" w:color="auto" w:sz="4" w:space="0"/>
              <w:right w:val="single" w:color="auto" w:sz="4" w:space="0"/>
            </w:tcBorders>
            <w:vAlign w:val="center"/>
          </w:tcPr>
          <w:p w14:paraId="7181AB2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0.05</w:t>
            </w:r>
          </w:p>
        </w:tc>
      </w:tr>
      <w:tr w14:paraId="023314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97" w:type="dxa"/>
            <w:tcBorders>
              <w:top w:val="single" w:color="auto" w:sz="4" w:space="0"/>
              <w:left w:val="single" w:color="auto" w:sz="4" w:space="0"/>
              <w:bottom w:val="single" w:color="auto" w:sz="4" w:space="0"/>
              <w:right w:val="single" w:color="auto" w:sz="4" w:space="0"/>
            </w:tcBorders>
            <w:vAlign w:val="center"/>
          </w:tcPr>
          <w:p w14:paraId="1A11FCB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045" w:type="dxa"/>
            <w:tcBorders>
              <w:top w:val="single" w:color="auto" w:sz="4" w:space="0"/>
              <w:left w:val="single" w:color="auto" w:sz="4" w:space="0"/>
              <w:bottom w:val="single" w:color="auto" w:sz="4" w:space="0"/>
              <w:right w:val="single" w:color="auto" w:sz="4" w:space="0"/>
            </w:tcBorders>
            <w:vAlign w:val="center"/>
          </w:tcPr>
          <w:p w14:paraId="43B799D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126" w:type="dxa"/>
            <w:tcBorders>
              <w:top w:val="single" w:color="auto" w:sz="4" w:space="0"/>
              <w:left w:val="single" w:color="auto" w:sz="4" w:space="0"/>
              <w:bottom w:val="single" w:color="auto" w:sz="4" w:space="0"/>
              <w:right w:val="single" w:color="auto" w:sz="4" w:space="0"/>
            </w:tcBorders>
            <w:vAlign w:val="center"/>
          </w:tcPr>
          <w:p w14:paraId="2189A63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0.004</w:t>
            </w:r>
          </w:p>
        </w:tc>
        <w:tc>
          <w:tcPr>
            <w:tcW w:w="1127" w:type="dxa"/>
            <w:tcBorders>
              <w:top w:val="single" w:color="auto" w:sz="4" w:space="0"/>
              <w:left w:val="single" w:color="auto" w:sz="4" w:space="0"/>
              <w:bottom w:val="single" w:color="auto" w:sz="4" w:space="0"/>
              <w:right w:val="single" w:color="auto" w:sz="4" w:space="0"/>
            </w:tcBorders>
            <w:vAlign w:val="center"/>
          </w:tcPr>
          <w:p w14:paraId="356D537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0.06</w:t>
            </w:r>
          </w:p>
        </w:tc>
        <w:tc>
          <w:tcPr>
            <w:tcW w:w="1128" w:type="dxa"/>
            <w:tcBorders>
              <w:top w:val="single" w:color="auto" w:sz="4" w:space="0"/>
              <w:left w:val="single" w:color="auto" w:sz="4" w:space="0"/>
              <w:bottom w:val="single" w:color="auto" w:sz="4" w:space="0"/>
              <w:right w:val="single" w:color="auto" w:sz="4" w:space="0"/>
            </w:tcBorders>
            <w:vAlign w:val="center"/>
          </w:tcPr>
          <w:p w14:paraId="1202932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0.05</w:t>
            </w:r>
          </w:p>
        </w:tc>
        <w:tc>
          <w:tcPr>
            <w:tcW w:w="1127" w:type="dxa"/>
            <w:tcBorders>
              <w:top w:val="single" w:color="auto" w:sz="4" w:space="0"/>
              <w:left w:val="single" w:color="auto" w:sz="4" w:space="0"/>
              <w:bottom w:val="single" w:color="auto" w:sz="4" w:space="0"/>
              <w:right w:val="single" w:color="auto" w:sz="4" w:space="0"/>
            </w:tcBorders>
            <w:vAlign w:val="center"/>
          </w:tcPr>
          <w:p w14:paraId="03F9860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0.03</w:t>
            </w:r>
          </w:p>
        </w:tc>
        <w:tc>
          <w:tcPr>
            <w:tcW w:w="1128" w:type="dxa"/>
            <w:tcBorders>
              <w:top w:val="single" w:color="auto" w:sz="4" w:space="0"/>
              <w:left w:val="single" w:color="auto" w:sz="4" w:space="0"/>
              <w:bottom w:val="single" w:color="auto" w:sz="4" w:space="0"/>
              <w:right w:val="single" w:color="auto" w:sz="4" w:space="0"/>
            </w:tcBorders>
            <w:vAlign w:val="center"/>
          </w:tcPr>
          <w:p w14:paraId="5AAA75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0.02</w:t>
            </w:r>
          </w:p>
        </w:tc>
        <w:tc>
          <w:tcPr>
            <w:tcW w:w="1125" w:type="dxa"/>
            <w:tcBorders>
              <w:top w:val="single" w:color="auto" w:sz="4" w:space="0"/>
              <w:left w:val="single" w:color="auto" w:sz="4" w:space="0"/>
              <w:bottom w:val="single" w:color="auto" w:sz="4" w:space="0"/>
              <w:right w:val="single" w:color="auto" w:sz="4" w:space="0"/>
            </w:tcBorders>
            <w:vAlign w:val="center"/>
          </w:tcPr>
          <w:p w14:paraId="00B2596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w:t>
            </w:r>
          </w:p>
        </w:tc>
      </w:tr>
      <w:tr w14:paraId="2F9AEBC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97" w:type="dxa"/>
            <w:tcBorders>
              <w:top w:val="single" w:color="auto" w:sz="4" w:space="0"/>
              <w:left w:val="single" w:color="auto" w:sz="4" w:space="0"/>
              <w:bottom w:val="single" w:color="auto" w:sz="4" w:space="0"/>
              <w:right w:val="single" w:color="auto" w:sz="4" w:space="0"/>
            </w:tcBorders>
            <w:vAlign w:val="center"/>
          </w:tcPr>
          <w:p w14:paraId="549BC47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w:t>
            </w:r>
          </w:p>
        </w:tc>
        <w:tc>
          <w:tcPr>
            <w:tcW w:w="1045" w:type="dxa"/>
            <w:tcBorders>
              <w:top w:val="single" w:color="auto" w:sz="4" w:space="0"/>
              <w:left w:val="single" w:color="auto" w:sz="4" w:space="0"/>
              <w:bottom w:val="single" w:color="auto" w:sz="4" w:space="0"/>
              <w:right w:val="single" w:color="auto" w:sz="4" w:space="0"/>
            </w:tcBorders>
            <w:vAlign w:val="center"/>
          </w:tcPr>
          <w:p w14:paraId="44950F8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126" w:type="dxa"/>
            <w:tcBorders>
              <w:top w:val="single" w:color="auto" w:sz="4" w:space="0"/>
              <w:left w:val="single" w:color="auto" w:sz="4" w:space="0"/>
              <w:bottom w:val="single" w:color="auto" w:sz="4" w:space="0"/>
              <w:right w:val="single" w:color="auto" w:sz="4" w:space="0"/>
            </w:tcBorders>
            <w:vAlign w:val="center"/>
          </w:tcPr>
          <w:p w14:paraId="13F7368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0.01</w:t>
            </w:r>
          </w:p>
        </w:tc>
        <w:tc>
          <w:tcPr>
            <w:tcW w:w="1127" w:type="dxa"/>
            <w:tcBorders>
              <w:top w:val="single" w:color="auto" w:sz="4" w:space="0"/>
              <w:left w:val="single" w:color="auto" w:sz="4" w:space="0"/>
              <w:bottom w:val="single" w:color="auto" w:sz="4" w:space="0"/>
              <w:right w:val="single" w:color="auto" w:sz="4" w:space="0"/>
            </w:tcBorders>
            <w:vAlign w:val="center"/>
          </w:tcPr>
          <w:p w14:paraId="28298E9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w:t>
            </w:r>
          </w:p>
        </w:tc>
        <w:tc>
          <w:tcPr>
            <w:tcW w:w="1128" w:type="dxa"/>
            <w:tcBorders>
              <w:top w:val="single" w:color="auto" w:sz="4" w:space="0"/>
              <w:left w:val="single" w:color="auto" w:sz="4" w:space="0"/>
              <w:bottom w:val="single" w:color="auto" w:sz="4" w:space="0"/>
              <w:right w:val="single" w:color="auto" w:sz="4" w:space="0"/>
            </w:tcBorders>
            <w:vAlign w:val="center"/>
          </w:tcPr>
          <w:p w14:paraId="121BAEC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w:t>
            </w:r>
          </w:p>
        </w:tc>
        <w:tc>
          <w:tcPr>
            <w:tcW w:w="1127" w:type="dxa"/>
            <w:tcBorders>
              <w:top w:val="single" w:color="auto" w:sz="4" w:space="0"/>
              <w:left w:val="single" w:color="auto" w:sz="4" w:space="0"/>
              <w:bottom w:val="single" w:color="auto" w:sz="4" w:space="0"/>
              <w:right w:val="single" w:color="auto" w:sz="4" w:space="0"/>
            </w:tcBorders>
            <w:vAlign w:val="center"/>
          </w:tcPr>
          <w:p w14:paraId="585DC4E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w:t>
            </w:r>
          </w:p>
        </w:tc>
        <w:tc>
          <w:tcPr>
            <w:tcW w:w="1128" w:type="dxa"/>
            <w:tcBorders>
              <w:top w:val="single" w:color="auto" w:sz="4" w:space="0"/>
              <w:left w:val="single" w:color="auto" w:sz="4" w:space="0"/>
              <w:bottom w:val="single" w:color="auto" w:sz="4" w:space="0"/>
              <w:right w:val="single" w:color="auto" w:sz="4" w:space="0"/>
            </w:tcBorders>
            <w:vAlign w:val="center"/>
          </w:tcPr>
          <w:p w14:paraId="067315E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0.07</w:t>
            </w:r>
          </w:p>
        </w:tc>
        <w:tc>
          <w:tcPr>
            <w:tcW w:w="1125" w:type="dxa"/>
            <w:tcBorders>
              <w:top w:val="single" w:color="auto" w:sz="4" w:space="0"/>
              <w:left w:val="single" w:color="auto" w:sz="4" w:space="0"/>
              <w:bottom w:val="single" w:color="auto" w:sz="4" w:space="0"/>
              <w:right w:val="single" w:color="auto" w:sz="4" w:space="0"/>
            </w:tcBorders>
            <w:vAlign w:val="center"/>
          </w:tcPr>
          <w:p w14:paraId="49A05B8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w:t>
            </w:r>
          </w:p>
        </w:tc>
      </w:tr>
      <w:tr w14:paraId="73410D1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97" w:type="dxa"/>
            <w:tcBorders>
              <w:top w:val="single" w:color="auto" w:sz="4" w:space="0"/>
              <w:left w:val="single" w:color="auto" w:sz="4" w:space="0"/>
              <w:bottom w:val="single" w:color="auto" w:sz="4" w:space="0"/>
              <w:right w:val="single" w:color="auto" w:sz="4" w:space="0"/>
            </w:tcBorders>
            <w:vAlign w:val="center"/>
          </w:tcPr>
          <w:p w14:paraId="5713E81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045" w:type="dxa"/>
            <w:tcBorders>
              <w:top w:val="single" w:color="auto" w:sz="4" w:space="0"/>
              <w:left w:val="single" w:color="auto" w:sz="4" w:space="0"/>
              <w:bottom w:val="single" w:color="auto" w:sz="4" w:space="0"/>
              <w:right w:val="single" w:color="auto" w:sz="4" w:space="0"/>
            </w:tcBorders>
            <w:vAlign w:val="center"/>
          </w:tcPr>
          <w:p w14:paraId="5CC822A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126" w:type="dxa"/>
            <w:tcBorders>
              <w:top w:val="single" w:color="auto" w:sz="4" w:space="0"/>
              <w:left w:val="single" w:color="auto" w:sz="4" w:space="0"/>
              <w:bottom w:val="single" w:color="auto" w:sz="4" w:space="0"/>
              <w:right w:val="single" w:color="auto" w:sz="4" w:space="0"/>
            </w:tcBorders>
            <w:vAlign w:val="center"/>
          </w:tcPr>
          <w:p w14:paraId="7279141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0.03</w:t>
            </w:r>
          </w:p>
        </w:tc>
        <w:tc>
          <w:tcPr>
            <w:tcW w:w="1127" w:type="dxa"/>
            <w:tcBorders>
              <w:top w:val="single" w:color="auto" w:sz="4" w:space="0"/>
              <w:left w:val="single" w:color="auto" w:sz="4" w:space="0"/>
              <w:bottom w:val="single" w:color="auto" w:sz="4" w:space="0"/>
              <w:right w:val="single" w:color="auto" w:sz="4" w:space="0"/>
            </w:tcBorders>
            <w:vAlign w:val="center"/>
          </w:tcPr>
          <w:p w14:paraId="44559C0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0.7</w:t>
            </w:r>
          </w:p>
        </w:tc>
        <w:tc>
          <w:tcPr>
            <w:tcW w:w="1128" w:type="dxa"/>
            <w:tcBorders>
              <w:top w:val="single" w:color="auto" w:sz="4" w:space="0"/>
              <w:left w:val="single" w:color="auto" w:sz="4" w:space="0"/>
              <w:bottom w:val="single" w:color="auto" w:sz="4" w:space="0"/>
              <w:right w:val="single" w:color="auto" w:sz="4" w:space="0"/>
            </w:tcBorders>
            <w:vAlign w:val="center"/>
          </w:tcPr>
          <w:p w14:paraId="04A9392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0.8</w:t>
            </w:r>
          </w:p>
        </w:tc>
        <w:tc>
          <w:tcPr>
            <w:tcW w:w="1127" w:type="dxa"/>
            <w:tcBorders>
              <w:top w:val="single" w:color="auto" w:sz="4" w:space="0"/>
              <w:left w:val="single" w:color="auto" w:sz="4" w:space="0"/>
              <w:bottom w:val="single" w:color="auto" w:sz="4" w:space="0"/>
              <w:right w:val="single" w:color="auto" w:sz="4" w:space="0"/>
            </w:tcBorders>
            <w:vAlign w:val="center"/>
          </w:tcPr>
          <w:p w14:paraId="3C90875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0.3</w:t>
            </w:r>
          </w:p>
        </w:tc>
        <w:tc>
          <w:tcPr>
            <w:tcW w:w="1128" w:type="dxa"/>
            <w:tcBorders>
              <w:top w:val="single" w:color="auto" w:sz="4" w:space="0"/>
              <w:left w:val="single" w:color="auto" w:sz="4" w:space="0"/>
              <w:bottom w:val="single" w:color="auto" w:sz="4" w:space="0"/>
              <w:right w:val="single" w:color="auto" w:sz="4" w:space="0"/>
            </w:tcBorders>
            <w:vAlign w:val="center"/>
          </w:tcPr>
          <w:p w14:paraId="1F7888A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w:t>
            </w:r>
          </w:p>
        </w:tc>
        <w:tc>
          <w:tcPr>
            <w:tcW w:w="1125" w:type="dxa"/>
            <w:tcBorders>
              <w:top w:val="single" w:color="auto" w:sz="4" w:space="0"/>
              <w:left w:val="single" w:color="auto" w:sz="4" w:space="0"/>
              <w:bottom w:val="single" w:color="auto" w:sz="4" w:space="0"/>
              <w:right w:val="single" w:color="auto" w:sz="4" w:space="0"/>
            </w:tcBorders>
            <w:vAlign w:val="center"/>
          </w:tcPr>
          <w:p w14:paraId="75B296A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r>
      <w:tr w14:paraId="48D3FBC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97" w:type="dxa"/>
            <w:tcBorders>
              <w:top w:val="single" w:color="auto" w:sz="4" w:space="0"/>
              <w:left w:val="single" w:color="auto" w:sz="4" w:space="0"/>
              <w:bottom w:val="single" w:color="auto" w:sz="4" w:space="0"/>
              <w:right w:val="single" w:color="auto" w:sz="4" w:space="0"/>
            </w:tcBorders>
            <w:vAlign w:val="center"/>
          </w:tcPr>
          <w:p w14:paraId="5617C83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045" w:type="dxa"/>
            <w:tcBorders>
              <w:top w:val="single" w:color="auto" w:sz="4" w:space="0"/>
              <w:left w:val="single" w:color="auto" w:sz="4" w:space="0"/>
              <w:bottom w:val="single" w:color="auto" w:sz="4" w:space="0"/>
              <w:right w:val="single" w:color="auto" w:sz="4" w:space="0"/>
            </w:tcBorders>
            <w:vAlign w:val="center"/>
          </w:tcPr>
          <w:p w14:paraId="55561C0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1126" w:type="dxa"/>
            <w:tcBorders>
              <w:top w:val="single" w:color="auto" w:sz="4" w:space="0"/>
              <w:left w:val="single" w:color="auto" w:sz="4" w:space="0"/>
              <w:bottom w:val="single" w:color="auto" w:sz="4" w:space="0"/>
              <w:right w:val="single" w:color="auto" w:sz="4" w:space="0"/>
            </w:tcBorders>
            <w:vAlign w:val="center"/>
          </w:tcPr>
          <w:p w14:paraId="7A770D5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w:t>
            </w:r>
          </w:p>
        </w:tc>
        <w:tc>
          <w:tcPr>
            <w:tcW w:w="1127" w:type="dxa"/>
            <w:tcBorders>
              <w:top w:val="single" w:color="auto" w:sz="4" w:space="0"/>
              <w:left w:val="single" w:color="auto" w:sz="4" w:space="0"/>
              <w:bottom w:val="single" w:color="auto" w:sz="4" w:space="0"/>
              <w:right w:val="single" w:color="auto" w:sz="4" w:space="0"/>
            </w:tcBorders>
            <w:vAlign w:val="center"/>
          </w:tcPr>
          <w:p w14:paraId="4D45C18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1128" w:type="dxa"/>
            <w:tcBorders>
              <w:top w:val="single" w:color="auto" w:sz="4" w:space="0"/>
              <w:left w:val="single" w:color="auto" w:sz="4" w:space="0"/>
              <w:bottom w:val="single" w:color="auto" w:sz="4" w:space="0"/>
              <w:right w:val="single" w:color="auto" w:sz="4" w:space="0"/>
            </w:tcBorders>
            <w:vAlign w:val="center"/>
          </w:tcPr>
          <w:p w14:paraId="2A29F4E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127" w:type="dxa"/>
            <w:tcBorders>
              <w:top w:val="single" w:color="auto" w:sz="4" w:space="0"/>
              <w:left w:val="single" w:color="auto" w:sz="4" w:space="0"/>
              <w:bottom w:val="single" w:color="auto" w:sz="4" w:space="0"/>
              <w:right w:val="single" w:color="auto" w:sz="4" w:space="0"/>
            </w:tcBorders>
            <w:vAlign w:val="center"/>
          </w:tcPr>
          <w:p w14:paraId="60501ED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128" w:type="dxa"/>
            <w:tcBorders>
              <w:top w:val="single" w:color="auto" w:sz="4" w:space="0"/>
              <w:left w:val="single" w:color="auto" w:sz="4" w:space="0"/>
              <w:bottom w:val="single" w:color="auto" w:sz="4" w:space="0"/>
              <w:right w:val="single" w:color="auto" w:sz="4" w:space="0"/>
            </w:tcBorders>
            <w:vAlign w:val="center"/>
          </w:tcPr>
          <w:p w14:paraId="09D6A38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125" w:type="dxa"/>
            <w:tcBorders>
              <w:top w:val="single" w:color="auto" w:sz="4" w:space="0"/>
              <w:left w:val="single" w:color="auto" w:sz="4" w:space="0"/>
              <w:bottom w:val="single" w:color="auto" w:sz="4" w:space="0"/>
              <w:right w:val="single" w:color="auto" w:sz="4" w:space="0"/>
            </w:tcBorders>
            <w:vAlign w:val="center"/>
          </w:tcPr>
          <w:p w14:paraId="06AFEF8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r>
      <w:tr w14:paraId="2B6FF1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97" w:type="dxa"/>
            <w:tcBorders>
              <w:top w:val="single" w:color="auto" w:sz="4" w:space="0"/>
              <w:left w:val="single" w:color="auto" w:sz="4" w:space="0"/>
              <w:bottom w:val="single" w:color="auto" w:sz="4" w:space="0"/>
              <w:right w:val="single" w:color="auto" w:sz="4" w:space="0"/>
            </w:tcBorders>
            <w:vAlign w:val="center"/>
          </w:tcPr>
          <w:p w14:paraId="43EBF42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臭气特征</w:t>
            </w:r>
          </w:p>
        </w:tc>
        <w:tc>
          <w:tcPr>
            <w:tcW w:w="1045" w:type="dxa"/>
            <w:tcBorders>
              <w:top w:val="single" w:color="auto" w:sz="4" w:space="0"/>
              <w:left w:val="single" w:color="auto" w:sz="4" w:space="0"/>
              <w:bottom w:val="single" w:color="auto" w:sz="4" w:space="0"/>
              <w:right w:val="single" w:color="auto" w:sz="4" w:space="0"/>
            </w:tcBorders>
            <w:vAlign w:val="center"/>
          </w:tcPr>
          <w:p w14:paraId="061B799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刺激臭</w:t>
            </w:r>
          </w:p>
        </w:tc>
        <w:tc>
          <w:tcPr>
            <w:tcW w:w="1126" w:type="dxa"/>
            <w:tcBorders>
              <w:top w:val="single" w:color="auto" w:sz="4" w:space="0"/>
              <w:left w:val="single" w:color="auto" w:sz="4" w:space="0"/>
              <w:bottom w:val="single" w:color="auto" w:sz="4" w:space="0"/>
              <w:right w:val="single" w:color="auto" w:sz="4" w:space="0"/>
            </w:tcBorders>
            <w:vAlign w:val="center"/>
          </w:tcPr>
          <w:p w14:paraId="61499B5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刺激臭</w:t>
            </w:r>
          </w:p>
        </w:tc>
        <w:tc>
          <w:tcPr>
            <w:tcW w:w="1127" w:type="dxa"/>
            <w:tcBorders>
              <w:top w:val="single" w:color="auto" w:sz="4" w:space="0"/>
              <w:left w:val="single" w:color="auto" w:sz="4" w:space="0"/>
              <w:bottom w:val="single" w:color="auto" w:sz="4" w:space="0"/>
              <w:right w:val="single" w:color="auto" w:sz="4" w:space="0"/>
            </w:tcBorders>
            <w:vAlign w:val="center"/>
          </w:tcPr>
          <w:p w14:paraId="1703BEF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蛋味</w:t>
            </w:r>
          </w:p>
        </w:tc>
        <w:tc>
          <w:tcPr>
            <w:tcW w:w="1128" w:type="dxa"/>
            <w:tcBorders>
              <w:top w:val="single" w:color="auto" w:sz="4" w:space="0"/>
              <w:left w:val="single" w:color="auto" w:sz="4" w:space="0"/>
              <w:bottom w:val="single" w:color="auto" w:sz="4" w:space="0"/>
              <w:right w:val="single" w:color="auto" w:sz="4" w:space="0"/>
            </w:tcBorders>
            <w:vAlign w:val="center"/>
          </w:tcPr>
          <w:p w14:paraId="5E21481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刺激臭</w:t>
            </w:r>
          </w:p>
        </w:tc>
        <w:tc>
          <w:tcPr>
            <w:tcW w:w="1127" w:type="dxa"/>
            <w:tcBorders>
              <w:top w:val="single" w:color="auto" w:sz="4" w:space="0"/>
              <w:left w:val="single" w:color="auto" w:sz="4" w:space="0"/>
              <w:bottom w:val="single" w:color="auto" w:sz="4" w:space="0"/>
              <w:right w:val="single" w:color="auto" w:sz="4" w:space="0"/>
            </w:tcBorders>
            <w:vAlign w:val="center"/>
          </w:tcPr>
          <w:p w14:paraId="53F7858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刺激臭</w:t>
            </w:r>
          </w:p>
        </w:tc>
        <w:tc>
          <w:tcPr>
            <w:tcW w:w="1128" w:type="dxa"/>
            <w:tcBorders>
              <w:top w:val="single" w:color="auto" w:sz="4" w:space="0"/>
              <w:left w:val="single" w:color="auto" w:sz="4" w:space="0"/>
              <w:bottom w:val="single" w:color="auto" w:sz="4" w:space="0"/>
              <w:right w:val="single" w:color="auto" w:sz="4" w:space="0"/>
            </w:tcBorders>
            <w:vAlign w:val="center"/>
          </w:tcPr>
          <w:p w14:paraId="6B677D8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臭鱼味</w:t>
            </w:r>
          </w:p>
        </w:tc>
        <w:tc>
          <w:tcPr>
            <w:tcW w:w="1125" w:type="dxa"/>
            <w:tcBorders>
              <w:top w:val="single" w:color="auto" w:sz="4" w:space="0"/>
              <w:left w:val="single" w:color="auto" w:sz="4" w:space="0"/>
              <w:bottom w:val="single" w:color="auto" w:sz="4" w:space="0"/>
              <w:right w:val="single" w:color="auto" w:sz="4" w:space="0"/>
            </w:tcBorders>
            <w:vAlign w:val="center"/>
          </w:tcPr>
          <w:p w14:paraId="1708C6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刺激臭</w:t>
            </w:r>
          </w:p>
        </w:tc>
      </w:tr>
    </w:tbl>
    <w:p w14:paraId="419E5F9D">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在不采用任何措施的情况下，大型养殖场的恶臭气体氨的浓度一般在15</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30mg/m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之间，H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S的浓度在1.0</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8.0mg/m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之间。由上表可知，其臭气强度为4~5级，属于无法忍受的强烈臭味。</w:t>
      </w:r>
    </w:p>
    <w:p w14:paraId="74BB8867">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养牛项目控制恶臭气体的主要措施是从饲料喂饲着手，合理调节饲料中的蛋白质含量，可以减少因蛋白质过剩而产生过多的恶臭气体，同时针对牛舍进行规范管理，并采用了相应的除臭措施，具体措施如下：</w:t>
      </w:r>
    </w:p>
    <w:p w14:paraId="7D7E35BD">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（1）合理设计牛舍</w:t>
      </w:r>
    </w:p>
    <w:p w14:paraId="0E14F8D9">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有资料表明，温度高时恶臭气体浓度高，</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在1~2周后发酵较快，粪便暴露面积大的发酵率高。项目夏季加强了牛舍的通风，加速粪便干燥，可减少臭气产生。</w:t>
      </w:r>
    </w:p>
    <w:p w14:paraId="14E7FA42">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（2）合理选用牛饲料</w:t>
      </w:r>
    </w:p>
    <w:p w14:paraId="50C61261">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牛排泄物中的恶臭组分复杂，但基本上可分为含硫化合物、酚类化合物、挥发性脂肪酸、氨和胺等四类。通过控制或使用饲料（全价饲料或添加生物抑制剂），粪便中粗蛋白的含量可显著地降低，有效减少未消化蛋白质的分解物排放，提高日粮消化率、减少干物质（蛋白质）排出量是减少恶臭来源的有效措施。</w:t>
      </w:r>
    </w:p>
    <w:p w14:paraId="43D2368D">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本项目的所有饲料采用某些添加剂，除可以提高畜禽生产性能外，还可以控制恶臭。①酶制剂，加入饲料中可以提高营养利用率；②EM液，是由光合细菌、乳酸菌群、酵母菌群等多种微生物组成的，</w:t>
      </w:r>
      <w:r>
        <w:rPr>
          <w:rFonts w:hint="default" w:ascii="Times New Roman" w:hAnsi="Times New Roman" w:eastAsia="宋体" w:cs="Times New Roman"/>
          <w:color w:val="auto"/>
          <w:highlight w:val="none"/>
          <w:shd w:val="clear" w:color="auto" w:fill="FFFFFF"/>
        </w:rPr>
        <w:t>饲料中长期添加益生菌原液或益生菌原液发酵料，有益微生物在大肠中产生氨基酸、氧化酶及硫化物分解酶，将产生臭气的吲哚类化合物完全氧化，将硫化氢氧化成无臭无毒的物质，可使养殖臭气、氨气含量显著下降</w:t>
      </w:r>
      <w:r>
        <w:rPr>
          <w:rFonts w:hint="default" w:ascii="Times New Roman" w:hAnsi="Times New Roman" w:eastAsia="宋体" w:cs="Times New Roman"/>
          <w:color w:val="auto"/>
          <w:highlight w:val="none"/>
        </w:rPr>
        <w:t>；③酸化剂，低pH值可以使畜禽排泄的粪便中的氨处于非挥发性的NH</w:t>
      </w:r>
      <w:r>
        <w:rPr>
          <w:rFonts w:hint="default" w:ascii="Times New Roman" w:hAnsi="Times New Roman" w:eastAsia="宋体" w:cs="Times New Roman"/>
          <w:color w:val="auto"/>
          <w:highlight w:val="none"/>
          <w:vertAlign w:val="subscript"/>
        </w:rPr>
        <w:t>4</w:t>
      </w:r>
      <w:r>
        <w:rPr>
          <w:rFonts w:hint="default" w:ascii="Times New Roman" w:hAnsi="Times New Roman" w:eastAsia="宋体" w:cs="Times New Roman"/>
          <w:color w:val="auto"/>
          <w:highlight w:val="none"/>
          <w:vertAlign w:val="superscript"/>
        </w:rPr>
        <w:t>+</w:t>
      </w:r>
      <w:r>
        <w:rPr>
          <w:rFonts w:hint="default" w:ascii="Times New Roman" w:hAnsi="Times New Roman" w:eastAsia="宋体" w:cs="Times New Roman"/>
          <w:color w:val="auto"/>
          <w:highlight w:val="none"/>
        </w:rPr>
        <w:t>状态，这样就减少了空气中的氨。饲料在消化过程中，未消化吸收的部分进入后段肠道，因微生物作用产生臭气，粪便被排出体外后，继续经微生物作用产生更多的臭气，因此减少饲料中的蛋白质含量是减少恶臭来源的有效措施。以满足其实际需要为原则，通过调控喂食量将不会导致因营养成分的富余而使牛排泄的粪尿量增加，同时也会使粪便中的氨有效降低，从源头减少恶臭的产生。</w:t>
      </w:r>
    </w:p>
    <w:p w14:paraId="1A898CF2">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EM微生物是有效微生物群的英文缩写，它是光合细菌、乳酸菌群、酵母菌群、放线菌群、丝状菌群等5种10属80余种微生物组成的。向饲料中添加EM微生物菌群，不仅可以提高牛的免疫力，促进牛的生长，而且可以减少牛舍粪便恶臭。有关资料显示，使用EM微生物后，圈舍臭味明显减少，夏天苍蝇数量减少60%以上，氨气浓度降低了69.7%。根据北京环境监测中心对EM微生物除臭效果进行检测的结果，在生猪的饲料中添加EM微生物１个月后，恶臭浓度下降了90%，臭气强度下降到2.5级以下。</w:t>
      </w:r>
    </w:p>
    <w:p w14:paraId="6ACBF03B">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日产日清</w:t>
      </w:r>
    </w:p>
    <w:p w14:paraId="04C93B8E">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有资料表明，</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在1~2周后发酵较快，粪便暴露面积越大，发酵率越高，因此应及时将粪便从牛舍中排出，并加强牛舍内的通风效果，减少臭气在牛舍的停留时间，降低臭气的排放浓度，能较好</w:t>
      </w:r>
      <w:r>
        <w:rPr>
          <w:rFonts w:hint="default" w:ascii="Times New Roman" w:hAnsi="Times New Roman" w:eastAsia="宋体" w:cs="Times New Roman"/>
          <w:color w:val="auto"/>
          <w:highlight w:val="none"/>
          <w:lang w:eastAsia="zh-CN"/>
        </w:rPr>
        <w:t>地</w:t>
      </w:r>
      <w:r>
        <w:rPr>
          <w:rFonts w:hint="default" w:ascii="Times New Roman" w:hAnsi="Times New Roman" w:eastAsia="宋体" w:cs="Times New Roman"/>
          <w:color w:val="auto"/>
          <w:highlight w:val="none"/>
        </w:rPr>
        <w:t>减少臭气污染。</w:t>
      </w:r>
    </w:p>
    <w:p w14:paraId="30D844CB">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在夏、秋季节，建议使用掩臭剂、氧化剂处理未及时清运的粪便。在不利于污染物稀释、扩散的气象条件下，每天应增加1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2次粪便的收集次数，减少粪便堆积挥发的恶臭气体排放量。</w:t>
      </w:r>
    </w:p>
    <w:p w14:paraId="45481803">
      <w:pPr>
        <w:pStyle w:val="6"/>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7.2.1.2</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恶臭防治措施</w:t>
      </w:r>
    </w:p>
    <w:p w14:paraId="4F78F5FC">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的恶臭主要来自粪便及尿液产生的NH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S等恶臭有害气体，首先是在饲喂过程中</w:t>
      </w:r>
      <w:r>
        <w:rPr>
          <w:rFonts w:hint="default" w:ascii="Times New Roman" w:hAnsi="Times New Roman" w:eastAsia="宋体" w:cs="Times New Roman"/>
          <w:color w:val="auto"/>
          <w:highlight w:val="none"/>
          <w:lang w:eastAsia="zh-CN"/>
        </w:rPr>
        <w:t>合理配置</w:t>
      </w:r>
      <w:r>
        <w:rPr>
          <w:rFonts w:hint="default" w:ascii="Times New Roman" w:hAnsi="Times New Roman" w:eastAsia="宋体" w:cs="Times New Roman"/>
          <w:color w:val="auto"/>
          <w:highlight w:val="none"/>
        </w:rPr>
        <w:t>日粮，减少恶臭物质的产生，即从源头减少；及时将粪便进行好氧堆肥，避免长时间放置，可有效减少臭气的产生量；堆肥采用好氧堆肥方式，并投加减少氨释放和保氮的复合发酵剂，可以有效减少氨气等臭气的排放。</w:t>
      </w:r>
    </w:p>
    <w:p w14:paraId="2B9AD24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根据《中国论文科技在线》中的文章《复合发酵剂在</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无害化处理中的应用效果》，</w:t>
      </w:r>
      <w:r>
        <w:rPr>
          <w:rFonts w:hint="default" w:ascii="Times New Roman" w:hAnsi="Times New Roman" w:eastAsia="宋体" w:cs="Times New Roman"/>
          <w:color w:val="auto"/>
          <w:highlight w:val="none"/>
          <w:lang w:eastAsia="zh-CN"/>
        </w:rPr>
        <w:t>造成畜禽粪便堆肥恶臭的主要原因是发酵过程中产生气态代谢产物或中间产物，如氨气、硫化氢等。在恶臭扩散的同时，氮类物质的挥发造成养分损失，从而降低堆肥价值。添加外源微生物促使氮类物质向蛋白氮和硝态氮转化，调控堆肥过程中氮、碳的代谢，通过减少氮类物质分解为</w:t>
      </w:r>
      <w:r>
        <w:rPr>
          <w:rFonts w:hint="default" w:ascii="Times New Roman" w:hAnsi="Times New Roman" w:eastAsia="宋体" w:cs="Times New Roman"/>
          <w:color w:val="auto"/>
          <w:highlight w:val="none"/>
          <w:lang w:val="en-US" w:eastAsia="zh-CN"/>
        </w:rPr>
        <w:t>NH</w:t>
      </w:r>
      <w:r>
        <w:rPr>
          <w:rFonts w:hint="default" w:ascii="Times New Roman" w:hAnsi="Times New Roman" w:eastAsia="宋体" w:cs="Times New Roman"/>
          <w:color w:val="auto"/>
          <w:highlight w:val="none"/>
          <w:vertAlign w:val="subscript"/>
          <w:lang w:val="en-US" w:eastAsia="zh-CN"/>
        </w:rPr>
        <w:t>4</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lang w:val="en-US" w:eastAsia="zh-CN"/>
        </w:rPr>
        <w:t>-N的气态挥发损失控制臭味的产生，并保留更多的氮养分。</w:t>
      </w:r>
    </w:p>
    <w:p w14:paraId="25BAA91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在使用堆肥过程中使用复合发酵剂时的臭味变化动态情况如下表：</w:t>
      </w:r>
    </w:p>
    <w:p w14:paraId="156996C5">
      <w:pPr>
        <w:pStyle w:val="7"/>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表7.2-3堆肥</w:t>
      </w:r>
      <w:r>
        <w:rPr>
          <w:rFonts w:hint="default" w:ascii="Times New Roman" w:hAnsi="Times New Roman" w:eastAsia="宋体" w:cs="Times New Roman"/>
          <w:color w:val="auto"/>
          <w:highlight w:val="none"/>
          <w:lang w:val="en-US" w:eastAsia="zh-CN"/>
        </w:rPr>
        <w:t>12d</w:t>
      </w:r>
      <w:r>
        <w:rPr>
          <w:rFonts w:hint="default" w:ascii="Times New Roman" w:hAnsi="Times New Roman" w:eastAsia="宋体" w:cs="Times New Roman"/>
          <w:color w:val="auto"/>
          <w:highlight w:val="none"/>
        </w:rPr>
        <w:t>臭味变化动态情况列表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78"/>
        <w:gridCol w:w="641"/>
        <w:gridCol w:w="641"/>
        <w:gridCol w:w="641"/>
        <w:gridCol w:w="641"/>
        <w:gridCol w:w="641"/>
        <w:gridCol w:w="642"/>
        <w:gridCol w:w="642"/>
        <w:gridCol w:w="642"/>
        <w:gridCol w:w="642"/>
        <w:gridCol w:w="642"/>
        <w:gridCol w:w="642"/>
        <w:gridCol w:w="642"/>
      </w:tblGrid>
      <w:tr w14:paraId="4C5E97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27" w:type="dxa"/>
            <w:tcBorders>
              <w:top w:val="single" w:color="auto" w:sz="4" w:space="0"/>
              <w:left w:val="single" w:color="auto" w:sz="4" w:space="0"/>
              <w:bottom w:val="single" w:color="auto" w:sz="4" w:space="0"/>
              <w:right w:val="single" w:color="auto" w:sz="4" w:space="0"/>
            </w:tcBorders>
            <w:shd w:val="clear" w:color="auto" w:fill="auto"/>
            <w:vAlign w:val="center"/>
          </w:tcPr>
          <w:p w14:paraId="10DA140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臭味</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6E16E20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1d</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37F9402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2d</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5580CF1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3d</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772384C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4d</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43F2A28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5d</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18B452F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6d</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5AABF8C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7d</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4622442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8d</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5000012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9d</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6DD07E2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10d</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6507D35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11d</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03476D4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12d</w:t>
            </w:r>
          </w:p>
        </w:tc>
      </w:tr>
      <w:tr w14:paraId="70878BB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27" w:type="dxa"/>
            <w:tcBorders>
              <w:top w:val="single" w:color="auto" w:sz="4" w:space="0"/>
              <w:left w:val="single" w:color="auto" w:sz="4" w:space="0"/>
              <w:bottom w:val="single" w:color="auto" w:sz="4" w:space="0"/>
              <w:right w:val="single" w:color="auto" w:sz="4" w:space="0"/>
            </w:tcBorders>
            <w:shd w:val="clear" w:color="auto" w:fill="auto"/>
            <w:vAlign w:val="center"/>
          </w:tcPr>
          <w:p w14:paraId="1F481EA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对照</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0415B8F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Ms5</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5B044C7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Ms5</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327C234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Ms5</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1FF205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Ms5</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0EDF257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Ms4</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20E2707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Ms4</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7F76505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Ms4</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1CA4637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Ms4</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250B199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Ms4</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535EEB5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Ms4</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5C35812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Ms3</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4286019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Ms3</w:t>
            </w:r>
          </w:p>
        </w:tc>
      </w:tr>
      <w:tr w14:paraId="439DC0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27" w:type="dxa"/>
            <w:tcBorders>
              <w:top w:val="single" w:color="auto" w:sz="4" w:space="0"/>
              <w:left w:val="single" w:color="auto" w:sz="4" w:space="0"/>
              <w:bottom w:val="single" w:color="auto" w:sz="4" w:space="0"/>
              <w:right w:val="single" w:color="auto" w:sz="4" w:space="0"/>
            </w:tcBorders>
            <w:shd w:val="clear" w:color="auto" w:fill="auto"/>
            <w:vAlign w:val="center"/>
          </w:tcPr>
          <w:p w14:paraId="2B8AEE7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处理</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49EAAE0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Ms5</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53DC5B3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Ms3</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47B1C4A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Ms1</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578A2C6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Ms0</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2BC095E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Ms0</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25240C7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Ms0</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58B1E8A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Ms0</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4BBB500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Ms0</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0395387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Ms0</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577EAF7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Ms0</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15A9DB3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Ms0</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37E4620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Ms0</w:t>
            </w:r>
          </w:p>
        </w:tc>
      </w:tr>
      <w:tr w14:paraId="047521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03" w:type="dxa"/>
            <w:gridSpan w:val="13"/>
            <w:tcBorders>
              <w:top w:val="single" w:color="auto" w:sz="4" w:space="0"/>
              <w:left w:val="single" w:color="auto" w:sz="4" w:space="0"/>
              <w:bottom w:val="single" w:color="auto" w:sz="4" w:space="0"/>
              <w:right w:val="single" w:color="auto" w:sz="4" w:space="0"/>
            </w:tcBorders>
            <w:shd w:val="clear" w:color="auto" w:fill="auto"/>
            <w:vAlign w:val="center"/>
          </w:tcPr>
          <w:p w14:paraId="4673435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注：Ms0无臭味；Ms1勉强感觉到臭味；Ms2微弱的臭味；Ms3明显的臭味；Ms4很强的臭味；Ms5难以忍受的臭味。</w:t>
            </w:r>
          </w:p>
        </w:tc>
      </w:tr>
    </w:tbl>
    <w:p w14:paraId="5C3D1451">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从上表可以看出，复合发酵剂</w:t>
      </w:r>
      <w:r>
        <w:rPr>
          <w:rFonts w:hint="default" w:ascii="Times New Roman" w:hAnsi="Times New Roman" w:eastAsia="宋体" w:cs="Times New Roman"/>
          <w:color w:val="auto"/>
          <w:highlight w:val="none"/>
          <w:lang w:eastAsia="zh-CN"/>
        </w:rPr>
        <w:t>通过分解有机物吸收</w:t>
      </w:r>
      <w:r>
        <w:rPr>
          <w:rFonts w:hint="default" w:ascii="Times New Roman" w:hAnsi="Times New Roman" w:eastAsia="宋体" w:cs="Times New Roman"/>
          <w:color w:val="auto"/>
          <w:highlight w:val="none"/>
          <w:lang w:val="en-US" w:eastAsia="zh-CN"/>
        </w:rPr>
        <w:t>氨和硫化氢，控制堆肥过程中</w:t>
      </w:r>
      <w:r>
        <w:rPr>
          <w:rFonts w:hint="default" w:ascii="Times New Roman" w:hAnsi="Times New Roman" w:eastAsia="宋体" w:cs="Times New Roman"/>
          <w:color w:val="auto"/>
          <w:highlight w:val="none"/>
          <w:lang w:eastAsia="zh-CN"/>
        </w:rPr>
        <w:t>氮类物质的转化过程，发酵</w:t>
      </w:r>
      <w:r>
        <w:rPr>
          <w:rFonts w:hint="default" w:ascii="Times New Roman" w:hAnsi="Times New Roman" w:eastAsia="宋体" w:cs="Times New Roman"/>
          <w:color w:val="auto"/>
          <w:highlight w:val="none"/>
          <w:lang w:val="en-US" w:eastAsia="zh-CN"/>
        </w:rPr>
        <w:t>3d臭味基本去除80%，具有良好的除臭效果。因此，</w:t>
      </w:r>
      <w:r>
        <w:rPr>
          <w:rFonts w:hint="default" w:ascii="Times New Roman" w:hAnsi="Times New Roman" w:eastAsia="宋体" w:cs="Times New Roman"/>
          <w:color w:val="auto"/>
          <w:highlight w:val="none"/>
        </w:rPr>
        <w:t>在使用复合发酵剂后，</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产生的臭气可大幅减少，是可行的。</w:t>
      </w:r>
    </w:p>
    <w:p w14:paraId="51C63C1F">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通过以上措施可减少养殖区的臭味产生，通过考察周边各牛场的实际运行情况，也的确取得了较好的效果，场界</w:t>
      </w:r>
      <w:r>
        <w:rPr>
          <w:rFonts w:hint="default" w:ascii="Times New Roman" w:hAnsi="Times New Roman" w:eastAsia="宋体" w:cs="Times New Roman"/>
          <w:color w:val="auto"/>
          <w:highlight w:val="none"/>
          <w:lang w:eastAsia="zh-CN"/>
        </w:rPr>
        <w:t>氨和硫化氢</w:t>
      </w:r>
      <w:r>
        <w:rPr>
          <w:rFonts w:hint="default" w:ascii="Times New Roman" w:hAnsi="Times New Roman" w:eastAsia="宋体" w:cs="Times New Roman"/>
          <w:color w:val="auto"/>
          <w:highlight w:val="none"/>
        </w:rPr>
        <w:t>排放浓度满足《恶臭污染物排放标准》（GB14554-93）表1恶臭污染物厂界标准值中“二级、新扩改建”标准要求</w:t>
      </w:r>
      <w:r>
        <w:rPr>
          <w:rFonts w:hint="default" w:ascii="Times New Roman" w:hAnsi="Times New Roman" w:eastAsia="宋体" w:cs="Times New Roman"/>
          <w:color w:val="auto"/>
          <w:highlight w:val="none"/>
          <w:lang w:eastAsia="zh-CN"/>
        </w:rPr>
        <w:t>、臭气浓度排放满足</w:t>
      </w:r>
      <w:r>
        <w:rPr>
          <w:rFonts w:hint="default" w:ascii="Times New Roman" w:hAnsi="Times New Roman" w:eastAsia="宋体" w:cs="Times New Roman"/>
          <w:color w:val="auto"/>
          <w:highlight w:val="none"/>
        </w:rPr>
        <w:t>《畜禽养殖业污染物排放标准》</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GB18596-2001</w:t>
      </w:r>
      <w:r>
        <w:rPr>
          <w:rFonts w:hint="default" w:ascii="Times New Roman" w:hAnsi="Times New Roman" w:eastAsia="宋体" w:cs="Times New Roman"/>
          <w:color w:val="auto"/>
          <w:highlight w:val="none"/>
          <w:lang w:eastAsia="zh-CN"/>
        </w:rPr>
        <w:t>）表</w:t>
      </w:r>
      <w:r>
        <w:rPr>
          <w:rFonts w:hint="default" w:ascii="Times New Roman" w:hAnsi="Times New Roman" w:eastAsia="宋体" w:cs="Times New Roman"/>
          <w:color w:val="auto"/>
          <w:highlight w:val="none"/>
          <w:lang w:val="en-US" w:eastAsia="zh-CN"/>
        </w:rPr>
        <w:t>7集约化畜禽养殖业恶臭污染物排放标准</w:t>
      </w:r>
      <w:r>
        <w:rPr>
          <w:rFonts w:hint="default" w:ascii="Times New Roman" w:hAnsi="Times New Roman" w:eastAsia="宋体" w:cs="Times New Roman"/>
          <w:color w:val="auto"/>
          <w:highlight w:val="none"/>
        </w:rPr>
        <w:t>，因此</w:t>
      </w:r>
      <w:r>
        <w:rPr>
          <w:rFonts w:hint="default" w:ascii="Times New Roman" w:hAnsi="Times New Roman" w:eastAsia="宋体" w:cs="Times New Roman"/>
          <w:color w:val="auto"/>
          <w:highlight w:val="none"/>
          <w:lang w:eastAsia="zh-CN"/>
        </w:rPr>
        <w:t>本项目采取的废气治理措施</w:t>
      </w:r>
      <w:r>
        <w:rPr>
          <w:rFonts w:hint="default" w:ascii="Times New Roman" w:hAnsi="Times New Roman" w:eastAsia="宋体" w:cs="Times New Roman"/>
          <w:color w:val="auto"/>
          <w:highlight w:val="none"/>
        </w:rPr>
        <w:t>是可行的。</w:t>
      </w:r>
    </w:p>
    <w:p w14:paraId="43E4CE9C">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582" w:name="_Toc23181"/>
      <w:bookmarkStart w:id="583" w:name="_Toc46421187"/>
      <w:r>
        <w:rPr>
          <w:rFonts w:hint="default" w:ascii="Times New Roman" w:hAnsi="Times New Roman" w:eastAsia="宋体" w:cs="Times New Roman"/>
          <w:color w:val="auto"/>
          <w:highlight w:val="none"/>
        </w:rPr>
        <w:t>7.2.2饲料配置粉尘</w:t>
      </w:r>
      <w:bookmarkEnd w:id="582"/>
      <w:bookmarkEnd w:id="583"/>
    </w:p>
    <w:p w14:paraId="5B1101DD">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项目精饲料主要为外购的成品袋装饲料，为按照一定比例将豆粕、棉籽、玉米粉</w:t>
      </w:r>
      <w:r>
        <w:rPr>
          <w:rFonts w:hint="default" w:ascii="Times New Roman" w:hAnsi="Times New Roman" w:eastAsia="宋体" w:cs="Times New Roman"/>
          <w:color w:val="auto"/>
          <w:highlight w:val="none"/>
          <w:lang w:eastAsia="zh-CN"/>
        </w:rPr>
        <w:t>，以及</w:t>
      </w:r>
      <w:r>
        <w:rPr>
          <w:rFonts w:hint="default" w:ascii="Times New Roman" w:hAnsi="Times New Roman" w:eastAsia="宋体" w:cs="Times New Roman"/>
          <w:color w:val="auto"/>
          <w:highlight w:val="none"/>
        </w:rPr>
        <w:t>各种添加剂混合而成的</w:t>
      </w:r>
      <w:r>
        <w:rPr>
          <w:rFonts w:hint="default" w:ascii="Times New Roman" w:hAnsi="Times New Roman" w:eastAsia="宋体" w:cs="Times New Roman"/>
          <w:color w:val="auto"/>
          <w:highlight w:val="none"/>
          <w:lang w:eastAsia="zh-CN"/>
        </w:rPr>
        <w:t>精料</w:t>
      </w:r>
      <w:r>
        <w:rPr>
          <w:rFonts w:hint="default" w:ascii="Times New Roman" w:hAnsi="Times New Roman" w:eastAsia="宋体" w:cs="Times New Roman"/>
          <w:color w:val="auto"/>
          <w:highlight w:val="none"/>
        </w:rPr>
        <w:t>。项目每日将精饲料以及项目储存的</w:t>
      </w:r>
      <w:r>
        <w:rPr>
          <w:rFonts w:hint="default" w:ascii="Times New Roman" w:hAnsi="Times New Roman" w:eastAsia="宋体" w:cs="Times New Roman"/>
          <w:color w:val="auto"/>
          <w:highlight w:val="none"/>
          <w:lang w:eastAsia="zh-CN"/>
        </w:rPr>
        <w:t>青贮</w:t>
      </w:r>
      <w:r>
        <w:rPr>
          <w:rFonts w:hint="default" w:ascii="Times New Roman" w:hAnsi="Times New Roman" w:eastAsia="宋体" w:cs="Times New Roman"/>
          <w:color w:val="auto"/>
          <w:highlight w:val="none"/>
        </w:rPr>
        <w:t>料、青干草投入</w:t>
      </w:r>
      <w:r>
        <w:rPr>
          <w:rFonts w:hint="default" w:ascii="Times New Roman" w:hAnsi="Times New Roman" w:eastAsia="宋体" w:cs="Times New Roman"/>
          <w:color w:val="auto"/>
          <w:highlight w:val="none"/>
          <w:lang w:eastAsia="zh-CN"/>
        </w:rPr>
        <w:t>TMR混合机</w:t>
      </w:r>
      <w:r>
        <w:rPr>
          <w:rFonts w:hint="default" w:ascii="Times New Roman" w:hAnsi="Times New Roman" w:eastAsia="宋体" w:cs="Times New Roman"/>
          <w:color w:val="auto"/>
          <w:highlight w:val="none"/>
        </w:rPr>
        <w:t>搅拌成</w:t>
      </w:r>
      <w:r>
        <w:rPr>
          <w:rFonts w:hint="default" w:ascii="Times New Roman" w:hAnsi="Times New Roman" w:eastAsia="宋体" w:cs="Times New Roman"/>
          <w:color w:val="auto"/>
          <w:highlight w:val="none"/>
          <w:lang w:eastAsia="zh-CN"/>
        </w:rPr>
        <w:t>肉牛</w:t>
      </w:r>
      <w:r>
        <w:rPr>
          <w:rFonts w:hint="default" w:ascii="Times New Roman" w:hAnsi="Times New Roman" w:eastAsia="宋体" w:cs="Times New Roman"/>
          <w:color w:val="auto"/>
          <w:highlight w:val="none"/>
        </w:rPr>
        <w:t>口粮，由于精饲料主要成分豆粕、棉籽、玉米粉等具有一定的粒度，而</w:t>
      </w:r>
      <w:r>
        <w:rPr>
          <w:rFonts w:hint="default" w:ascii="Times New Roman" w:hAnsi="Times New Roman" w:eastAsia="宋体" w:cs="Times New Roman"/>
          <w:color w:val="auto"/>
          <w:highlight w:val="none"/>
          <w:lang w:eastAsia="zh-CN"/>
        </w:rPr>
        <w:t>青贮</w:t>
      </w:r>
      <w:r>
        <w:rPr>
          <w:rFonts w:hint="default" w:ascii="Times New Roman" w:hAnsi="Times New Roman" w:eastAsia="宋体" w:cs="Times New Roman"/>
          <w:color w:val="auto"/>
          <w:highlight w:val="none"/>
        </w:rPr>
        <w:t>、苜蓿等均为短段，各物料一般都有一定的湿度，不会是绝干的，另外TMR车间全封闭，配置过程中产生的颗粒物在封闭车间内沉降，及时清扫至</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。因此粉尘产生量非常少，对环境影响也较小。</w:t>
      </w:r>
    </w:p>
    <w:p w14:paraId="7FED4ABD">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584" w:name="_Toc22929"/>
      <w:r>
        <w:rPr>
          <w:rFonts w:hint="default" w:ascii="Times New Roman" w:hAnsi="Times New Roman" w:eastAsia="宋体" w:cs="Times New Roman"/>
          <w:color w:val="auto"/>
          <w:highlight w:val="none"/>
        </w:rPr>
        <w:t>7.2.3餐饮油烟</w:t>
      </w:r>
      <w:bookmarkEnd w:id="584"/>
    </w:p>
    <w:p w14:paraId="110FB29C">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餐饮油烟经集气罩收集后由油烟净化装置处理后引至楼顶排放，根据计算项目油烟处理效率、处理后排放浓度符合《饮食业油烟排放标准》（GB18483-2001）。</w:t>
      </w:r>
    </w:p>
    <w:p w14:paraId="52F808D0">
      <w:pPr>
        <w:pStyle w:val="3"/>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0"/>
        <w:rPr>
          <w:rFonts w:hint="default" w:ascii="Times New Roman" w:hAnsi="Times New Roman" w:eastAsia="宋体" w:cs="Times New Roman"/>
          <w:color w:val="auto"/>
          <w:highlight w:val="none"/>
        </w:rPr>
      </w:pPr>
      <w:bookmarkStart w:id="585" w:name="_Toc32620"/>
      <w:r>
        <w:rPr>
          <w:rFonts w:hint="default" w:ascii="Times New Roman" w:hAnsi="Times New Roman" w:eastAsia="宋体" w:cs="Times New Roman"/>
          <w:color w:val="auto"/>
          <w:highlight w:val="none"/>
        </w:rPr>
        <w:t>7.3运营期水污染防治措施及可行性</w:t>
      </w:r>
      <w:bookmarkEnd w:id="585"/>
    </w:p>
    <w:p w14:paraId="087638ED">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lang w:eastAsia="zh-CN"/>
        </w:rPr>
      </w:pPr>
      <w:bookmarkStart w:id="586" w:name="_Toc46421190"/>
      <w:bookmarkStart w:id="587" w:name="_Toc27733"/>
      <w:r>
        <w:rPr>
          <w:rFonts w:hint="default" w:ascii="Times New Roman" w:hAnsi="Times New Roman" w:eastAsia="宋体" w:cs="Times New Roman"/>
          <w:color w:val="auto"/>
          <w:highlight w:val="none"/>
        </w:rPr>
        <w:t>7.3.1</w:t>
      </w:r>
      <w:bookmarkEnd w:id="586"/>
      <w:r>
        <w:rPr>
          <w:rFonts w:hint="default" w:ascii="Times New Roman" w:hAnsi="Times New Roman" w:eastAsia="宋体" w:cs="Times New Roman"/>
          <w:color w:val="auto"/>
          <w:highlight w:val="none"/>
          <w:lang w:eastAsia="zh-CN"/>
        </w:rPr>
        <w:t>废水防治措施</w:t>
      </w:r>
      <w:bookmarkEnd w:id="587"/>
    </w:p>
    <w:p w14:paraId="74229D49">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color w:val="auto"/>
          <w:sz w:val="24"/>
          <w:szCs w:val="28"/>
          <w:highlight w:val="none"/>
        </w:rPr>
        <w:t>本项目</w:t>
      </w:r>
      <w:r>
        <w:rPr>
          <w:rFonts w:hint="default" w:ascii="Times New Roman" w:hAnsi="Times New Roman" w:eastAsia="宋体" w:cs="Times New Roman"/>
          <w:color w:val="auto"/>
          <w:kern w:val="0"/>
          <w:sz w:val="24"/>
          <w:szCs w:val="24"/>
          <w:highlight w:val="none"/>
          <w:lang w:eastAsia="zh-CN"/>
        </w:rPr>
        <w:t>肉牛饲养过程中饮用水量较少，排放的尿液较少，并且牛粪较为干燥，在</w:t>
      </w:r>
      <w:r>
        <w:rPr>
          <w:rFonts w:hint="default" w:ascii="Times New Roman" w:hAnsi="Times New Roman" w:eastAsia="宋体" w:cs="Times New Roman"/>
          <w:color w:val="auto"/>
          <w:kern w:val="0"/>
          <w:sz w:val="24"/>
          <w:szCs w:val="24"/>
          <w:highlight w:val="none"/>
        </w:rPr>
        <w:t>养殖区</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牛舍</w:t>
      </w:r>
      <w:r>
        <w:rPr>
          <w:rFonts w:hint="default" w:ascii="Times New Roman" w:hAnsi="Times New Roman" w:eastAsia="宋体" w:cs="Times New Roman"/>
          <w:color w:val="auto"/>
          <w:kern w:val="0"/>
          <w:sz w:val="24"/>
          <w:szCs w:val="24"/>
          <w:highlight w:val="none"/>
          <w:lang w:eastAsia="zh-CN"/>
        </w:rPr>
        <w:t>、运动场）排放的尿液大部分由于当地气候干燥蒸发，剩余尿液与粪便完全黏结混合在一起，一起运往粪污处理池</w:t>
      </w:r>
      <w:r>
        <w:rPr>
          <w:rFonts w:hint="default" w:ascii="Times New Roman" w:hAnsi="Times New Roman" w:eastAsia="宋体" w:cs="Times New Roman"/>
          <w:color w:val="auto"/>
          <w:kern w:val="0"/>
          <w:sz w:val="24"/>
          <w:szCs w:val="24"/>
          <w:highlight w:val="none"/>
        </w:rPr>
        <w:t>储存并堆肥</w:t>
      </w:r>
      <w:r>
        <w:rPr>
          <w:rFonts w:hint="default" w:ascii="Times New Roman" w:hAnsi="Times New Roman" w:eastAsia="宋体" w:cs="Times New Roman"/>
          <w:color w:val="auto"/>
          <w:kern w:val="0"/>
          <w:sz w:val="24"/>
          <w:szCs w:val="24"/>
          <w:highlight w:val="none"/>
          <w:lang w:eastAsia="zh-CN"/>
        </w:rPr>
        <w:t>，因此，没有尿液排放；</w:t>
      </w:r>
      <w:r>
        <w:rPr>
          <w:rFonts w:hint="default" w:ascii="Times New Roman" w:hAnsi="Times New Roman" w:eastAsia="宋体" w:cs="Times New Roman"/>
          <w:color w:val="auto"/>
          <w:kern w:val="0"/>
          <w:sz w:val="24"/>
          <w:szCs w:val="24"/>
          <w:highlight w:val="none"/>
        </w:rPr>
        <w:t>养殖区</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牛舍</w:t>
      </w:r>
      <w:r>
        <w:rPr>
          <w:rFonts w:hint="default" w:ascii="Times New Roman" w:hAnsi="Times New Roman" w:eastAsia="宋体" w:cs="Times New Roman"/>
          <w:color w:val="auto"/>
          <w:kern w:val="0"/>
          <w:sz w:val="24"/>
          <w:szCs w:val="24"/>
          <w:highlight w:val="none"/>
          <w:lang w:eastAsia="zh-CN"/>
        </w:rPr>
        <w:t>、运动场）场地不采取水冲洗方式清理，采用生石灰或者消毒水每周喷洒消毒</w:t>
      </w:r>
      <w:r>
        <w:rPr>
          <w:rFonts w:hint="default" w:ascii="Times New Roman" w:hAnsi="Times New Roman" w:eastAsia="宋体" w:cs="Times New Roman"/>
          <w:color w:val="auto"/>
          <w:kern w:val="0"/>
          <w:sz w:val="24"/>
          <w:szCs w:val="24"/>
          <w:highlight w:val="none"/>
          <w:lang w:val="en-US" w:eastAsia="zh-CN"/>
        </w:rPr>
        <w:t>2～3次</w:t>
      </w:r>
      <w:r>
        <w:rPr>
          <w:rFonts w:hint="default" w:ascii="Times New Roman" w:hAnsi="Times New Roman" w:eastAsia="宋体" w:cs="Times New Roman"/>
          <w:color w:val="auto"/>
          <w:kern w:val="0"/>
          <w:sz w:val="24"/>
          <w:szCs w:val="24"/>
          <w:highlight w:val="none"/>
          <w:lang w:eastAsia="zh-CN"/>
        </w:rPr>
        <w:t>，因此，</w:t>
      </w:r>
      <w:r>
        <w:rPr>
          <w:rFonts w:hint="default" w:ascii="Times New Roman" w:hAnsi="Times New Roman" w:eastAsia="宋体" w:cs="Times New Roman"/>
          <w:color w:val="auto"/>
          <w:kern w:val="0"/>
          <w:sz w:val="24"/>
          <w:szCs w:val="24"/>
          <w:highlight w:val="none"/>
        </w:rPr>
        <w:t>养殖区</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牛舍</w:t>
      </w:r>
      <w:r>
        <w:rPr>
          <w:rFonts w:hint="default" w:ascii="Times New Roman" w:hAnsi="Times New Roman" w:eastAsia="宋体" w:cs="Times New Roman"/>
          <w:color w:val="auto"/>
          <w:kern w:val="0"/>
          <w:sz w:val="24"/>
          <w:szCs w:val="24"/>
          <w:highlight w:val="none"/>
          <w:lang w:eastAsia="zh-CN"/>
        </w:rPr>
        <w:t>、运动场）</w:t>
      </w:r>
      <w:r>
        <w:rPr>
          <w:rFonts w:hint="default" w:ascii="Times New Roman" w:hAnsi="Times New Roman" w:eastAsia="宋体" w:cs="Times New Roman"/>
          <w:color w:val="auto"/>
          <w:kern w:val="0"/>
          <w:sz w:val="24"/>
          <w:szCs w:val="24"/>
          <w:highlight w:val="none"/>
        </w:rPr>
        <w:t>不产生冲洗废水</w:t>
      </w:r>
      <w:r>
        <w:rPr>
          <w:rFonts w:hint="default" w:ascii="Times New Roman" w:hAnsi="Times New Roman" w:eastAsia="宋体" w:cs="Times New Roman"/>
          <w:color w:val="auto"/>
          <w:kern w:val="0"/>
          <w:sz w:val="24"/>
          <w:szCs w:val="24"/>
          <w:highlight w:val="none"/>
          <w:lang w:eastAsia="zh-CN"/>
        </w:rPr>
        <w:t>。</w:t>
      </w:r>
    </w:p>
    <w:p w14:paraId="25E551B1">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生活污水</w:t>
      </w:r>
      <w:r>
        <w:rPr>
          <w:rFonts w:hint="default" w:ascii="Times New Roman" w:hAnsi="Times New Roman" w:eastAsia="宋体" w:cs="Times New Roman"/>
          <w:color w:val="auto"/>
          <w:highlight w:val="none"/>
          <w:lang w:eastAsia="zh-CN"/>
        </w:rPr>
        <w:t>经化粪池处理</w:t>
      </w:r>
      <w:r>
        <w:rPr>
          <w:rFonts w:hint="default" w:ascii="Times New Roman" w:hAnsi="Times New Roman" w:eastAsia="宋体" w:cs="Times New Roman"/>
          <w:color w:val="auto"/>
          <w:highlight w:val="none"/>
        </w:rPr>
        <w:t>后，</w:t>
      </w:r>
      <w:r>
        <w:rPr>
          <w:rFonts w:hint="default" w:ascii="Times New Roman" w:hAnsi="Times New Roman" w:eastAsia="宋体" w:cs="Times New Roman"/>
          <w:color w:val="auto"/>
          <w:highlight w:val="none"/>
          <w:lang w:eastAsia="zh-CN"/>
        </w:rPr>
        <w:t>定期由当地环卫部门清运处置</w:t>
      </w:r>
      <w:r>
        <w:rPr>
          <w:rFonts w:hint="default" w:ascii="Times New Roman" w:hAnsi="Times New Roman" w:eastAsia="宋体" w:cs="Times New Roman"/>
          <w:color w:val="auto"/>
          <w:highlight w:val="none"/>
        </w:rPr>
        <w:t>。</w:t>
      </w:r>
    </w:p>
    <w:p w14:paraId="494CAA8E">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588" w:name="_Toc46421191"/>
      <w:bookmarkStart w:id="589" w:name="_Toc29857"/>
      <w:r>
        <w:rPr>
          <w:rFonts w:hint="default" w:ascii="Times New Roman" w:hAnsi="Times New Roman" w:eastAsia="宋体" w:cs="Times New Roman"/>
          <w:color w:val="auto"/>
          <w:highlight w:val="none"/>
        </w:rPr>
        <w:t>7.3.2雨污分流措施</w:t>
      </w:r>
      <w:bookmarkEnd w:id="588"/>
      <w:bookmarkEnd w:id="589"/>
    </w:p>
    <w:p w14:paraId="0D11365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采用雨污分流，牛舍屋面设置合适坡度，以利雨水的排出；牛舍屋面雨水、道路雨水采用自流式排水，经过雨水管道排入厂区排水沟，沿道路排水沟排出，最终排放至场区外。本次评价对因降雨而产生可能产生二次污染提出如下要求：</w:t>
      </w:r>
    </w:p>
    <w:p w14:paraId="516C9F31">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（1）牛舍屋面设置合适坡度并在屋檐设置导流槽，将雨水导出不排入运动场内，屋面雨水采用自流式排水，经过雨水管道排入场区排水沟排出。</w:t>
      </w:r>
    </w:p>
    <w:p w14:paraId="75F10E77">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（2）运动场设置挡水坡道，防止雨水进入运动场；</w:t>
      </w:r>
    </w:p>
    <w:p w14:paraId="63B57B28">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底部进行硬化防渗处理，四面设围墙及导流渠，墙高1m，</w:t>
      </w:r>
      <w:r>
        <w:rPr>
          <w:rFonts w:hint="default" w:ascii="Times New Roman" w:hAnsi="Times New Roman" w:eastAsia="宋体" w:cs="Times New Roman"/>
          <w:color w:val="auto"/>
          <w:highlight w:val="none"/>
          <w:lang w:eastAsia="zh-CN"/>
        </w:rPr>
        <w:t>防止</w:t>
      </w:r>
      <w:r>
        <w:rPr>
          <w:rFonts w:hint="default" w:ascii="Times New Roman" w:hAnsi="Times New Roman" w:eastAsia="宋体" w:cs="Times New Roman"/>
          <w:color w:val="auto"/>
          <w:highlight w:val="none"/>
        </w:rPr>
        <w:t>因雨水进入造成外溢，形成二次污染。</w:t>
      </w:r>
    </w:p>
    <w:p w14:paraId="382C698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项目清净雨水，通过场区雨水管道自流式排出。</w:t>
      </w:r>
    </w:p>
    <w:p w14:paraId="070AAAB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综上，采用上述措施是可行的。</w:t>
      </w:r>
    </w:p>
    <w:p w14:paraId="73CFC2D8">
      <w:pPr>
        <w:pStyle w:val="3"/>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0"/>
        <w:rPr>
          <w:rFonts w:hint="default" w:ascii="Times New Roman" w:hAnsi="Times New Roman" w:eastAsia="宋体" w:cs="Times New Roman"/>
          <w:color w:val="auto"/>
          <w:highlight w:val="none"/>
        </w:rPr>
      </w:pPr>
      <w:bookmarkStart w:id="590" w:name="_Toc530642992"/>
      <w:bookmarkStart w:id="591" w:name="_Toc28500"/>
      <w:r>
        <w:rPr>
          <w:rFonts w:hint="default" w:ascii="Times New Roman" w:hAnsi="Times New Roman" w:eastAsia="宋体" w:cs="Times New Roman"/>
          <w:color w:val="auto"/>
          <w:highlight w:val="none"/>
        </w:rPr>
        <w:t>7.4运营期地下水防治措施可行性</w:t>
      </w:r>
      <w:bookmarkEnd w:id="590"/>
      <w:bookmarkEnd w:id="591"/>
    </w:p>
    <w:p w14:paraId="6F365908">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592" w:name="_Toc616"/>
      <w:bookmarkStart w:id="593" w:name="_Toc41476842"/>
      <w:r>
        <w:rPr>
          <w:rFonts w:hint="default" w:ascii="Times New Roman" w:hAnsi="Times New Roman" w:eastAsia="宋体" w:cs="Times New Roman"/>
          <w:color w:val="auto"/>
          <w:highlight w:val="none"/>
        </w:rPr>
        <w:t>7.4.1防治原则</w:t>
      </w:r>
      <w:bookmarkEnd w:id="592"/>
      <w:bookmarkEnd w:id="593"/>
    </w:p>
    <w:p w14:paraId="5DBCFB31">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地下水及土壤污染防治措施坚持“源头控制、末端防治、污染监控、应急响应相结合”的原则，即采取主动控制和被动控制相结合的措施。</w:t>
      </w:r>
    </w:p>
    <w:p w14:paraId="7A29A25C">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（1）主动控制，即从源头控制措施，主要包括在危废暂存间、</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化粪池</w:t>
      </w:r>
      <w:r>
        <w:rPr>
          <w:rFonts w:hint="default" w:ascii="Times New Roman" w:hAnsi="Times New Roman" w:eastAsia="宋体" w:cs="Times New Roman"/>
          <w:color w:val="auto"/>
          <w:highlight w:val="none"/>
        </w:rPr>
        <w:t>采取相应措施，防止和降低污染物跑、冒、滴、漏，将污染物泄漏的环境风险事故降到最低程度。</w:t>
      </w:r>
    </w:p>
    <w:p w14:paraId="5A25B6F0">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被动控制，即末端控制措施，主要包括场内污染区地面的防渗措施和泄漏、渗漏污染物收集措施，即在污染区地面进行防渗处理，防止洒落地面的污染物渗入地下，并把滞留在地面的污染物收集起来，按规范妥善处置。</w:t>
      </w:r>
    </w:p>
    <w:p w14:paraId="38D2F71D">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（3）实施重点区域地下水污染监控系统，包括建立完善的监测制度，科学、合理场区地下水下游（</w:t>
      </w:r>
      <w:r>
        <w:rPr>
          <w:rFonts w:hint="default" w:ascii="Times New Roman" w:hAnsi="Times New Roman" w:eastAsia="宋体" w:cs="Times New Roman"/>
          <w:color w:val="auto"/>
          <w:highlight w:val="none"/>
          <w:lang w:eastAsia="zh-CN"/>
        </w:rPr>
        <w:t>场区南侧</w:t>
      </w:r>
      <w:r>
        <w:rPr>
          <w:rFonts w:hint="default" w:ascii="Times New Roman" w:hAnsi="Times New Roman" w:eastAsia="宋体" w:cs="Times New Roman"/>
          <w:color w:val="auto"/>
          <w:highlight w:val="none"/>
        </w:rPr>
        <w:t>）设置1个地下水监控井</w:t>
      </w:r>
      <w:r>
        <w:rPr>
          <w:rFonts w:hint="default" w:ascii="Times New Roman" w:hAnsi="Times New Roman" w:eastAsia="宋体" w:cs="Times New Roman"/>
          <w:color w:val="auto"/>
          <w:highlight w:val="none"/>
          <w:lang w:eastAsia="zh-CN"/>
        </w:rPr>
        <w:t>（坐标：N41°07'03"；E108°55'54"）</w:t>
      </w:r>
      <w:r>
        <w:rPr>
          <w:rFonts w:hint="default" w:ascii="Times New Roman" w:hAnsi="Times New Roman" w:eastAsia="宋体" w:cs="Times New Roman"/>
          <w:color w:val="auto"/>
          <w:highlight w:val="none"/>
        </w:rPr>
        <w:t>，及时发现污染、及时控制。</w:t>
      </w:r>
    </w:p>
    <w:p w14:paraId="550A92C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（4）应急响应措施，包括一旦发现地下水、土壤污染事故，立即启动应急预案、采取应急措施控制地下水、土壤污染，并使污染得到治理。</w:t>
      </w:r>
    </w:p>
    <w:p w14:paraId="0B0E122F">
      <w:pPr>
        <w:pStyle w:val="5"/>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outlineLvl w:val="1"/>
        <w:rPr>
          <w:rFonts w:hint="default" w:ascii="Times New Roman" w:hAnsi="Times New Roman" w:eastAsia="宋体" w:cs="Times New Roman"/>
          <w:color w:val="auto"/>
          <w:highlight w:val="none"/>
        </w:rPr>
      </w:pPr>
      <w:bookmarkStart w:id="594" w:name="_Toc17879"/>
      <w:bookmarkStart w:id="595" w:name="_Toc41476843"/>
      <w:r>
        <w:rPr>
          <w:rFonts w:hint="default" w:ascii="Times New Roman" w:hAnsi="Times New Roman" w:eastAsia="宋体" w:cs="Times New Roman"/>
          <w:color w:val="auto"/>
          <w:highlight w:val="none"/>
        </w:rPr>
        <w:t>7.4.2污染物控制对策</w:t>
      </w:r>
      <w:bookmarkEnd w:id="594"/>
      <w:bookmarkEnd w:id="595"/>
    </w:p>
    <w:p w14:paraId="48947CD7">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按照“源头控制、分区防控、污染监控、应急响应”原则，按照分区防控原则，拟建项目所在地分重点防渗区、一般防渗区和简单防渗区。为了防止地下水和土壤受到污染，采取的主要地下水防治措施如下：</w:t>
      </w:r>
    </w:p>
    <w:p w14:paraId="787A2F33">
      <w:pPr>
        <w:pStyle w:val="6"/>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7.4.2.1源头控制措施</w:t>
      </w:r>
    </w:p>
    <w:p w14:paraId="27DDB7AE">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项目运营后应加强管理，主要包括在</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区域，降低和防止污染物跑、冒、滴、漏，将污染物泄漏的环境风险事故降到最低程度，把工程分析中提到的各项废水利用措施落实到位，避免事故排放对地下水造成污染。</w:t>
      </w:r>
    </w:p>
    <w:p w14:paraId="7FBED4CC">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本次评价提出如下要求：</w:t>
      </w:r>
    </w:p>
    <w:p w14:paraId="77B9B113">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1）场区任何废水皆禁止排入地下水中。</w:t>
      </w:r>
    </w:p>
    <w:p w14:paraId="55702FCF">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2）将拟建场区采取分区防渗，全厂根据不同区域潜在地下水污染风险性大小划分为：重点防渗区、一般防渗区和简单防渗区。</w:t>
      </w:r>
    </w:p>
    <w:p w14:paraId="1893E4B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3）在拟建场区可能发生泄漏的装置下游布置1口地下水跟踪监测井，进行地下水污染监测，发现泄漏及时切断泄漏源，</w:t>
      </w:r>
      <w:r>
        <w:rPr>
          <w:rFonts w:hint="default" w:ascii="Times New Roman" w:hAnsi="Times New Roman" w:eastAsia="宋体" w:cs="Times New Roman"/>
          <w:color w:val="auto"/>
          <w:highlight w:val="none"/>
          <w:lang w:eastAsia="zh-CN"/>
        </w:rPr>
        <w:t>减少</w:t>
      </w:r>
      <w:r>
        <w:rPr>
          <w:rFonts w:hint="default" w:ascii="Times New Roman" w:hAnsi="Times New Roman" w:eastAsia="宋体" w:cs="Times New Roman"/>
          <w:color w:val="auto"/>
          <w:highlight w:val="none"/>
        </w:rPr>
        <w:t>向地下水中的泄漏量。</w:t>
      </w:r>
    </w:p>
    <w:p w14:paraId="2E397A9C">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）采用雨污分流自流式排水，道路雨水采用自流式排水，经过雨水管道排入养殖场排水沟，沿道路排水沟排出，最终排放至场区外。</w:t>
      </w:r>
    </w:p>
    <w:p w14:paraId="012DD56B">
      <w:pPr>
        <w:pStyle w:val="6"/>
        <w:pageBreakBefore w:val="0"/>
        <w:widowControl w:val="0"/>
        <w:kinsoku/>
        <w:wordWrap/>
        <w:overflowPunct/>
        <w:topLinePunct/>
        <w:autoSpaceDE w:val="0"/>
        <w:autoSpaceDN/>
        <w:bidi w:val="0"/>
        <w:adjustRightInd/>
        <w:snapToGrid w:val="0"/>
        <w:spacing w:before="0" w:after="0" w:line="360" w:lineRule="auto"/>
        <w:ind w:left="0" w:leftChars="0" w:right="0" w:righ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7.4.2.2分区防渗措施</w:t>
      </w:r>
    </w:p>
    <w:p w14:paraId="2E1E5BF7">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生产装置、辅助设施及公用工程可能泄漏特殊的性质将项目区分为重点污染防治区、一般污染防治区和非污染防治区。为防止运营过程对地下水造成污染，在工程设计中，将分区对场区内防渗漏设施进行建设。主要考虑重点污染防治区和一般污染防治区，分别采取不同等级防渗方案：</w:t>
      </w:r>
    </w:p>
    <w:p w14:paraId="5C697BDB">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lang w:val="en-US" w:eastAsia="zh-CN"/>
        </w:rPr>
        <w:t>1</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rPr>
        <w:t>重点防渗区</w:t>
      </w:r>
    </w:p>
    <w:p w14:paraId="6D6B257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rPr>
        <w:t>重点污染防治区指位于地下或者半地下的生产功能单元，污染地下水环境的污染物泄漏后不容易被及时发现或处理的区域/部位，该区域采取严格的防腐、防渗措施，重点污染防治区包括</w:t>
      </w:r>
      <w:r>
        <w:rPr>
          <w:rFonts w:hint="default" w:ascii="Times New Roman" w:hAnsi="Times New Roman" w:eastAsia="宋体" w:cs="Times New Roman"/>
          <w:color w:val="FF0000"/>
          <w:highlight w:val="none"/>
          <w:lang w:val="zh-CN"/>
        </w:rPr>
        <w:t>危废暂存间</w:t>
      </w:r>
      <w:r>
        <w:rPr>
          <w:rFonts w:hint="default" w:ascii="Times New Roman" w:hAnsi="Times New Roman" w:eastAsia="宋体" w:cs="Times New Roman"/>
          <w:color w:val="FF0000"/>
          <w:highlight w:val="none"/>
          <w:lang w:val="zh-CN"/>
        </w:rPr>
        <w:t>、冷藏间等</w:t>
      </w:r>
      <w:r>
        <w:rPr>
          <w:rFonts w:hint="default" w:ascii="Times New Roman" w:hAnsi="Times New Roman" w:eastAsia="宋体" w:cs="Times New Roman"/>
          <w:color w:val="FF0000"/>
          <w:highlight w:val="none"/>
        </w:rPr>
        <w:t>，避免</w:t>
      </w:r>
      <w:r>
        <w:rPr>
          <w:rFonts w:hint="default" w:ascii="Times New Roman" w:hAnsi="Times New Roman" w:eastAsia="宋体" w:cs="Times New Roman"/>
          <w:color w:val="FF0000"/>
          <w:highlight w:val="none"/>
          <w:lang w:eastAsia="zh-CN"/>
        </w:rPr>
        <w:t>泄漏</w:t>
      </w:r>
      <w:r>
        <w:rPr>
          <w:rFonts w:hint="default" w:ascii="Times New Roman" w:hAnsi="Times New Roman" w:eastAsia="宋体" w:cs="Times New Roman"/>
          <w:color w:val="FF0000"/>
          <w:highlight w:val="none"/>
        </w:rPr>
        <w:t>对地下水造成污染，防渗技术要求为渗透系数≤1.0×10</w:t>
      </w:r>
      <w:r>
        <w:rPr>
          <w:rFonts w:hint="default" w:ascii="Times New Roman" w:hAnsi="Times New Roman" w:eastAsia="宋体" w:cs="Times New Roman"/>
          <w:color w:val="FF0000"/>
          <w:highlight w:val="none"/>
          <w:vertAlign w:val="superscript"/>
        </w:rPr>
        <w:t>-10</w:t>
      </w:r>
      <w:r>
        <w:rPr>
          <w:rFonts w:hint="default" w:ascii="Times New Roman" w:hAnsi="Times New Roman" w:eastAsia="宋体" w:cs="Times New Roman"/>
          <w:color w:val="FF0000"/>
          <w:highlight w:val="none"/>
        </w:rPr>
        <w:t>cm/s。</w:t>
      </w:r>
    </w:p>
    <w:p w14:paraId="61099135">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lang w:val="en-US" w:eastAsia="zh-CN"/>
        </w:rPr>
        <w:t>2</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rPr>
        <w:t>一般防渗区</w:t>
      </w:r>
    </w:p>
    <w:p w14:paraId="27FCE516">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0000"/>
          <w:highlight w:val="none"/>
        </w:rPr>
      </w:pPr>
      <w:r>
        <w:rPr>
          <w:rFonts w:hint="default" w:ascii="Times New Roman" w:hAnsi="Times New Roman" w:eastAsia="宋体" w:cs="Times New Roman"/>
          <w:color w:val="0000FF"/>
          <w:highlight w:val="none"/>
        </w:rPr>
        <w:t>一般防渗区包括牛舍、青贮平台、粪污处理池、</w:t>
      </w:r>
      <w:r>
        <w:rPr>
          <w:rFonts w:hint="default" w:ascii="Times New Roman" w:hAnsi="Times New Roman" w:eastAsia="宋体" w:cs="Times New Roman"/>
          <w:color w:val="0000FF"/>
          <w:highlight w:val="none"/>
          <w:lang w:eastAsia="zh-CN"/>
        </w:rPr>
        <w:t>化粪池</w:t>
      </w:r>
      <w:r>
        <w:rPr>
          <w:rFonts w:hint="default" w:ascii="Times New Roman" w:hAnsi="Times New Roman" w:eastAsia="宋体" w:cs="Times New Roman"/>
          <w:color w:val="0000FF"/>
          <w:highlight w:val="none"/>
        </w:rPr>
        <w:t>等，</w:t>
      </w:r>
      <w:r>
        <w:rPr>
          <w:rFonts w:hint="default" w:ascii="Times New Roman" w:hAnsi="Times New Roman" w:eastAsia="宋体" w:cs="Times New Roman"/>
          <w:color w:val="FF0000"/>
          <w:highlight w:val="none"/>
        </w:rPr>
        <w:t>渗透系数按照≤1.0×10</w:t>
      </w:r>
      <w:r>
        <w:rPr>
          <w:rFonts w:hint="default" w:ascii="Times New Roman" w:hAnsi="Times New Roman" w:eastAsia="宋体" w:cs="Times New Roman"/>
          <w:color w:val="FF0000"/>
          <w:highlight w:val="none"/>
          <w:vertAlign w:val="superscript"/>
        </w:rPr>
        <w:t>-7</w:t>
      </w:r>
      <w:r>
        <w:rPr>
          <w:rFonts w:hint="default" w:ascii="Times New Roman" w:hAnsi="Times New Roman" w:eastAsia="宋体" w:cs="Times New Roman"/>
          <w:color w:val="FF0000"/>
          <w:highlight w:val="none"/>
        </w:rPr>
        <w:t>cm/s建设。</w:t>
      </w:r>
    </w:p>
    <w:p w14:paraId="4350A361">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简单防渗区</w:t>
      </w:r>
    </w:p>
    <w:p w14:paraId="0F72B07D">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0000FF"/>
          <w:highlight w:val="none"/>
        </w:rPr>
        <w:t>主要为</w:t>
      </w:r>
      <w:r>
        <w:rPr>
          <w:rFonts w:hint="default" w:ascii="Times New Roman" w:hAnsi="Times New Roman" w:eastAsia="宋体" w:cs="Times New Roman"/>
          <w:color w:val="0000FF"/>
          <w:highlight w:val="none"/>
          <w:lang w:val="en-US" w:eastAsia="zh-CN"/>
        </w:rPr>
        <w:t>草棚、</w:t>
      </w:r>
      <w:r>
        <w:rPr>
          <w:rFonts w:hint="default" w:ascii="Times New Roman" w:hAnsi="Times New Roman" w:eastAsia="宋体" w:cs="Times New Roman"/>
          <w:color w:val="0000FF"/>
          <w:highlight w:val="none"/>
          <w:lang w:eastAsia="zh-CN"/>
        </w:rPr>
        <w:t>TMR车间</w:t>
      </w:r>
      <w:r>
        <w:rPr>
          <w:rFonts w:hint="default" w:ascii="Times New Roman" w:hAnsi="Times New Roman" w:eastAsia="宋体" w:cs="Times New Roman"/>
          <w:color w:val="0000FF"/>
          <w:highlight w:val="none"/>
          <w:lang w:eastAsia="zh-CN"/>
        </w:rPr>
        <w:t>、</w:t>
      </w:r>
      <w:r>
        <w:rPr>
          <w:rFonts w:hint="default" w:ascii="Times New Roman" w:hAnsi="Times New Roman" w:eastAsia="宋体" w:cs="Times New Roman"/>
          <w:color w:val="0000FF"/>
          <w:highlight w:val="none"/>
        </w:rPr>
        <w:t>场区道路、牛舍饲料通道、运输道路单元，</w:t>
      </w:r>
      <w:r>
        <w:rPr>
          <w:rFonts w:hint="default" w:ascii="Times New Roman" w:hAnsi="Times New Roman" w:eastAsia="宋体" w:cs="Times New Roman"/>
          <w:color w:val="auto"/>
          <w:highlight w:val="none"/>
        </w:rPr>
        <w:t>采取水泥</w:t>
      </w:r>
      <w:r>
        <w:rPr>
          <w:rFonts w:hint="default" w:ascii="Times New Roman" w:hAnsi="Times New Roman" w:eastAsia="宋体" w:cs="Times New Roman"/>
          <w:color w:val="auto"/>
          <w:highlight w:val="none"/>
          <w:lang w:eastAsia="zh-CN"/>
        </w:rPr>
        <w:t>混凝土</w:t>
      </w:r>
      <w:r>
        <w:rPr>
          <w:rFonts w:hint="default" w:ascii="Times New Roman" w:hAnsi="Times New Roman" w:eastAsia="宋体" w:cs="Times New Roman"/>
          <w:color w:val="auto"/>
          <w:highlight w:val="none"/>
        </w:rPr>
        <w:t>硬化处理，采用粘土铺底，再在上层铺15～20cm厚抗渗</w:t>
      </w:r>
      <w:r>
        <w:rPr>
          <w:rFonts w:hint="default" w:ascii="Times New Roman" w:hAnsi="Times New Roman" w:eastAsia="宋体" w:cs="Times New Roman"/>
          <w:color w:val="auto"/>
          <w:highlight w:val="none"/>
          <w:lang w:eastAsia="zh-CN"/>
        </w:rPr>
        <w:t>混凝土</w:t>
      </w:r>
      <w:r>
        <w:rPr>
          <w:rFonts w:hint="default" w:ascii="Times New Roman" w:hAnsi="Times New Roman" w:eastAsia="宋体" w:cs="Times New Roman"/>
          <w:color w:val="auto"/>
          <w:highlight w:val="none"/>
        </w:rPr>
        <w:t>硬化的要求建设。</w:t>
      </w:r>
    </w:p>
    <w:p w14:paraId="3E2FA03C">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非防渗区</w:t>
      </w:r>
    </w:p>
    <w:p w14:paraId="44BFEE80">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非污染防治区指没有物料或污染物泄漏，不会对地下水环境造成污染的区域或部位，主要包括场区内绿化带、</w:t>
      </w:r>
      <w:r>
        <w:rPr>
          <w:rFonts w:hint="default" w:ascii="Times New Roman" w:hAnsi="Times New Roman" w:eastAsia="宋体" w:cs="Times New Roman"/>
          <w:color w:val="auto"/>
          <w:highlight w:val="none"/>
          <w:lang w:eastAsia="zh-CN"/>
        </w:rPr>
        <w:t>办</w:t>
      </w:r>
      <w:r>
        <w:rPr>
          <w:rFonts w:hint="default" w:ascii="Times New Roman" w:hAnsi="Times New Roman" w:eastAsia="宋体" w:cs="Times New Roman"/>
          <w:color w:val="auto"/>
          <w:highlight w:val="none"/>
          <w:lang w:eastAsia="zh-CN"/>
        </w:rPr>
        <w:t>公区</w:t>
      </w:r>
      <w:r>
        <w:rPr>
          <w:rFonts w:hint="default" w:ascii="Times New Roman" w:hAnsi="Times New Roman" w:eastAsia="宋体" w:cs="Times New Roman"/>
          <w:color w:val="auto"/>
          <w:highlight w:val="none"/>
        </w:rPr>
        <w:t>域等。</w:t>
      </w:r>
    </w:p>
    <w:p w14:paraId="14EF6FC6">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防渗参照的标准和规范，结合目前施工过程中的可操作性和技术水平，针对不同的防渗区域采用典型的防渗措施如下，在具体设计中应根据实际情况在满足防渗标准的前提下做必要的调整。本次评价所涉及的设计防渗分区的具体防渗要求如下，见表7.4-1。</w:t>
      </w:r>
    </w:p>
    <w:p w14:paraId="6DC2959F">
      <w:pPr>
        <w:pStyle w:val="7"/>
        <w:pageBreakBefore w:val="0"/>
        <w:widowControl w:val="0"/>
        <w:kinsoku/>
        <w:wordWrap/>
        <w:overflowPunct/>
        <w:topLinePunct/>
        <w:autoSpaceDE w:val="0"/>
        <w:autoSpaceDN/>
        <w:bidi w:val="0"/>
        <w:adjustRightInd/>
        <w:snapToGrid w:val="0"/>
        <w:spacing w:line="360" w:lineRule="auto"/>
        <w:ind w:left="0" w:leftChars="0" w:right="0" w:rightChars="0"/>
        <w:textAlignment w:val="auto"/>
        <w:rPr>
          <w:rFonts w:hint="default" w:ascii="Times New Roman" w:hAnsi="Times New Roman" w:eastAsia="宋体" w:cs="Times New Roman"/>
          <w:color w:val="auto"/>
          <w:highlight w:val="none"/>
        </w:rPr>
      </w:pPr>
      <w:bookmarkStart w:id="596" w:name="_Hlk46587433"/>
      <w:r>
        <w:rPr>
          <w:rFonts w:hint="default" w:ascii="Times New Roman" w:hAnsi="Times New Roman" w:eastAsia="宋体" w:cs="Times New Roman"/>
          <w:color w:val="auto"/>
          <w:highlight w:val="none"/>
        </w:rPr>
        <w:t>表7.4-1本项目地下水分区防渗表</w:t>
      </w:r>
    </w:p>
    <w:tbl>
      <w:tblPr>
        <w:tblStyle w:val="40"/>
        <w:tblW w:w="8277"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556"/>
        <w:gridCol w:w="442"/>
        <w:gridCol w:w="1160"/>
        <w:gridCol w:w="3790"/>
        <w:gridCol w:w="2329"/>
      </w:tblGrid>
      <w:tr w14:paraId="1FCD924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6" w:type="dxa"/>
            <w:tcBorders>
              <w:top w:val="single" w:color="auto" w:sz="4" w:space="0"/>
              <w:left w:val="single" w:color="auto" w:sz="4" w:space="0"/>
              <w:bottom w:val="single" w:color="auto" w:sz="4" w:space="0"/>
              <w:right w:val="single" w:color="auto" w:sz="4" w:space="0"/>
            </w:tcBorders>
            <w:vAlign w:val="center"/>
          </w:tcPr>
          <w:p w14:paraId="58FE4B8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序号</w:t>
            </w:r>
          </w:p>
        </w:tc>
        <w:tc>
          <w:tcPr>
            <w:tcW w:w="1602" w:type="dxa"/>
            <w:gridSpan w:val="2"/>
            <w:tcBorders>
              <w:top w:val="single" w:color="auto" w:sz="4" w:space="0"/>
              <w:left w:val="single" w:color="auto" w:sz="4" w:space="0"/>
              <w:bottom w:val="single" w:color="auto" w:sz="4" w:space="0"/>
              <w:right w:val="single" w:color="auto" w:sz="4" w:space="0"/>
            </w:tcBorders>
            <w:vAlign w:val="center"/>
          </w:tcPr>
          <w:p w14:paraId="7612C6D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防渗项目</w:t>
            </w:r>
          </w:p>
        </w:tc>
        <w:tc>
          <w:tcPr>
            <w:tcW w:w="3790" w:type="dxa"/>
            <w:tcBorders>
              <w:top w:val="single" w:color="auto" w:sz="4" w:space="0"/>
              <w:left w:val="single" w:color="auto" w:sz="4" w:space="0"/>
              <w:bottom w:val="single" w:color="auto" w:sz="4" w:space="0"/>
              <w:right w:val="single" w:color="auto" w:sz="4" w:space="0"/>
            </w:tcBorders>
            <w:vAlign w:val="center"/>
          </w:tcPr>
          <w:p w14:paraId="14EB9DF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具体做法及要求</w:t>
            </w:r>
          </w:p>
        </w:tc>
        <w:tc>
          <w:tcPr>
            <w:tcW w:w="2329" w:type="dxa"/>
            <w:tcBorders>
              <w:top w:val="single" w:color="auto" w:sz="4" w:space="0"/>
              <w:left w:val="single" w:color="auto" w:sz="4" w:space="0"/>
              <w:bottom w:val="single" w:color="auto" w:sz="4" w:space="0"/>
              <w:right w:val="single" w:color="auto" w:sz="4" w:space="0"/>
            </w:tcBorders>
            <w:vAlign w:val="center"/>
          </w:tcPr>
          <w:p w14:paraId="2F4DC68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参照标准</w:t>
            </w:r>
          </w:p>
        </w:tc>
      </w:tr>
      <w:tr w14:paraId="10C8350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6" w:type="dxa"/>
            <w:tcBorders>
              <w:top w:val="single" w:color="auto" w:sz="4" w:space="0"/>
              <w:left w:val="single" w:color="auto" w:sz="4" w:space="0"/>
              <w:bottom w:val="single" w:color="auto" w:sz="4" w:space="0"/>
              <w:right w:val="single" w:color="auto" w:sz="4" w:space="0"/>
            </w:tcBorders>
            <w:vAlign w:val="center"/>
          </w:tcPr>
          <w:p w14:paraId="25CA6CF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1</w:t>
            </w:r>
          </w:p>
        </w:tc>
        <w:tc>
          <w:tcPr>
            <w:tcW w:w="442" w:type="dxa"/>
            <w:vMerge w:val="restart"/>
            <w:tcBorders>
              <w:top w:val="single" w:color="auto" w:sz="4" w:space="0"/>
              <w:left w:val="single" w:color="auto" w:sz="4" w:space="0"/>
              <w:bottom w:val="single" w:color="auto" w:sz="4" w:space="0"/>
              <w:right w:val="single" w:color="auto" w:sz="4" w:space="0"/>
            </w:tcBorders>
            <w:vAlign w:val="center"/>
          </w:tcPr>
          <w:p w14:paraId="0858210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重点防渗区</w:t>
            </w:r>
          </w:p>
        </w:tc>
        <w:tc>
          <w:tcPr>
            <w:tcW w:w="1160" w:type="dxa"/>
            <w:tcBorders>
              <w:top w:val="single" w:color="auto" w:sz="4" w:space="0"/>
              <w:left w:val="single" w:color="auto" w:sz="4" w:space="0"/>
              <w:bottom w:val="single" w:color="auto" w:sz="4" w:space="0"/>
              <w:right w:val="single" w:color="auto" w:sz="4" w:space="0"/>
            </w:tcBorders>
            <w:vAlign w:val="center"/>
          </w:tcPr>
          <w:p w14:paraId="78C0436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危废暂存间</w:t>
            </w:r>
          </w:p>
        </w:tc>
        <w:tc>
          <w:tcPr>
            <w:tcW w:w="3790" w:type="dxa"/>
            <w:vMerge w:val="restart"/>
            <w:tcBorders>
              <w:top w:val="single" w:color="auto" w:sz="4" w:space="0"/>
              <w:left w:val="single" w:color="auto" w:sz="4" w:space="0"/>
              <w:bottom w:val="single" w:color="auto" w:sz="4" w:space="0"/>
              <w:right w:val="single" w:color="auto" w:sz="4" w:space="0"/>
            </w:tcBorders>
            <w:vAlign w:val="center"/>
          </w:tcPr>
          <w:p w14:paraId="3CB17CF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防渗层为敷设不小于2mm的高密度聚氯乙烯（HDPE）人工防渗膜，膜上、膜下设置“长丝无纺土工布”保护层，并铺设不小于250mm的混凝土保护层避免人畜对土工膜的破坏。混凝土抗渗系数不应低于P8，或其他材料可满足渗透系数≤10</w:t>
            </w:r>
            <w:r>
              <w:rPr>
                <w:rFonts w:hint="default" w:ascii="Times New Roman" w:hAnsi="Times New Roman" w:eastAsia="宋体" w:cs="Times New Roman"/>
                <w:color w:val="FF0000"/>
                <w:sz w:val="21"/>
                <w:szCs w:val="21"/>
                <w:highlight w:val="none"/>
                <w:vertAlign w:val="superscript"/>
              </w:rPr>
              <w:t>-10</w:t>
            </w:r>
            <w:r>
              <w:rPr>
                <w:rFonts w:hint="default" w:ascii="Times New Roman" w:hAnsi="Times New Roman" w:eastAsia="宋体" w:cs="Times New Roman"/>
                <w:color w:val="FF0000"/>
                <w:sz w:val="21"/>
                <w:szCs w:val="21"/>
                <w:highlight w:val="none"/>
              </w:rPr>
              <w:t>cm/s。</w:t>
            </w:r>
          </w:p>
        </w:tc>
        <w:tc>
          <w:tcPr>
            <w:tcW w:w="2329" w:type="dxa"/>
            <w:vMerge w:val="restart"/>
            <w:tcBorders>
              <w:top w:val="single" w:color="auto" w:sz="4" w:space="0"/>
              <w:left w:val="single" w:color="auto" w:sz="4" w:space="0"/>
              <w:bottom w:val="single" w:color="auto" w:sz="4" w:space="0"/>
              <w:right w:val="single" w:color="auto" w:sz="4" w:space="0"/>
            </w:tcBorders>
            <w:vAlign w:val="center"/>
          </w:tcPr>
          <w:p w14:paraId="2F341DD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《危险废物贮存污染控制标准》（</w:t>
            </w:r>
            <w:r>
              <w:rPr>
                <w:rFonts w:hint="default" w:ascii="Times New Roman" w:hAnsi="Times New Roman" w:eastAsia="宋体" w:cs="Times New Roman"/>
                <w:color w:val="FF0000"/>
                <w:sz w:val="21"/>
                <w:szCs w:val="21"/>
                <w:highlight w:val="none"/>
                <w:lang w:eastAsia="zh-CN"/>
              </w:rPr>
              <w:t>GB18597-2023</w:t>
            </w:r>
            <w:r>
              <w:rPr>
                <w:rFonts w:hint="default" w:ascii="Times New Roman" w:hAnsi="Times New Roman" w:eastAsia="宋体" w:cs="Times New Roman"/>
                <w:color w:val="FF0000"/>
                <w:sz w:val="21"/>
                <w:szCs w:val="21"/>
                <w:highlight w:val="none"/>
              </w:rPr>
              <w:t>）</w:t>
            </w:r>
          </w:p>
        </w:tc>
      </w:tr>
      <w:tr w14:paraId="16B5569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6" w:type="dxa"/>
            <w:tcBorders>
              <w:top w:val="single" w:color="auto" w:sz="4" w:space="0"/>
              <w:left w:val="single" w:color="auto" w:sz="4" w:space="0"/>
              <w:bottom w:val="single" w:color="auto" w:sz="4" w:space="0"/>
              <w:right w:val="single" w:color="auto" w:sz="4" w:space="0"/>
            </w:tcBorders>
            <w:vAlign w:val="center"/>
          </w:tcPr>
          <w:p w14:paraId="063F654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2</w:t>
            </w:r>
          </w:p>
        </w:tc>
        <w:tc>
          <w:tcPr>
            <w:tcW w:w="442" w:type="dxa"/>
            <w:vMerge w:val="continue"/>
            <w:tcBorders>
              <w:top w:val="single" w:color="auto" w:sz="4" w:space="0"/>
              <w:left w:val="single" w:color="auto" w:sz="4" w:space="0"/>
              <w:bottom w:val="single" w:color="auto" w:sz="4" w:space="0"/>
              <w:right w:val="single" w:color="auto" w:sz="4" w:space="0"/>
            </w:tcBorders>
            <w:vAlign w:val="center"/>
          </w:tcPr>
          <w:p w14:paraId="04FBFA7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c>
          <w:tcPr>
            <w:tcW w:w="1160" w:type="dxa"/>
            <w:tcBorders>
              <w:top w:val="single" w:color="auto" w:sz="4" w:space="0"/>
              <w:left w:val="single" w:color="auto" w:sz="4" w:space="0"/>
              <w:bottom w:val="single" w:color="auto" w:sz="4" w:space="0"/>
              <w:right w:val="single" w:color="auto" w:sz="4" w:space="0"/>
            </w:tcBorders>
            <w:vAlign w:val="center"/>
          </w:tcPr>
          <w:p w14:paraId="2D62E2F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kern w:val="2"/>
                <w:sz w:val="21"/>
                <w:szCs w:val="21"/>
                <w:highlight w:val="none"/>
                <w:lang w:val="en-US" w:eastAsia="zh-CN" w:bidi="ar-SA"/>
              </w:rPr>
              <w:t>冷藏间</w:t>
            </w:r>
          </w:p>
        </w:tc>
        <w:tc>
          <w:tcPr>
            <w:tcW w:w="3790" w:type="dxa"/>
            <w:vMerge w:val="continue"/>
            <w:tcBorders>
              <w:top w:val="single" w:color="auto" w:sz="4" w:space="0"/>
              <w:left w:val="single" w:color="auto" w:sz="4" w:space="0"/>
              <w:bottom w:val="single" w:color="auto" w:sz="4" w:space="0"/>
              <w:right w:val="single" w:color="auto" w:sz="4" w:space="0"/>
            </w:tcBorders>
            <w:vAlign w:val="center"/>
          </w:tcPr>
          <w:p w14:paraId="4EB4829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c>
          <w:tcPr>
            <w:tcW w:w="2329" w:type="dxa"/>
            <w:vMerge w:val="continue"/>
            <w:tcBorders>
              <w:top w:val="single" w:color="auto" w:sz="4" w:space="0"/>
              <w:left w:val="single" w:color="auto" w:sz="4" w:space="0"/>
              <w:bottom w:val="single" w:color="auto" w:sz="4" w:space="0"/>
              <w:right w:val="single" w:color="auto" w:sz="4" w:space="0"/>
            </w:tcBorders>
            <w:vAlign w:val="center"/>
          </w:tcPr>
          <w:p w14:paraId="19ED7C0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r>
      <w:tr w14:paraId="0F545C7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6" w:type="dxa"/>
            <w:tcBorders>
              <w:top w:val="single" w:color="auto" w:sz="4" w:space="0"/>
              <w:left w:val="single" w:color="auto" w:sz="4" w:space="0"/>
              <w:bottom w:val="single" w:color="auto" w:sz="4" w:space="0"/>
              <w:right w:val="single" w:color="auto" w:sz="4" w:space="0"/>
            </w:tcBorders>
            <w:vAlign w:val="center"/>
          </w:tcPr>
          <w:p w14:paraId="0B858BB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3</w:t>
            </w:r>
          </w:p>
        </w:tc>
        <w:tc>
          <w:tcPr>
            <w:tcW w:w="442" w:type="dxa"/>
            <w:tcBorders>
              <w:top w:val="single" w:color="auto" w:sz="4" w:space="0"/>
              <w:left w:val="single" w:color="auto" w:sz="4" w:space="0"/>
              <w:bottom w:val="single" w:color="auto" w:sz="4" w:space="0"/>
              <w:right w:val="single" w:color="auto" w:sz="4" w:space="0"/>
            </w:tcBorders>
            <w:vAlign w:val="center"/>
          </w:tcPr>
          <w:p w14:paraId="59A881D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一般防渗区</w:t>
            </w:r>
          </w:p>
        </w:tc>
        <w:tc>
          <w:tcPr>
            <w:tcW w:w="1160" w:type="dxa"/>
            <w:tcBorders>
              <w:top w:val="single" w:color="auto" w:sz="4" w:space="0"/>
              <w:left w:val="single" w:color="auto" w:sz="4" w:space="0"/>
              <w:right w:val="single" w:color="auto" w:sz="4" w:space="0"/>
            </w:tcBorders>
            <w:vAlign w:val="center"/>
          </w:tcPr>
          <w:p w14:paraId="19A3BB6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牛舍、青贮平台、粪污处理池、化粪池</w:t>
            </w:r>
          </w:p>
        </w:tc>
        <w:tc>
          <w:tcPr>
            <w:tcW w:w="3790" w:type="dxa"/>
            <w:tcBorders>
              <w:top w:val="single" w:color="auto" w:sz="4" w:space="0"/>
              <w:left w:val="single" w:color="auto" w:sz="4" w:space="0"/>
              <w:bottom w:val="single" w:color="auto" w:sz="4" w:space="0"/>
              <w:right w:val="single" w:color="auto" w:sz="4" w:space="0"/>
            </w:tcBorders>
            <w:vAlign w:val="center"/>
          </w:tcPr>
          <w:p w14:paraId="706119D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防渗层为敷设不小于</w:t>
            </w:r>
            <w:r>
              <w:rPr>
                <w:rFonts w:hint="default" w:ascii="Times New Roman" w:hAnsi="Times New Roman" w:eastAsia="宋体" w:cs="Times New Roman"/>
                <w:color w:val="FF0000"/>
                <w:sz w:val="21"/>
                <w:szCs w:val="21"/>
                <w:highlight w:val="none"/>
                <w:lang w:val="en-US" w:eastAsia="zh-CN"/>
              </w:rPr>
              <w:t>1.5</w:t>
            </w:r>
            <w:r>
              <w:rPr>
                <w:rFonts w:hint="default" w:ascii="Times New Roman" w:hAnsi="Times New Roman" w:eastAsia="宋体" w:cs="Times New Roman"/>
                <w:color w:val="FF0000"/>
                <w:sz w:val="21"/>
                <w:szCs w:val="21"/>
                <w:highlight w:val="none"/>
              </w:rPr>
              <w:t>mm的高密度聚氯乙烯（HDPE）人工防渗膜，膜上、膜下设置“长丝无纺土工布”保护层，并铺设不小于100mm的混凝土保护层，或其他材料可满足渗透系数≤</w:t>
            </w:r>
            <w:r>
              <w:rPr>
                <w:rFonts w:hint="default" w:ascii="Times New Roman" w:hAnsi="Times New Roman" w:eastAsia="宋体" w:cs="Times New Roman"/>
                <w:color w:val="FF0000"/>
                <w:sz w:val="21"/>
                <w:szCs w:val="21"/>
                <w:highlight w:val="none"/>
                <w:lang w:val="en-US" w:eastAsia="zh-CN"/>
              </w:rPr>
              <w:t>1</w:t>
            </w:r>
            <w:r>
              <w:rPr>
                <w:rFonts w:hint="default" w:ascii="Times New Roman" w:hAnsi="Times New Roman" w:eastAsia="宋体" w:cs="Times New Roman"/>
                <w:color w:val="FF0000"/>
                <w:sz w:val="21"/>
                <w:szCs w:val="21"/>
                <w:highlight w:val="none"/>
              </w:rPr>
              <w:t>0</w:t>
            </w:r>
            <w:r>
              <w:rPr>
                <w:rFonts w:hint="default" w:ascii="Times New Roman" w:hAnsi="Times New Roman" w:eastAsia="宋体" w:cs="Times New Roman"/>
                <w:color w:val="FF0000"/>
                <w:sz w:val="21"/>
                <w:szCs w:val="21"/>
                <w:highlight w:val="none"/>
                <w:vertAlign w:val="superscript"/>
              </w:rPr>
              <w:t>-7</w:t>
            </w:r>
            <w:r>
              <w:rPr>
                <w:rFonts w:hint="default" w:ascii="Times New Roman" w:hAnsi="Times New Roman" w:eastAsia="宋体" w:cs="Times New Roman"/>
                <w:color w:val="FF0000"/>
                <w:sz w:val="21"/>
                <w:szCs w:val="21"/>
                <w:highlight w:val="none"/>
              </w:rPr>
              <w:t>cm/s。</w:t>
            </w:r>
          </w:p>
        </w:tc>
        <w:tc>
          <w:tcPr>
            <w:tcW w:w="2329" w:type="dxa"/>
            <w:tcBorders>
              <w:top w:val="single" w:color="auto" w:sz="4" w:space="0"/>
              <w:left w:val="single" w:color="auto" w:sz="4" w:space="0"/>
              <w:bottom w:val="single" w:color="auto" w:sz="4" w:space="0"/>
              <w:right w:val="single" w:color="auto" w:sz="4" w:space="0"/>
            </w:tcBorders>
            <w:vAlign w:val="center"/>
          </w:tcPr>
          <w:p w14:paraId="3F3E79E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rPr>
              <w:t>具备“防渗、防雨、防溢”的三防措施，畜禽粪便的贮存相关要求，应具备防渗、通风、防雨的三防措施；雨污分流满足《畜禽养殖业污染防治技术规范》（HJ/T81-2001）要求</w:t>
            </w:r>
            <w:r>
              <w:rPr>
                <w:rFonts w:hint="default" w:ascii="Times New Roman" w:hAnsi="Times New Roman" w:eastAsia="宋体" w:cs="Times New Roman"/>
                <w:color w:val="FF0000"/>
                <w:sz w:val="21"/>
                <w:szCs w:val="21"/>
                <w:highlight w:val="none"/>
                <w:lang w:eastAsia="zh-CN"/>
              </w:rPr>
              <w:t>；</w:t>
            </w:r>
          </w:p>
          <w:p w14:paraId="7BE8C23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参照《一般工业固体废物贮存和填埋污染控制标准》（GB18599-2020）</w:t>
            </w:r>
          </w:p>
        </w:tc>
      </w:tr>
      <w:tr w14:paraId="613D44B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556" w:type="dxa"/>
            <w:tcBorders>
              <w:top w:val="single" w:color="auto" w:sz="4" w:space="0"/>
              <w:left w:val="single" w:color="auto" w:sz="4" w:space="0"/>
              <w:bottom w:val="single" w:color="auto" w:sz="4" w:space="0"/>
              <w:right w:val="single" w:color="auto" w:sz="4" w:space="0"/>
            </w:tcBorders>
            <w:vAlign w:val="center"/>
          </w:tcPr>
          <w:p w14:paraId="7A1E1FC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val="en-US" w:eastAsia="zh-CN"/>
              </w:rPr>
              <w:t>4</w:t>
            </w:r>
          </w:p>
        </w:tc>
        <w:tc>
          <w:tcPr>
            <w:tcW w:w="442" w:type="dxa"/>
            <w:tcBorders>
              <w:top w:val="single" w:color="auto" w:sz="4" w:space="0"/>
              <w:left w:val="single" w:color="auto" w:sz="4" w:space="0"/>
              <w:bottom w:val="single" w:color="auto" w:sz="4" w:space="0"/>
              <w:right w:val="single" w:color="auto" w:sz="4" w:space="0"/>
            </w:tcBorders>
            <w:vAlign w:val="center"/>
          </w:tcPr>
          <w:p w14:paraId="52E6EC8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简单防渗区</w:t>
            </w:r>
          </w:p>
        </w:tc>
        <w:tc>
          <w:tcPr>
            <w:tcW w:w="1160" w:type="dxa"/>
            <w:tcBorders>
              <w:top w:val="single" w:color="auto" w:sz="4" w:space="0"/>
              <w:left w:val="single" w:color="auto" w:sz="4" w:space="0"/>
              <w:bottom w:val="single" w:color="auto" w:sz="4" w:space="0"/>
              <w:right w:val="single" w:color="auto" w:sz="4" w:space="0"/>
            </w:tcBorders>
            <w:vAlign w:val="center"/>
          </w:tcPr>
          <w:p w14:paraId="20A3B99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草棚、TMR车间、场区道路、牛舍饲料通道、运输道路</w:t>
            </w:r>
          </w:p>
        </w:tc>
        <w:tc>
          <w:tcPr>
            <w:tcW w:w="3790" w:type="dxa"/>
            <w:tcBorders>
              <w:top w:val="single" w:color="auto" w:sz="4" w:space="0"/>
              <w:left w:val="single" w:color="auto" w:sz="4" w:space="0"/>
              <w:bottom w:val="single" w:color="auto" w:sz="4" w:space="0"/>
              <w:right w:val="single" w:color="auto" w:sz="4" w:space="0"/>
            </w:tcBorders>
            <w:vAlign w:val="center"/>
          </w:tcPr>
          <w:p w14:paraId="324D6E0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采取水泥硬化处理，采用粘土铺底，再在上层铺15～20cm厚抗渗水泥</w:t>
            </w:r>
            <w:r>
              <w:rPr>
                <w:rFonts w:hint="default" w:ascii="Times New Roman" w:hAnsi="Times New Roman" w:eastAsia="宋体" w:cs="Times New Roman"/>
                <w:color w:val="FF0000"/>
                <w:sz w:val="21"/>
                <w:szCs w:val="21"/>
                <w:highlight w:val="none"/>
                <w:lang w:eastAsia="zh-CN"/>
              </w:rPr>
              <w:t>混凝</w:t>
            </w:r>
            <w:r>
              <w:rPr>
                <w:rFonts w:hint="default" w:ascii="Times New Roman" w:hAnsi="Times New Roman" w:eastAsia="宋体" w:cs="Times New Roman"/>
                <w:color w:val="FF0000"/>
                <w:sz w:val="21"/>
                <w:szCs w:val="21"/>
                <w:highlight w:val="none"/>
              </w:rPr>
              <w:t>土硬化的要求</w:t>
            </w:r>
          </w:p>
        </w:tc>
        <w:tc>
          <w:tcPr>
            <w:tcW w:w="2329" w:type="dxa"/>
            <w:tcBorders>
              <w:top w:val="single" w:color="auto" w:sz="4" w:space="0"/>
              <w:left w:val="single" w:color="auto" w:sz="4" w:space="0"/>
              <w:bottom w:val="single" w:color="auto" w:sz="4" w:space="0"/>
              <w:right w:val="single" w:color="auto" w:sz="4" w:space="0"/>
            </w:tcBorders>
            <w:vAlign w:val="center"/>
          </w:tcPr>
          <w:p w14:paraId="052FC8E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w:t>
            </w:r>
          </w:p>
        </w:tc>
      </w:tr>
    </w:tbl>
    <w:p w14:paraId="2D1EDD6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本项目的防渗要求如下：</w:t>
      </w:r>
    </w:p>
    <w:p w14:paraId="5FC382E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重点防渗区</w:t>
      </w:r>
    </w:p>
    <w:p w14:paraId="7982838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危废暂存间</w:t>
      </w:r>
      <w:r>
        <w:rPr>
          <w:rFonts w:hint="default" w:ascii="Times New Roman" w:hAnsi="Times New Roman" w:eastAsia="宋体" w:cs="Times New Roman"/>
          <w:color w:val="auto"/>
          <w:highlight w:val="none"/>
        </w:rPr>
        <w:t>的建设应按照</w:t>
      </w:r>
      <w:r>
        <w:rPr>
          <w:rFonts w:hint="default" w:ascii="Times New Roman" w:hAnsi="Times New Roman" w:eastAsia="宋体" w:cs="Times New Roman"/>
          <w:color w:val="FF0000"/>
          <w:highlight w:val="none"/>
        </w:rPr>
        <w:t>《危险废物贮存污染控制标准》（</w:t>
      </w:r>
      <w:r>
        <w:rPr>
          <w:rFonts w:hint="default" w:ascii="Times New Roman" w:hAnsi="Times New Roman" w:eastAsia="宋体" w:cs="Times New Roman"/>
          <w:color w:val="FF0000"/>
          <w:highlight w:val="none"/>
          <w:lang w:eastAsia="zh-CN"/>
        </w:rPr>
        <w:t>GB18597-2023</w:t>
      </w:r>
      <w:r>
        <w:rPr>
          <w:rFonts w:hint="default" w:ascii="Times New Roman" w:hAnsi="Times New Roman" w:eastAsia="宋体" w:cs="Times New Roman"/>
          <w:color w:val="FF0000"/>
          <w:highlight w:val="none"/>
        </w:rPr>
        <w:t>）</w:t>
      </w:r>
      <w:r>
        <w:rPr>
          <w:rFonts w:hint="default" w:ascii="Times New Roman" w:hAnsi="Times New Roman" w:eastAsia="宋体" w:cs="Times New Roman"/>
          <w:color w:val="auto"/>
          <w:highlight w:val="none"/>
        </w:rPr>
        <w:t>、《医疗卫生机构医疗废物管理办法》和《危险废物污染防治技术政策》的要求设置，暂存间地面及裙角必须防渗，渗透系数</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1.0×10</w:t>
      </w:r>
      <w:r>
        <w:rPr>
          <w:rFonts w:hint="default" w:ascii="Times New Roman" w:hAnsi="Times New Roman" w:eastAsia="宋体" w:cs="Times New Roman"/>
          <w:color w:val="auto"/>
          <w:highlight w:val="none"/>
          <w:vertAlign w:val="superscript"/>
        </w:rPr>
        <w:t>-10</w:t>
      </w:r>
      <w:r>
        <w:rPr>
          <w:rFonts w:hint="default" w:ascii="Times New Roman" w:hAnsi="Times New Roman" w:eastAsia="宋体" w:cs="Times New Roman"/>
          <w:color w:val="auto"/>
          <w:highlight w:val="none"/>
        </w:rPr>
        <w:t>cm/s。</w:t>
      </w:r>
    </w:p>
    <w:p w14:paraId="7C0B669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危废暂存间</w:t>
      </w:r>
      <w:r>
        <w:rPr>
          <w:rFonts w:hint="default" w:ascii="Times New Roman" w:hAnsi="Times New Roman" w:eastAsia="宋体" w:cs="Times New Roman"/>
          <w:color w:val="auto"/>
          <w:highlight w:val="none"/>
        </w:rPr>
        <w:t>建设要求：</w:t>
      </w:r>
    </w:p>
    <w:p w14:paraId="0E55C77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1）贮存场所地面须</w:t>
      </w:r>
      <w:r>
        <w:rPr>
          <w:rFonts w:hint="default" w:ascii="Times New Roman" w:hAnsi="Times New Roman" w:eastAsia="宋体" w:cs="Times New Roman"/>
          <w:color w:val="auto"/>
          <w:highlight w:val="none"/>
          <w:lang w:eastAsia="zh-CN"/>
        </w:rPr>
        <w:t>做</w:t>
      </w:r>
      <w:r>
        <w:rPr>
          <w:rFonts w:hint="default" w:ascii="Times New Roman" w:hAnsi="Times New Roman" w:eastAsia="宋体" w:cs="Times New Roman"/>
          <w:color w:val="auto"/>
          <w:highlight w:val="none"/>
        </w:rPr>
        <w:t>硬化处理，以混凝土、砖</w:t>
      </w:r>
      <w:r>
        <w:rPr>
          <w:rFonts w:hint="default" w:ascii="Times New Roman" w:hAnsi="Times New Roman" w:eastAsia="宋体" w:cs="Times New Roman"/>
          <w:color w:val="auto"/>
          <w:highlight w:val="none"/>
          <w:lang w:eastAsia="zh-CN"/>
        </w:rPr>
        <w:t>，或</w:t>
      </w:r>
      <w:r>
        <w:rPr>
          <w:rFonts w:hint="default" w:ascii="Times New Roman" w:hAnsi="Times New Roman" w:eastAsia="宋体" w:cs="Times New Roman"/>
          <w:color w:val="auto"/>
          <w:highlight w:val="none"/>
        </w:rPr>
        <w:t>经过防止腐化处理的钢材料进行建设，地面敷设2mm厚HDPE膜进行防渗处理，以防止渗漏和腐蚀。存放液体性危险废物的贮存场所必须设计导流槽和收集井。场所需要密闭且有通风口。</w:t>
      </w:r>
    </w:p>
    <w:p w14:paraId="23A2C80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eastAsia="zh-CN"/>
        </w:rPr>
        <w:t>危废暂存间</w:t>
      </w:r>
      <w:r>
        <w:rPr>
          <w:rFonts w:hint="default" w:ascii="Times New Roman" w:hAnsi="Times New Roman" w:eastAsia="宋体" w:cs="Times New Roman"/>
          <w:color w:val="auto"/>
          <w:highlight w:val="none"/>
        </w:rPr>
        <w:t>内四周如果不是水泥墙（主要指彩钢房搭建的危废贮存库）时，四周要做高50cm，宽12cm的围堰（门口处围堰根据企业情况，可以降低高度，以便于搬运废油桶出入库），并用水泥抹好。危废暂存间的地面与裙脚要用坚固、防渗的材料建造，建筑材料必须与危险废物相容。</w:t>
      </w:r>
    </w:p>
    <w:p w14:paraId="503AD69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3）建筑材料必须与危险废物相容，防止鸟类和昆虫进入，照明和通风效果好；不得建在食堂或准备食物区域附近或宿舍楼附近。</w:t>
      </w:r>
    </w:p>
    <w:p w14:paraId="443CECD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4）必须设置防风、防雨、防晒、防雷、防扬散、防流失、防渗漏、</w:t>
      </w:r>
      <w:r>
        <w:rPr>
          <w:rFonts w:hint="default" w:ascii="Times New Roman" w:hAnsi="Times New Roman" w:eastAsia="宋体" w:cs="Times New Roman"/>
          <w:color w:val="auto"/>
          <w:highlight w:val="none"/>
          <w:lang w:eastAsia="zh-CN"/>
        </w:rPr>
        <w:t>泄漏液体</w:t>
      </w:r>
      <w:r>
        <w:rPr>
          <w:rFonts w:hint="default" w:ascii="Times New Roman" w:hAnsi="Times New Roman" w:eastAsia="宋体" w:cs="Times New Roman"/>
          <w:color w:val="auto"/>
          <w:highlight w:val="none"/>
        </w:rPr>
        <w:t>收集等。</w:t>
      </w:r>
    </w:p>
    <w:p w14:paraId="3C70498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一般防渗区</w:t>
      </w:r>
    </w:p>
    <w:p w14:paraId="3745760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底部基础防渗具体做法为：防渗层为敷设不小于</w:t>
      </w:r>
      <w:r>
        <w:rPr>
          <w:rFonts w:hint="default" w:ascii="Times New Roman" w:hAnsi="Times New Roman" w:eastAsia="宋体" w:cs="Times New Roman"/>
          <w:color w:val="auto"/>
          <w:highlight w:val="none"/>
          <w:lang w:val="en-US" w:eastAsia="zh-CN"/>
        </w:rPr>
        <w:t>1.5</w:t>
      </w:r>
      <w:r>
        <w:rPr>
          <w:rFonts w:hint="default" w:ascii="Times New Roman" w:hAnsi="Times New Roman" w:eastAsia="宋体" w:cs="Times New Roman"/>
          <w:color w:val="auto"/>
          <w:highlight w:val="none"/>
        </w:rPr>
        <w:t>mm的高密度聚氯乙烯（HDPE）人工防渗膜，膜上、膜下设置“长丝无纺土工布”保护层，并铺设不小于100mm的混凝土保护层，或其他材料可满足渗透系数≤10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w:t>
      </w:r>
    </w:p>
    <w:p w14:paraId="7333C62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0000FF"/>
          <w:highlight w:val="none"/>
        </w:rPr>
      </w:pPr>
      <w:r>
        <w:rPr>
          <w:rFonts w:hint="default" w:ascii="Times New Roman" w:hAnsi="Times New Roman" w:eastAsia="宋体" w:cs="Times New Roman"/>
          <w:color w:val="0000FF"/>
          <w:highlight w:val="none"/>
        </w:rPr>
        <w:t>2）对牛舍、青贮平台、化粪池采取以下防渗措施：</w:t>
      </w:r>
    </w:p>
    <w:p w14:paraId="781E671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池底及坡道采用粘土找平，底部素土夯实，夯实层以上设20mm厚1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3水泥砂浆找平层，防渗层为敷设不小于</w:t>
      </w:r>
      <w:r>
        <w:rPr>
          <w:rFonts w:hint="default" w:ascii="Times New Roman" w:hAnsi="Times New Roman" w:eastAsia="宋体" w:cs="Times New Roman"/>
          <w:color w:val="auto"/>
          <w:highlight w:val="none"/>
          <w:lang w:val="en-US" w:eastAsia="zh-CN"/>
        </w:rPr>
        <w:t>1.5</w:t>
      </w:r>
      <w:r>
        <w:rPr>
          <w:rFonts w:hint="default" w:ascii="Times New Roman" w:hAnsi="Times New Roman" w:eastAsia="宋体" w:cs="Times New Roman"/>
          <w:color w:val="auto"/>
          <w:highlight w:val="none"/>
        </w:rPr>
        <w:t>mm的高密度聚氯乙烯（HDPE）人工防渗膜，膜上、膜下设置“长丝无纺土工布”保护层，并铺设不小于100mm的混凝土保护层，或其他材料可满足渗透系数≤10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w:t>
      </w:r>
    </w:p>
    <w:p w14:paraId="52761A4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简单防渗区</w:t>
      </w:r>
    </w:p>
    <w:p w14:paraId="019DE98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对于草棚、TMR车间、场区道路、牛舍饲料通道、运输道路等，铺设防渗混凝土地面进行防渗</w:t>
      </w:r>
      <w:r>
        <w:rPr>
          <w:rFonts w:hint="default" w:ascii="Times New Roman" w:hAnsi="Times New Roman" w:eastAsia="宋体" w:cs="Times New Roman"/>
          <w:color w:val="auto"/>
          <w:highlight w:val="none"/>
          <w:lang w:eastAsia="zh-CN"/>
        </w:rPr>
        <w:t>。</w:t>
      </w:r>
    </w:p>
    <w:p w14:paraId="03890A9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p>
    <w:p w14:paraId="0728200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sectPr>
          <w:pgSz w:w="11906" w:h="16838"/>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26" w:charSpace="0"/>
        </w:sectPr>
      </w:pPr>
    </w:p>
    <w:p w14:paraId="252E7E70">
      <w:pPr>
        <w:keepNext w:val="0"/>
        <w:keepLines w:val="0"/>
        <w:pageBreakBefore w:val="0"/>
        <w:widowControl w:val="0"/>
        <w:kinsoku/>
        <w:wordWrap/>
        <w:overflowPunct/>
        <w:topLinePunct/>
        <w:autoSpaceDE w:val="0"/>
        <w:bidi w:val="0"/>
        <w:adjustRightInd/>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mc:AlternateContent>
          <mc:Choice Requires="wps">
            <w:drawing>
              <wp:anchor distT="0" distB="0" distL="114300" distR="114300" simplePos="0" relativeHeight="251660288" behindDoc="0" locked="0" layoutInCell="1" allowOverlap="1">
                <wp:simplePos x="0" y="0"/>
                <wp:positionH relativeFrom="column">
                  <wp:posOffset>4763770</wp:posOffset>
                </wp:positionH>
                <wp:positionV relativeFrom="paragraph">
                  <wp:posOffset>3255645</wp:posOffset>
                </wp:positionV>
                <wp:extent cx="1205230" cy="739140"/>
                <wp:effectExtent l="6350" t="6350" r="26670" b="16510"/>
                <wp:wrapNone/>
                <wp:docPr id="105" name="矩形 11"/>
                <wp:cNvGraphicFramePr/>
                <a:graphic xmlns:a="http://schemas.openxmlformats.org/drawingml/2006/main">
                  <a:graphicData uri="http://schemas.microsoft.com/office/word/2010/wordprocessingShape">
                    <wps:wsp>
                      <wps:cNvSpPr/>
                      <wps:spPr>
                        <a:xfrm>
                          <a:off x="0" y="0"/>
                          <a:ext cx="1205230" cy="739140"/>
                        </a:xfrm>
                        <a:custGeom>
                          <a:avLst/>
                          <a:gdLst>
                            <a:gd name="connsiteX0" fmla="*/ 0 w 1898"/>
                            <a:gd name="connsiteY0" fmla="*/ 0 h 1164"/>
                            <a:gd name="connsiteX1" fmla="*/ 1898 w 1898"/>
                            <a:gd name="connsiteY1" fmla="*/ 0 h 1164"/>
                            <a:gd name="connsiteX2" fmla="*/ 502 w 1898"/>
                            <a:gd name="connsiteY2" fmla="*/ 1164 h 1164"/>
                            <a:gd name="connsiteX3" fmla="*/ 0 w 1898"/>
                            <a:gd name="connsiteY3" fmla="*/ 1137 h 1164"/>
                            <a:gd name="connsiteX4" fmla="*/ 0 w 1898"/>
                            <a:gd name="connsiteY4" fmla="*/ 0 h 116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98" h="1164">
                              <a:moveTo>
                                <a:pt x="0" y="0"/>
                              </a:moveTo>
                              <a:lnTo>
                                <a:pt x="1898" y="0"/>
                              </a:lnTo>
                              <a:lnTo>
                                <a:pt x="502" y="1164"/>
                              </a:lnTo>
                              <a:lnTo>
                                <a:pt x="0" y="1137"/>
                              </a:lnTo>
                              <a:lnTo>
                                <a:pt x="0" y="0"/>
                              </a:lnTo>
                              <a:close/>
                            </a:path>
                          </a:pathLst>
                        </a:custGeom>
                        <a:solidFill>
                          <a:srgbClr val="00B0F0">
                            <a:alpha val="50000"/>
                          </a:srgbClr>
                        </a:solidFill>
                        <a:ln w="12700" cap="flat" cmpd="sng">
                          <a:solidFill>
                            <a:srgbClr val="000000"/>
                          </a:solidFill>
                          <a:prstDash val="solid"/>
                          <a:miter/>
                          <a:headEnd type="none" w="med" len="med"/>
                          <a:tailEnd type="none" w="med" len="med"/>
                        </a:ln>
                      </wps:spPr>
                      <wps:bodyPr upright="1"/>
                    </wps:wsp>
                  </a:graphicData>
                </a:graphic>
              </wp:anchor>
            </w:drawing>
          </mc:Choice>
          <mc:Fallback>
            <w:pict>
              <v:shape id="矩形 11" o:spid="_x0000_s1026" o:spt="100" style="position:absolute;left:0pt;margin-left:375.1pt;margin-top:256.35pt;height:58.2pt;width:94.9pt;z-index:251660288;mso-width-relative:page;mso-height-relative:page;" fillcolor="#00B0F0" filled="t" stroked="t" coordsize="1898,1164" o:gfxdata="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" path="m0,0l1898,0,502,1164,0,1137,0,0xe">
                <v:path o:connectlocs="0,0;1205230,0;318770,739140;0,721995;0,0" o:connectangles="0,0,0,0,0"/>
                <v:fill on="t" opacity="32768f" focussize="0,0"/>
                <v:stroke weight="1pt" color="#000000" joinstyle="miter"/>
                <v:imagedata o:title=""/>
                <o:lock v:ext="edit" aspectratio="f"/>
              </v:shape>
            </w:pict>
          </mc:Fallback>
        </mc:AlternateContent>
      </w:r>
      <w:r>
        <w:rPr>
          <w:rFonts w:hint="default" w:ascii="Times New Roman" w:hAnsi="Times New Roman" w:eastAsia="宋体" w:cs="Times New Roman"/>
          <w:sz w:val="24"/>
          <w:highlight w:val="none"/>
        </w:rPr>
        <mc:AlternateContent>
          <mc:Choice Requires="wps">
            <w:drawing>
              <wp:anchor distT="0" distB="0" distL="114300" distR="114300" simplePos="0" relativeHeight="251769856" behindDoc="0" locked="0" layoutInCell="1" allowOverlap="1">
                <wp:simplePos x="0" y="0"/>
                <wp:positionH relativeFrom="column">
                  <wp:posOffset>4794250</wp:posOffset>
                </wp:positionH>
                <wp:positionV relativeFrom="paragraph">
                  <wp:posOffset>558165</wp:posOffset>
                </wp:positionV>
                <wp:extent cx="931545" cy="488315"/>
                <wp:effectExtent l="0" t="0" r="0" b="0"/>
                <wp:wrapNone/>
                <wp:docPr id="106" name="矩形标注 106"/>
                <wp:cNvGraphicFramePr/>
                <a:graphic xmlns:a="http://schemas.openxmlformats.org/drawingml/2006/main">
                  <a:graphicData uri="http://schemas.microsoft.com/office/word/2010/wordprocessingShape">
                    <wps:wsp>
                      <wps:cNvSpPr/>
                      <wps:spPr>
                        <a:xfrm>
                          <a:off x="5821045" y="255905"/>
                          <a:ext cx="931545" cy="488315"/>
                        </a:xfrm>
                        <a:prstGeom prst="wedgeRectCallou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41B4B24">
                            <w:pPr>
                              <w:ind w:left="0" w:leftChars="0" w:firstLine="0" w:firstLineChars="0"/>
                              <w:jc w:val="both"/>
                              <w:rPr>
                                <w:b/>
                                <w:bCs/>
                                <w:color w:val="FF0000"/>
                                <w:sz w:val="21"/>
                                <w:szCs w:val="20"/>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1"/>
                                <w:szCs w:val="20"/>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危废暂存间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77.5pt;margin-top:43.95pt;height:38.45pt;width:73.35pt;z-index:251769856;v-text-anchor:middle;mso-width-relative:page;mso-height-relative:page;" filled="f" stroked="f" coordsize="21600,21600" o:gfxdata="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mPOo4NcAAAAKAQAADwAAAAAAAAABACAAAAAiAAAAZHJzL2Rvd25y&#10;ZXYueG1sUEsBAhQAFAAAAAgAh07iQJklu0pxAgAAtgQAAA4AAAAAAAAAAQAgAAAAJgEAAGRycy9l&#10;Mm9Eb2MueG1sUEsFBgAAAAAGAAYAWQEAAAkGAAAAAA==&#10;" adj="6300,24300">
                <v:fill on="f" focussize="0,0"/>
                <v:stroke on="f" weight="2pt"/>
                <v:imagedata o:title=""/>
                <o:lock v:ext="edit" aspectratio="f"/>
                <v:textbox>
                  <w:txbxContent>
                    <w:p w14:paraId="141B4B24">
                      <w:pPr>
                        <w:ind w:left="0" w:leftChars="0" w:firstLine="0" w:firstLineChars="0"/>
                        <w:jc w:val="both"/>
                        <w:rPr>
                          <w:b/>
                          <w:bCs/>
                          <w:color w:val="FF0000"/>
                          <w:sz w:val="21"/>
                          <w:szCs w:val="20"/>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b/>
                          <w:bCs/>
                          <w:color w:val="FF0000"/>
                          <w:sz w:val="21"/>
                          <w:szCs w:val="20"/>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危废暂存间</w:t>
                      </w:r>
                    </w:p>
                  </w:txbxContent>
                </v:textbox>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26848" behindDoc="0" locked="0" layoutInCell="1" allowOverlap="1">
                <wp:simplePos x="0" y="0"/>
                <wp:positionH relativeFrom="column">
                  <wp:posOffset>2792095</wp:posOffset>
                </wp:positionH>
                <wp:positionV relativeFrom="paragraph">
                  <wp:posOffset>1830705</wp:posOffset>
                </wp:positionV>
                <wp:extent cx="1784350" cy="2145030"/>
                <wp:effectExtent l="8890" t="6350" r="16510" b="20320"/>
                <wp:wrapNone/>
                <wp:docPr id="74" name="矩形 11"/>
                <wp:cNvGraphicFramePr/>
                <a:graphic xmlns:a="http://schemas.openxmlformats.org/drawingml/2006/main">
                  <a:graphicData uri="http://schemas.microsoft.com/office/word/2010/wordprocessingShape">
                    <wps:wsp>
                      <wps:cNvSpPr/>
                      <wps:spPr>
                        <a:xfrm>
                          <a:off x="0" y="0"/>
                          <a:ext cx="1784350" cy="2145030"/>
                        </a:xfrm>
                        <a:custGeom>
                          <a:avLst/>
                          <a:gdLst>
                            <a:gd name="connsiteX0" fmla="*/ 0 w 2810"/>
                            <a:gd name="connsiteY0" fmla="*/ 7 h 3378"/>
                            <a:gd name="connsiteX1" fmla="*/ 2810 w 2810"/>
                            <a:gd name="connsiteY1" fmla="*/ 0 h 3378"/>
                            <a:gd name="connsiteX2" fmla="*/ 2810 w 2810"/>
                            <a:gd name="connsiteY2" fmla="*/ 3378 h 3378"/>
                            <a:gd name="connsiteX3" fmla="*/ 1184 w 2810"/>
                            <a:gd name="connsiteY3" fmla="*/ 3366 h 3378"/>
                            <a:gd name="connsiteX4" fmla="*/ 0 w 2810"/>
                            <a:gd name="connsiteY4" fmla="*/ 7 h 337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10" h="3378">
                              <a:moveTo>
                                <a:pt x="0" y="7"/>
                              </a:moveTo>
                              <a:lnTo>
                                <a:pt x="2810" y="0"/>
                              </a:lnTo>
                              <a:lnTo>
                                <a:pt x="2810" y="3378"/>
                              </a:lnTo>
                              <a:lnTo>
                                <a:pt x="1184" y="3366"/>
                              </a:lnTo>
                              <a:cubicBezTo>
                                <a:pt x="434" y="1591"/>
                                <a:pt x="371" y="1129"/>
                                <a:pt x="0" y="7"/>
                              </a:cubicBezTo>
                              <a:close/>
                            </a:path>
                          </a:pathLst>
                        </a:custGeom>
                        <a:solidFill>
                          <a:srgbClr val="00B0F0">
                            <a:alpha val="53000"/>
                          </a:srgbClr>
                        </a:solidFill>
                        <a:ln w="12700" cap="flat" cmpd="sng">
                          <a:solidFill>
                            <a:srgbClr val="000000"/>
                          </a:solidFill>
                          <a:prstDash val="solid"/>
                          <a:miter/>
                          <a:headEnd type="none" w="med" len="med"/>
                          <a:tailEnd type="none" w="med" len="med"/>
                        </a:ln>
                      </wps:spPr>
                      <wps:bodyPr upright="1"/>
                    </wps:wsp>
                  </a:graphicData>
                </a:graphic>
              </wp:anchor>
            </w:drawing>
          </mc:Choice>
          <mc:Fallback>
            <w:pict>
              <v:shape id="矩形 11" o:spid="_x0000_s1026" o:spt="100" style="position:absolute;left:0pt;margin-left:219.85pt;margin-top:144.15pt;height:168.9pt;width:140.5pt;z-index:251726848;mso-width-relative:page;mso-height-relative:page;" fillcolor="#00B0F0" filled="t" stroked="t" coordsize="2810,3378" o:gfxdata="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" path="m0,7l2810,0,2810,3378,1184,3366c434,1591,371,1129,0,7xe">
                <v:path o:connectlocs="0,4445;1784350,0;1784350,2145030;751840,2137410;0,4445" o:connectangles="0,0,0,0,0"/>
                <v:fill on="t" opacity="34734f" focussize="0,0"/>
                <v:stroke weight="1pt" color="#000000" joinstyle="miter"/>
                <v:imagedata o:title=""/>
                <o:lock v:ext="edit" aspectratio="f"/>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68832" behindDoc="0" locked="0" layoutInCell="1" allowOverlap="1">
                <wp:simplePos x="0" y="0"/>
                <wp:positionH relativeFrom="column">
                  <wp:posOffset>697865</wp:posOffset>
                </wp:positionH>
                <wp:positionV relativeFrom="paragraph">
                  <wp:posOffset>1214120</wp:posOffset>
                </wp:positionV>
                <wp:extent cx="1290320" cy="514350"/>
                <wp:effectExtent l="6350" t="6350" r="17780" b="12700"/>
                <wp:wrapNone/>
                <wp:docPr id="102" name="矩形 11"/>
                <wp:cNvGraphicFramePr/>
                <a:graphic xmlns:a="http://schemas.openxmlformats.org/drawingml/2006/main">
                  <a:graphicData uri="http://schemas.microsoft.com/office/word/2010/wordprocessingShape">
                    <wps:wsp>
                      <wps:cNvSpPr/>
                      <wps:spPr>
                        <a:xfrm>
                          <a:off x="0" y="0"/>
                          <a:ext cx="1290320" cy="514350"/>
                        </a:xfrm>
                        <a:prstGeom prst="rect">
                          <a:avLst/>
                        </a:prstGeom>
                        <a:solidFill>
                          <a:srgbClr val="00B0F0">
                            <a:alpha val="57000"/>
                          </a:srgbClr>
                        </a:solidFill>
                        <a:ln w="12700" cap="flat" cmpd="sng">
                          <a:solidFill>
                            <a:srgbClr val="000000"/>
                          </a:solidFill>
                          <a:prstDash val="solid"/>
                          <a:miter/>
                          <a:headEnd type="none" w="med" len="med"/>
                          <a:tailEnd type="none" w="med" len="med"/>
                        </a:ln>
                      </wps:spPr>
                      <wps:bodyPr upright="1"/>
                    </wps:wsp>
                  </a:graphicData>
                </a:graphic>
              </wp:anchor>
            </w:drawing>
          </mc:Choice>
          <mc:Fallback>
            <w:pict>
              <v:rect id="矩形 11" o:spid="_x0000_s1026" o:spt="1" style="position:absolute;left:0pt;margin-left:54.95pt;margin-top:95.6pt;height:40.5pt;width:101.6pt;z-index:251768832;mso-width-relative:page;mso-height-relative:page;" fillcolor="#00B0F0" filled="t" stroked="t" coordsize="21600,21600" o:gfxdata="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BIn85nWAAAACwEAAA8AAAAAAAAAAQAgAAAA&#10;IgAAAGRycy9kb3ducmV2LnhtbFBLAQIUABQAAAAIAIdO4kBg85lxDQIAAEMEAAAOAAAAAAAAAAEA&#10;IAAAACUBAABkcnMvZTJvRG9jLnhtbFBLBQYAAAAABgAGAFkBAACkBQAAAAA=&#10;">
                <v:fill on="t" opacity="37355f" focussize="0,0"/>
                <v:stroke weight="1pt" color="#00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67808" behindDoc="0" locked="0" layoutInCell="1" allowOverlap="1">
                <wp:simplePos x="0" y="0"/>
                <wp:positionH relativeFrom="column">
                  <wp:posOffset>587375</wp:posOffset>
                </wp:positionH>
                <wp:positionV relativeFrom="paragraph">
                  <wp:posOffset>300355</wp:posOffset>
                </wp:positionV>
                <wp:extent cx="1395730" cy="852170"/>
                <wp:effectExtent l="6350" t="6350" r="7620" b="17780"/>
                <wp:wrapNone/>
                <wp:docPr id="100" name="矩形 11"/>
                <wp:cNvGraphicFramePr/>
                <a:graphic xmlns:a="http://schemas.openxmlformats.org/drawingml/2006/main">
                  <a:graphicData uri="http://schemas.microsoft.com/office/word/2010/wordprocessingShape">
                    <wps:wsp>
                      <wps:cNvSpPr/>
                      <wps:spPr>
                        <a:xfrm>
                          <a:off x="0" y="0"/>
                          <a:ext cx="1395730" cy="852170"/>
                        </a:xfrm>
                        <a:prstGeom prst="rect">
                          <a:avLst/>
                        </a:prstGeom>
                        <a:solidFill>
                          <a:srgbClr val="00B0F0">
                            <a:alpha val="57000"/>
                          </a:srgbClr>
                        </a:solidFill>
                        <a:ln w="12700" cap="flat" cmpd="sng">
                          <a:solidFill>
                            <a:srgbClr val="000000"/>
                          </a:solidFill>
                          <a:prstDash val="solid"/>
                          <a:miter/>
                          <a:headEnd type="none" w="med" len="med"/>
                          <a:tailEnd type="none" w="med" len="med"/>
                        </a:ln>
                      </wps:spPr>
                      <wps:bodyPr upright="1"/>
                    </wps:wsp>
                  </a:graphicData>
                </a:graphic>
              </wp:anchor>
            </w:drawing>
          </mc:Choice>
          <mc:Fallback>
            <w:pict>
              <v:rect id="矩形 11" o:spid="_x0000_s1026" o:spt="1" style="position:absolute;left:0pt;margin-left:46.25pt;margin-top:23.65pt;height:67.1pt;width:109.9pt;z-index:251767808;mso-width-relative:page;mso-height-relative:page;" fillcolor="#00B0F0" filled="t" stroked="t" coordsize="21600,21600" o:gfxdata="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Ytdla1gAAAAkBAAAPAAAAAAAAAAEAIAAA&#10;ACIAAABkcnMvZG93bnJldi54bWxQSwECFAAUAAAACACHTuJAX1Le5w4CAABDBAAADgAAAAAAAAAB&#10;ACAAAAAlAQAAZHJzL2Uyb0RvYy54bWxQSwUGAAAAAAYABgBZAQAApQUAAAAA&#10;">
                <v:fill on="t" opacity="37355f" focussize="0,0"/>
                <v:stroke weight="1pt" color="#00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66784" behindDoc="0" locked="0" layoutInCell="1" allowOverlap="1">
                <wp:simplePos x="0" y="0"/>
                <wp:positionH relativeFrom="column">
                  <wp:posOffset>2837180</wp:posOffset>
                </wp:positionH>
                <wp:positionV relativeFrom="paragraph">
                  <wp:posOffset>381000</wp:posOffset>
                </wp:positionV>
                <wp:extent cx="1712595" cy="1328420"/>
                <wp:effectExtent l="6350" t="6350" r="14605" b="17780"/>
                <wp:wrapNone/>
                <wp:docPr id="99" name="矩形 11"/>
                <wp:cNvGraphicFramePr/>
                <a:graphic xmlns:a="http://schemas.openxmlformats.org/drawingml/2006/main">
                  <a:graphicData uri="http://schemas.microsoft.com/office/word/2010/wordprocessingShape">
                    <wps:wsp>
                      <wps:cNvSpPr/>
                      <wps:spPr>
                        <a:xfrm>
                          <a:off x="0" y="0"/>
                          <a:ext cx="1712595" cy="1328420"/>
                        </a:xfrm>
                        <a:prstGeom prst="rect">
                          <a:avLst/>
                        </a:prstGeom>
                        <a:solidFill>
                          <a:srgbClr val="00B0F0">
                            <a:alpha val="57000"/>
                          </a:srgbClr>
                        </a:solidFill>
                        <a:ln w="12700" cap="flat" cmpd="sng">
                          <a:solidFill>
                            <a:srgbClr val="000000"/>
                          </a:solidFill>
                          <a:prstDash val="solid"/>
                          <a:miter/>
                          <a:headEnd type="none" w="med" len="med"/>
                          <a:tailEnd type="none" w="med" len="med"/>
                        </a:ln>
                      </wps:spPr>
                      <wps:bodyPr upright="1"/>
                    </wps:wsp>
                  </a:graphicData>
                </a:graphic>
              </wp:anchor>
            </w:drawing>
          </mc:Choice>
          <mc:Fallback>
            <w:pict>
              <v:rect id="矩形 11" o:spid="_x0000_s1026" o:spt="1" style="position:absolute;left:0pt;margin-left:223.4pt;margin-top:30pt;height:104.6pt;width:134.85pt;z-index:251766784;mso-width-relative:page;mso-height-relative:page;" fillcolor="#00B0F0" filled="t" stroked="t" coordsize="21600,21600" o:gfxdata="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OlSEqdcAAAAKAQAADwAAAAAAAAABACAA&#10;AAAiAAAAZHJzL2Rvd25yZXYueG1sUEsBAhQAFAAAAAgAh07iQNsh1qcOAgAAQwQAAA4AAAAAAAAA&#10;AQAgAAAAJgEAAGRycy9lMm9Eb2MueG1sUEsFBgAAAAAGAAYAWQEAAKYFAAAAAA==&#10;">
                <v:fill on="t" opacity="37355f" focussize="0,0"/>
                <v:stroke weight="1pt" color="#00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27872" behindDoc="0" locked="0" layoutInCell="1" allowOverlap="1">
                <wp:simplePos x="0" y="0"/>
                <wp:positionH relativeFrom="column">
                  <wp:posOffset>4758690</wp:posOffset>
                </wp:positionH>
                <wp:positionV relativeFrom="paragraph">
                  <wp:posOffset>948055</wp:posOffset>
                </wp:positionV>
                <wp:extent cx="1215390" cy="2291080"/>
                <wp:effectExtent l="6350" t="6350" r="16510" b="7620"/>
                <wp:wrapNone/>
                <wp:docPr id="76" name="矩形 11"/>
                <wp:cNvGraphicFramePr/>
                <a:graphic xmlns:a="http://schemas.openxmlformats.org/drawingml/2006/main">
                  <a:graphicData uri="http://schemas.microsoft.com/office/word/2010/wordprocessingShape">
                    <wps:wsp>
                      <wps:cNvSpPr/>
                      <wps:spPr>
                        <a:xfrm>
                          <a:off x="0" y="0"/>
                          <a:ext cx="1215390" cy="2291080"/>
                        </a:xfrm>
                        <a:prstGeom prst="rect">
                          <a:avLst/>
                        </a:prstGeom>
                        <a:solidFill>
                          <a:srgbClr val="00B0F0">
                            <a:alpha val="57000"/>
                          </a:srgbClr>
                        </a:solidFill>
                        <a:ln w="12700" cap="flat" cmpd="sng">
                          <a:solidFill>
                            <a:srgbClr val="000000"/>
                          </a:solidFill>
                          <a:prstDash val="solid"/>
                          <a:miter/>
                          <a:headEnd type="none" w="med" len="med"/>
                          <a:tailEnd type="none" w="med" len="med"/>
                        </a:ln>
                      </wps:spPr>
                      <wps:bodyPr upright="1"/>
                    </wps:wsp>
                  </a:graphicData>
                </a:graphic>
              </wp:anchor>
            </w:drawing>
          </mc:Choice>
          <mc:Fallback>
            <w:pict>
              <v:rect id="矩形 11" o:spid="_x0000_s1026" o:spt="1" style="position:absolute;left:0pt;margin-left:374.7pt;margin-top:74.65pt;height:180.4pt;width:95.7pt;z-index:251727872;mso-width-relative:page;mso-height-relative:page;" fillcolor="#00B0F0" filled="t" stroked="t" coordsize="21600,21600" o:gfxdata="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4jd2c1wAAAAsBAAAPAAAAAAAAAAEAIAAA&#10;ACIAAABkcnMvZG93bnJldi54bWxQSwECFAAUAAAACACHTuJAXmn9gw0CAABDBAAADgAAAAAAAAAB&#10;ACAAAAAmAQAAZHJzL2Uyb0RvYy54bWxQSwUGAAAAAAYABgBZAQAApQUAAAAA&#10;">
                <v:fill on="t" opacity="37355f" focussize="0,0"/>
                <v:stroke weight="1pt" color="#00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23776" behindDoc="0" locked="0" layoutInCell="1" allowOverlap="1">
                <wp:simplePos x="0" y="0"/>
                <wp:positionH relativeFrom="column">
                  <wp:posOffset>4874260</wp:posOffset>
                </wp:positionH>
                <wp:positionV relativeFrom="paragraph">
                  <wp:posOffset>842645</wp:posOffset>
                </wp:positionV>
                <wp:extent cx="125730" cy="125730"/>
                <wp:effectExtent l="6350" t="6350" r="20320" b="20320"/>
                <wp:wrapNone/>
                <wp:docPr id="35" name="矩形 10"/>
                <wp:cNvGraphicFramePr/>
                <a:graphic xmlns:a="http://schemas.openxmlformats.org/drawingml/2006/main">
                  <a:graphicData uri="http://schemas.microsoft.com/office/word/2010/wordprocessingShape">
                    <wps:wsp>
                      <wps:cNvSpPr/>
                      <wps:spPr>
                        <a:xfrm>
                          <a:off x="0" y="0"/>
                          <a:ext cx="125730" cy="125730"/>
                        </a:xfrm>
                        <a:prstGeom prst="rect">
                          <a:avLst/>
                        </a:prstGeom>
                        <a:gradFill rotWithShape="0">
                          <a:gsLst>
                            <a:gs pos="0">
                              <a:srgbClr val="FF0000">
                                <a:alpha val="50999"/>
                              </a:srgbClr>
                            </a:gs>
                            <a:gs pos="100000">
                              <a:srgbClr val="FF0000">
                                <a:gamma/>
                                <a:shade val="87843"/>
                                <a:invGamma/>
                                <a:alpha val="50999"/>
                              </a:srgbClr>
                            </a:gs>
                          </a:gsLst>
                          <a:lin ang="5400000" scaled="1"/>
                          <a:tileRect/>
                        </a:gradFill>
                        <a:ln w="12700" cap="flat" cmpd="sng">
                          <a:solidFill>
                            <a:srgbClr val="000000"/>
                          </a:solidFill>
                          <a:prstDash val="solid"/>
                          <a:miter/>
                          <a:headEnd type="none" w="med" len="med"/>
                          <a:tailEnd type="none" w="med" len="med"/>
                        </a:ln>
                      </wps:spPr>
                      <wps:bodyPr upright="1"/>
                    </wps:wsp>
                  </a:graphicData>
                </a:graphic>
              </wp:anchor>
            </w:drawing>
          </mc:Choice>
          <mc:Fallback>
            <w:pict>
              <v:rect id="矩形 10" o:spid="_x0000_s1026" o:spt="1" style="position:absolute;left:0pt;margin-left:383.8pt;margin-top:66.35pt;height:9.9pt;width:9.9pt;z-index:251723776;mso-width-relative:page;mso-height-relative:page;" fillcolor="#FF0000" filled="t" stroked="t" coordsize="21600,21600" o:gfxdata="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vGwvd2gAAAAsBAAAPAAAAAAAAAAEAIAAAACIAAABkcnMvZG93bnJldi54bWxQSwECFAAU&#10;AAAACACHTuJA14iJsWECAAAnBQAADgAAAAAAAAABACAAAAApAQAAZHJzL2Uyb0RvYy54bWxQSwUG&#10;AAAAAAYABgBZAQAA/AUAAAAA&#10;">
                <v:fill type="gradient" on="t" color2="#E00000" opacity="33422f" o:opacity2="33422f" focus="100%" focussize="0,0"/>
                <v:stroke weight="1pt" color="#00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24800" behindDoc="0" locked="0" layoutInCell="1" allowOverlap="1">
                <wp:simplePos x="0" y="0"/>
                <wp:positionH relativeFrom="column">
                  <wp:posOffset>5836285</wp:posOffset>
                </wp:positionH>
                <wp:positionV relativeFrom="paragraph">
                  <wp:posOffset>566420</wp:posOffset>
                </wp:positionV>
                <wp:extent cx="129540" cy="95250"/>
                <wp:effectExtent l="6350" t="6350" r="16510" b="12700"/>
                <wp:wrapNone/>
                <wp:docPr id="37" name="矩形 9"/>
                <wp:cNvGraphicFramePr/>
                <a:graphic xmlns:a="http://schemas.openxmlformats.org/drawingml/2006/main">
                  <a:graphicData uri="http://schemas.microsoft.com/office/word/2010/wordprocessingShape">
                    <wps:wsp>
                      <wps:cNvSpPr/>
                      <wps:spPr>
                        <a:xfrm>
                          <a:off x="0" y="0"/>
                          <a:ext cx="129540" cy="95250"/>
                        </a:xfrm>
                        <a:prstGeom prst="rect">
                          <a:avLst/>
                        </a:prstGeom>
                        <a:gradFill rotWithShape="0">
                          <a:gsLst>
                            <a:gs pos="0">
                              <a:srgbClr val="00B0F0">
                                <a:alpha val="50999"/>
                              </a:srgbClr>
                            </a:gs>
                            <a:gs pos="100000">
                              <a:srgbClr val="00B0F0">
                                <a:gamma/>
                                <a:shade val="45882"/>
                                <a:invGamma/>
                                <a:alpha val="50999"/>
                              </a:srgbClr>
                            </a:gs>
                          </a:gsLst>
                          <a:lin ang="5400000" scaled="1"/>
                          <a:tileRect/>
                        </a:gradFill>
                        <a:ln w="12700" cap="flat" cmpd="sng">
                          <a:solidFill>
                            <a:srgbClr val="000000"/>
                          </a:solidFill>
                          <a:prstDash val="solid"/>
                          <a:miter/>
                          <a:headEnd type="none" w="med" len="med"/>
                          <a:tailEnd type="none" w="med" len="med"/>
                        </a:ln>
                      </wps:spPr>
                      <wps:bodyPr upright="1"/>
                    </wps:wsp>
                  </a:graphicData>
                </a:graphic>
              </wp:anchor>
            </w:drawing>
          </mc:Choice>
          <mc:Fallback>
            <w:pict>
              <v:rect id="矩形 9" o:spid="_x0000_s1026" o:spt="1" style="position:absolute;left:0pt;margin-left:459.55pt;margin-top:44.6pt;height:7.5pt;width:10.2pt;z-index:251724800;mso-width-relative:page;mso-height-relative:page;" fillcolor="#00B0F0" filled="t" stroked="t" coordsize="21600,21600" o:gfxdata="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2/YXw9gAAAAKAQAADwAAAAAAAAABACAAAAAiAAAAZHJzL2Rvd25yZXYueG1sUEsBAhQA&#10;FAAAAAgAh07iQA/oWRBkAgAAJQUAAA4AAAAAAAAAAQAgAAAAJwEAAGRycy9lMm9Eb2MueG1sUEsF&#10;BgAAAAAGAAYAWQEAAP0FAAAAAA==&#10;">
                <v:fill type="gradient" on="t" color2="#00516E" opacity="33422f" o:opacity2="33422f" focus="100%" focussize="0,0"/>
                <v:stroke weight="1pt" color="#00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22752" behindDoc="0" locked="0" layoutInCell="1" allowOverlap="1">
                <wp:simplePos x="0" y="0"/>
                <wp:positionH relativeFrom="column">
                  <wp:posOffset>4690745</wp:posOffset>
                </wp:positionH>
                <wp:positionV relativeFrom="paragraph">
                  <wp:posOffset>494665</wp:posOffset>
                </wp:positionV>
                <wp:extent cx="268605" cy="172085"/>
                <wp:effectExtent l="6350" t="6350" r="10795" b="12065"/>
                <wp:wrapNone/>
                <wp:docPr id="34" name="矩形 10"/>
                <wp:cNvGraphicFramePr/>
                <a:graphic xmlns:a="http://schemas.openxmlformats.org/drawingml/2006/main">
                  <a:graphicData uri="http://schemas.microsoft.com/office/word/2010/wordprocessingShape">
                    <wps:wsp>
                      <wps:cNvSpPr/>
                      <wps:spPr>
                        <a:xfrm>
                          <a:off x="0" y="0"/>
                          <a:ext cx="268605" cy="172085"/>
                        </a:xfrm>
                        <a:prstGeom prst="rect">
                          <a:avLst/>
                        </a:prstGeom>
                        <a:gradFill rotWithShape="0">
                          <a:gsLst>
                            <a:gs pos="0">
                              <a:srgbClr val="FF0000">
                                <a:alpha val="50999"/>
                              </a:srgbClr>
                            </a:gs>
                            <a:gs pos="100000">
                              <a:srgbClr val="FF0000">
                                <a:gamma/>
                                <a:shade val="87843"/>
                                <a:invGamma/>
                                <a:alpha val="50999"/>
                              </a:srgbClr>
                            </a:gs>
                          </a:gsLst>
                          <a:lin ang="5400000" scaled="1"/>
                          <a:tileRect/>
                        </a:gradFill>
                        <a:ln w="12700" cap="flat" cmpd="sng">
                          <a:solidFill>
                            <a:srgbClr val="000000"/>
                          </a:solidFill>
                          <a:prstDash val="solid"/>
                          <a:miter/>
                          <a:headEnd type="none" w="med" len="med"/>
                          <a:tailEnd type="none" w="med" len="med"/>
                        </a:ln>
                      </wps:spPr>
                      <wps:bodyPr upright="1"/>
                    </wps:wsp>
                  </a:graphicData>
                </a:graphic>
              </wp:anchor>
            </w:drawing>
          </mc:Choice>
          <mc:Fallback>
            <w:pict>
              <v:rect id="矩形 10" o:spid="_x0000_s1026" o:spt="1" style="position:absolute;left:0pt;margin-left:369.35pt;margin-top:38.95pt;height:13.55pt;width:21.15pt;z-index:251722752;mso-width-relative:page;mso-height-relative:page;" fillcolor="#FF0000" filled="t" stroked="t" coordsize="21600,21600" o:gfxdata="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JbyNI/YAAAACgEAAA8AAAAAAAAAAQAgAAAAIgAAAGRycy9kb3ducmV2LnhtbFBLAQIU&#10;ABQAAAAIAIdO4kAhJX5uZQIAACcFAAAOAAAAAAAAAAEAIAAAACcBAABkcnMvZTJvRG9jLnhtbFBL&#10;BQYAAAAABgAGAFkBAAD+BQAAAAA=&#10;">
                <v:fill type="gradient" on="t" color2="#E00000" opacity="33422f" o:opacity2="33422f" focus="100%" focussize="0,0"/>
                <v:stroke weight="1pt" color="#00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29920" behindDoc="0" locked="0" layoutInCell="1" allowOverlap="1">
                <wp:simplePos x="0" y="0"/>
                <wp:positionH relativeFrom="column">
                  <wp:posOffset>7371715</wp:posOffset>
                </wp:positionH>
                <wp:positionV relativeFrom="paragraph">
                  <wp:posOffset>645160</wp:posOffset>
                </wp:positionV>
                <wp:extent cx="655955" cy="227965"/>
                <wp:effectExtent l="118110" t="27305" r="130175" b="40640"/>
                <wp:wrapNone/>
                <wp:docPr id="81" name="矩形 11"/>
                <wp:cNvGraphicFramePr/>
                <a:graphic xmlns:a="http://schemas.openxmlformats.org/drawingml/2006/main">
                  <a:graphicData uri="http://schemas.microsoft.com/office/word/2010/wordprocessingShape">
                    <wps:wsp>
                      <wps:cNvSpPr/>
                      <wps:spPr>
                        <a:xfrm rot="4140000">
                          <a:off x="0" y="0"/>
                          <a:ext cx="655955" cy="227965"/>
                        </a:xfrm>
                        <a:prstGeom prst="rect">
                          <a:avLst/>
                        </a:prstGeom>
                        <a:gradFill rotWithShape="0">
                          <a:gsLst>
                            <a:gs pos="0">
                              <a:srgbClr val="00B050">
                                <a:alpha val="48000"/>
                              </a:srgbClr>
                            </a:gs>
                            <a:gs pos="100000">
                              <a:srgbClr val="00B050">
                                <a:gamma/>
                                <a:shade val="45882"/>
                                <a:invGamma/>
                                <a:alpha val="48000"/>
                              </a:srgbClr>
                            </a:gs>
                          </a:gsLst>
                          <a:lin ang="5400000" scaled="1"/>
                          <a:tileRect/>
                        </a:gradFill>
                        <a:ln w="12700" cap="flat" cmpd="sng">
                          <a:solidFill>
                            <a:srgbClr val="000000"/>
                          </a:solidFill>
                          <a:prstDash val="solid"/>
                          <a:miter/>
                          <a:headEnd type="none" w="med" len="med"/>
                          <a:tailEnd type="none" w="med" len="med"/>
                        </a:ln>
                      </wps:spPr>
                      <wps:bodyPr upright="1"/>
                    </wps:wsp>
                  </a:graphicData>
                </a:graphic>
              </wp:anchor>
            </w:drawing>
          </mc:Choice>
          <mc:Fallback>
            <w:pict>
              <v:rect id="矩形 11" o:spid="_x0000_s1026" o:spt="1" style="position:absolute;left:0pt;margin-left:580.45pt;margin-top:50.8pt;height:17.95pt;width:51.65pt;rotation:4521984f;z-index:251729920;mso-width-relative:page;mso-height-relative:page;" fillcolor="#00B050" filled="t" stroked="t" coordsize="21600,21600" o:gfxdata="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T3+DRtkAAAANAQAADwAAAAAAAAABACAAAAAiAAAAZHJzL2Rvd25yZXYu&#10;eG1sUEsBAhQAFAAAAAgAh07iQLDJ+RFsAgAANQUAAA4AAAAAAAAAAQAgAAAAKAEAAGRycy9lMm9E&#10;b2MueG1sUEsFBgAAAAAGAAYAWQEAAAYGAAAAAA==&#10;">
                <v:fill type="gradient" on="t" color2="#005125" opacity="31457f" o:opacity2="31457f" focus="100%" focussize="0,0"/>
                <v:stroke weight="1pt" color="#00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28896" behindDoc="0" locked="0" layoutInCell="1" allowOverlap="1">
                <wp:simplePos x="0" y="0"/>
                <wp:positionH relativeFrom="column">
                  <wp:posOffset>6978650</wp:posOffset>
                </wp:positionH>
                <wp:positionV relativeFrom="paragraph">
                  <wp:posOffset>245745</wp:posOffset>
                </wp:positionV>
                <wp:extent cx="655955" cy="270510"/>
                <wp:effectExtent l="6350" t="6350" r="23495" b="8890"/>
                <wp:wrapNone/>
                <wp:docPr id="78" name="矩形 11"/>
                <wp:cNvGraphicFramePr/>
                <a:graphic xmlns:a="http://schemas.openxmlformats.org/drawingml/2006/main">
                  <a:graphicData uri="http://schemas.microsoft.com/office/word/2010/wordprocessingShape">
                    <wps:wsp>
                      <wps:cNvSpPr/>
                      <wps:spPr>
                        <a:xfrm>
                          <a:off x="0" y="0"/>
                          <a:ext cx="655955" cy="270510"/>
                        </a:xfrm>
                        <a:prstGeom prst="rect">
                          <a:avLst/>
                        </a:prstGeom>
                        <a:gradFill rotWithShape="0">
                          <a:gsLst>
                            <a:gs pos="0">
                              <a:srgbClr val="00B050">
                                <a:alpha val="48000"/>
                              </a:srgbClr>
                            </a:gs>
                            <a:gs pos="100000">
                              <a:srgbClr val="00B050">
                                <a:gamma/>
                                <a:shade val="45882"/>
                                <a:invGamma/>
                                <a:alpha val="48000"/>
                              </a:srgbClr>
                            </a:gs>
                          </a:gsLst>
                          <a:lin ang="5400000" scaled="1"/>
                          <a:tileRect/>
                        </a:gradFill>
                        <a:ln w="12700" cap="flat" cmpd="sng">
                          <a:solidFill>
                            <a:srgbClr val="000000"/>
                          </a:solidFill>
                          <a:prstDash val="solid"/>
                          <a:miter/>
                          <a:headEnd type="none" w="med" len="med"/>
                          <a:tailEnd type="none" w="med" len="med"/>
                        </a:ln>
                      </wps:spPr>
                      <wps:bodyPr upright="1"/>
                    </wps:wsp>
                  </a:graphicData>
                </a:graphic>
              </wp:anchor>
            </w:drawing>
          </mc:Choice>
          <mc:Fallback>
            <w:pict>
              <v:rect id="矩形 11" o:spid="_x0000_s1026" o:spt="1" style="position:absolute;left:0pt;margin-left:549.5pt;margin-top:19.35pt;height:21.3pt;width:51.65pt;z-index:251728896;mso-width-relative:page;mso-height-relative:page;" fillcolor="#00B050" filled="t" stroked="t" coordsize="21600,21600" o:gfxdata="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MOHfhDWAAAACwEAAA8AAAAAAAAAAQAgAAAAIgAAAGRycy9kb3ducmV2LnhtbFBLAQIUABQA&#10;AAAIAIdO4kD5gYIUZAIAACcFAAAOAAAAAAAAAAEAIAAAACUBAABkcnMvZTJvRG9jLnhtbFBLBQYA&#10;AAAABgAGAFkBAAD7BQAAAAA=&#10;">
                <v:fill type="gradient" on="t" color2="#005125" opacity="31457f" o:opacity2="31457f" focus="100%" focussize="0,0"/>
                <v:stroke weight="1pt" color="#00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31968" behindDoc="0" locked="0" layoutInCell="1" allowOverlap="1">
                <wp:simplePos x="0" y="0"/>
                <wp:positionH relativeFrom="column">
                  <wp:posOffset>6082665</wp:posOffset>
                </wp:positionH>
                <wp:positionV relativeFrom="paragraph">
                  <wp:posOffset>1412240</wp:posOffset>
                </wp:positionV>
                <wp:extent cx="973455" cy="1147445"/>
                <wp:effectExtent l="6350" t="6350" r="10795" b="8255"/>
                <wp:wrapNone/>
                <wp:docPr id="103" name="矩形 11"/>
                <wp:cNvGraphicFramePr/>
                <a:graphic xmlns:a="http://schemas.openxmlformats.org/drawingml/2006/main">
                  <a:graphicData uri="http://schemas.microsoft.com/office/word/2010/wordprocessingShape">
                    <wps:wsp>
                      <wps:cNvSpPr/>
                      <wps:spPr>
                        <a:xfrm>
                          <a:off x="0" y="0"/>
                          <a:ext cx="973455" cy="1147445"/>
                        </a:xfrm>
                        <a:prstGeom prst="rect">
                          <a:avLst/>
                        </a:prstGeom>
                        <a:gradFill rotWithShape="0">
                          <a:gsLst>
                            <a:gs pos="0">
                              <a:srgbClr val="00B050">
                                <a:alpha val="48000"/>
                              </a:srgbClr>
                            </a:gs>
                            <a:gs pos="100000">
                              <a:srgbClr val="00B050">
                                <a:gamma/>
                                <a:shade val="45882"/>
                                <a:invGamma/>
                                <a:alpha val="48000"/>
                              </a:srgbClr>
                            </a:gs>
                          </a:gsLst>
                          <a:lin ang="5400000" scaled="1"/>
                          <a:tileRect/>
                        </a:gradFill>
                        <a:ln w="12700" cap="flat" cmpd="sng">
                          <a:solidFill>
                            <a:srgbClr val="000000"/>
                          </a:solidFill>
                          <a:prstDash val="solid"/>
                          <a:miter/>
                          <a:headEnd type="none" w="med" len="med"/>
                          <a:tailEnd type="none" w="med" len="med"/>
                        </a:ln>
                      </wps:spPr>
                      <wps:bodyPr upright="1"/>
                    </wps:wsp>
                  </a:graphicData>
                </a:graphic>
              </wp:anchor>
            </w:drawing>
          </mc:Choice>
          <mc:Fallback>
            <w:pict>
              <v:rect id="矩形 11" o:spid="_x0000_s1026" o:spt="1" style="position:absolute;left:0pt;margin-left:478.95pt;margin-top:111.2pt;height:90.35pt;width:76.65pt;z-index:251731968;mso-width-relative:page;mso-height-relative:page;" fillcolor="#00B050" filled="t" stroked="t" coordsize="21600,21600" o:gfxdata="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F2zT53XAAAADAEAAA8AAAAAAAAAAQAgAAAAIgAAAGRycy9kb3ducmV2LnhtbFBLAQIU&#10;ABQAAAAIAIdO4kBuM5DIZgIAACkFAAAOAAAAAAAAAAEAIAAAACYBAABkcnMvZTJvRG9jLnhtbFBL&#10;BQYAAAAABgAGAFkBAAD+BQAAAAA=&#10;">
                <v:fill type="gradient" on="t" color2="#005125" opacity="31457f" o:opacity2="31457f" focus="100%" focussize="0,0"/>
                <v:stroke weight="1pt" color="#00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64736" behindDoc="0" locked="0" layoutInCell="1" allowOverlap="1">
                <wp:simplePos x="0" y="0"/>
                <wp:positionH relativeFrom="column">
                  <wp:posOffset>1516380</wp:posOffset>
                </wp:positionH>
                <wp:positionV relativeFrom="paragraph">
                  <wp:posOffset>3566160</wp:posOffset>
                </wp:positionV>
                <wp:extent cx="1262380" cy="433070"/>
                <wp:effectExtent l="6350" t="6350" r="7620" b="17780"/>
                <wp:wrapNone/>
                <wp:docPr id="97" name="矩形 11"/>
                <wp:cNvGraphicFramePr/>
                <a:graphic xmlns:a="http://schemas.openxmlformats.org/drawingml/2006/main">
                  <a:graphicData uri="http://schemas.microsoft.com/office/word/2010/wordprocessingShape">
                    <wps:wsp>
                      <wps:cNvSpPr/>
                      <wps:spPr>
                        <a:xfrm>
                          <a:off x="0" y="0"/>
                          <a:ext cx="1262380" cy="433070"/>
                        </a:xfrm>
                        <a:prstGeom prst="rect">
                          <a:avLst/>
                        </a:prstGeom>
                        <a:solidFill>
                          <a:srgbClr val="00B0F0">
                            <a:alpha val="48000"/>
                          </a:srgbClr>
                        </a:solidFill>
                        <a:ln w="12700" cap="flat" cmpd="sng">
                          <a:solidFill>
                            <a:srgbClr val="000000"/>
                          </a:solidFill>
                          <a:prstDash val="solid"/>
                          <a:miter/>
                          <a:headEnd type="none" w="med" len="med"/>
                          <a:tailEnd type="none" w="med" len="med"/>
                        </a:ln>
                      </wps:spPr>
                      <wps:bodyPr upright="1"/>
                    </wps:wsp>
                  </a:graphicData>
                </a:graphic>
              </wp:anchor>
            </w:drawing>
          </mc:Choice>
          <mc:Fallback>
            <w:pict>
              <v:rect id="矩形 11" o:spid="_x0000_s1026" o:spt="1" style="position:absolute;left:0pt;margin-left:119.4pt;margin-top:280.8pt;height:34.1pt;width:99.4pt;z-index:251764736;mso-width-relative:page;mso-height-relative:page;" fillcolor="#00B0F0" filled="t" stroked="t" coordsize="21600,21600" o:gfxdata="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hQYcU3QAAAAsBAAAPAAAAAAAA&#10;AAEAIAAAACIAAABkcnMvZG93bnJldi54bWxQSwECFAAUAAAACACHTuJASqnWJA0CAABCBAAADgAA&#10;AAAAAAABACAAAAAsAQAAZHJzL2Uyb0RvYy54bWxQSwUGAAAAAAYABgBZAQAAqwUAAAAA&#10;">
                <v:fill on="t" opacity="31457f" focussize="0,0"/>
                <v:stroke weight="1pt" color="#00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63712" behindDoc="0" locked="0" layoutInCell="1" allowOverlap="1">
                <wp:simplePos x="0" y="0"/>
                <wp:positionH relativeFrom="column">
                  <wp:posOffset>1384935</wp:posOffset>
                </wp:positionH>
                <wp:positionV relativeFrom="paragraph">
                  <wp:posOffset>3128010</wp:posOffset>
                </wp:positionV>
                <wp:extent cx="1378585" cy="433070"/>
                <wp:effectExtent l="6350" t="6350" r="24765" b="17780"/>
                <wp:wrapNone/>
                <wp:docPr id="71" name="矩形 11"/>
                <wp:cNvGraphicFramePr/>
                <a:graphic xmlns:a="http://schemas.openxmlformats.org/drawingml/2006/main">
                  <a:graphicData uri="http://schemas.microsoft.com/office/word/2010/wordprocessingShape">
                    <wps:wsp>
                      <wps:cNvSpPr/>
                      <wps:spPr>
                        <a:xfrm>
                          <a:off x="0" y="0"/>
                          <a:ext cx="1378585" cy="433070"/>
                        </a:xfrm>
                        <a:prstGeom prst="rect">
                          <a:avLst/>
                        </a:prstGeom>
                        <a:solidFill>
                          <a:srgbClr val="00B0F0">
                            <a:alpha val="50000"/>
                          </a:srgbClr>
                        </a:solidFill>
                        <a:ln w="12700" cap="flat" cmpd="sng">
                          <a:solidFill>
                            <a:srgbClr val="000000"/>
                          </a:solidFill>
                          <a:prstDash val="solid"/>
                          <a:miter/>
                          <a:headEnd type="none" w="med" len="med"/>
                          <a:tailEnd type="none" w="med" len="med"/>
                        </a:ln>
                      </wps:spPr>
                      <wps:bodyPr upright="1"/>
                    </wps:wsp>
                  </a:graphicData>
                </a:graphic>
              </wp:anchor>
            </w:drawing>
          </mc:Choice>
          <mc:Fallback>
            <w:pict>
              <v:rect id="矩形 11" o:spid="_x0000_s1026" o:spt="1" style="position:absolute;left:0pt;margin-left:109.05pt;margin-top:246.3pt;height:34.1pt;width:108.55pt;z-index:251763712;mso-width-relative:page;mso-height-relative:page;" fillcolor="#00B0F0" filled="t" stroked="t" coordsize="21600,21600" o:gfxdata="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JHjhjDcAAAACwEAAA8AAAAAAAAAAQAg&#10;AAAAIgAAAGRycy9kb3ducmV2LnhtbFBLAQIUABQAAAAIAIdO4kA9kLeFCgIAAEIEAAAOAAAAAAAA&#10;AAEAIAAAACsBAABkcnMvZTJvRG9jLnhtbFBLBQYAAAAABgAGAFkBAACnBQAAAAA=&#10;">
                <v:fill on="t" opacity="32768f" focussize="0,0"/>
                <v:stroke weight="1pt" color="#00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62688" behindDoc="0" locked="0" layoutInCell="1" allowOverlap="1">
                <wp:simplePos x="0" y="0"/>
                <wp:positionH relativeFrom="column">
                  <wp:posOffset>1049655</wp:posOffset>
                </wp:positionH>
                <wp:positionV relativeFrom="paragraph">
                  <wp:posOffset>2270760</wp:posOffset>
                </wp:positionV>
                <wp:extent cx="1726565" cy="850265"/>
                <wp:effectExtent l="6350" t="6350" r="19685" b="19685"/>
                <wp:wrapNone/>
                <wp:docPr id="70" name="矩形 11"/>
                <wp:cNvGraphicFramePr/>
                <a:graphic xmlns:a="http://schemas.openxmlformats.org/drawingml/2006/main">
                  <a:graphicData uri="http://schemas.microsoft.com/office/word/2010/wordprocessingShape">
                    <wps:wsp>
                      <wps:cNvSpPr/>
                      <wps:spPr>
                        <a:xfrm>
                          <a:off x="0" y="0"/>
                          <a:ext cx="1726831" cy="850265"/>
                        </a:xfrm>
                        <a:custGeom>
                          <a:avLst/>
                          <a:gdLst>
                            <a:gd name="connsiteX0" fmla="*/ 0 w 2719"/>
                            <a:gd name="connsiteY0" fmla="*/ 40 h 1339"/>
                            <a:gd name="connsiteX1" fmla="*/ 2161 w 2719"/>
                            <a:gd name="connsiteY1" fmla="*/ 0 h 1339"/>
                            <a:gd name="connsiteX2" fmla="*/ 2719 w 2719"/>
                            <a:gd name="connsiteY2" fmla="*/ 1339 h 1339"/>
                            <a:gd name="connsiteX3" fmla="*/ 494 w 2719"/>
                            <a:gd name="connsiteY3" fmla="*/ 1305 h 1339"/>
                            <a:gd name="connsiteX4" fmla="*/ 0 w 2719"/>
                            <a:gd name="connsiteY4" fmla="*/ 40 h 133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19" h="1339">
                              <a:moveTo>
                                <a:pt x="0" y="40"/>
                              </a:moveTo>
                              <a:lnTo>
                                <a:pt x="2161" y="0"/>
                              </a:lnTo>
                              <a:lnTo>
                                <a:pt x="2719" y="1339"/>
                              </a:lnTo>
                              <a:lnTo>
                                <a:pt x="494" y="1305"/>
                              </a:lnTo>
                              <a:cubicBezTo>
                                <a:pt x="431" y="886"/>
                                <a:pt x="-16" y="437"/>
                                <a:pt x="0" y="40"/>
                              </a:cubicBezTo>
                              <a:close/>
                            </a:path>
                          </a:pathLst>
                        </a:custGeom>
                        <a:solidFill>
                          <a:srgbClr val="00B0F0">
                            <a:alpha val="50000"/>
                          </a:srgbClr>
                        </a:solidFill>
                        <a:ln w="12700" cap="flat" cmpd="sng">
                          <a:solidFill>
                            <a:srgbClr val="000000"/>
                          </a:solidFill>
                          <a:prstDash val="solid"/>
                          <a:miter/>
                          <a:headEnd type="none" w="med" len="med"/>
                          <a:tailEnd type="none" w="med" len="med"/>
                        </a:ln>
                      </wps:spPr>
                      <wps:bodyPr upright="1"/>
                    </wps:wsp>
                  </a:graphicData>
                </a:graphic>
              </wp:anchor>
            </w:drawing>
          </mc:Choice>
          <mc:Fallback>
            <w:pict>
              <v:shape id="矩形 11" o:spid="_x0000_s1026" o:spt="100" style="position:absolute;left:0pt;margin-left:82.65pt;margin-top:178.8pt;height:66.95pt;width:135.95pt;z-index:251762688;mso-width-relative:page;mso-height-relative:page;" fillcolor="#00B0F0" filled="t" stroked="t" coordsize="2719,1339" o:gfxdata="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" path="m0,40l2161,0,2719,1339,494,1305c431,886,-16,437,0,40xe">
                <v:path o:connectlocs="0,25400;1372446,0;1726831,850265;313738,828675;0,25400" o:connectangles="0,0,0,0,0"/>
                <v:fill on="t" opacity="32768f" focussize="0,0"/>
                <v:stroke weight="1pt" color="#000000" joinstyle="miter"/>
                <v:imagedata o:title=""/>
                <o:lock v:ext="edit" aspectratio="f"/>
              </v:shape>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30944" behindDoc="0" locked="0" layoutInCell="1" allowOverlap="1">
                <wp:simplePos x="0" y="0"/>
                <wp:positionH relativeFrom="column">
                  <wp:posOffset>886460</wp:posOffset>
                </wp:positionH>
                <wp:positionV relativeFrom="paragraph">
                  <wp:posOffset>1837690</wp:posOffset>
                </wp:positionV>
                <wp:extent cx="1540510" cy="441960"/>
                <wp:effectExtent l="6350" t="6350" r="15240" b="8890"/>
                <wp:wrapNone/>
                <wp:docPr id="94" name="矩形 11"/>
                <wp:cNvGraphicFramePr/>
                <a:graphic xmlns:a="http://schemas.openxmlformats.org/drawingml/2006/main">
                  <a:graphicData uri="http://schemas.microsoft.com/office/word/2010/wordprocessingShape">
                    <wps:wsp>
                      <wps:cNvSpPr/>
                      <wps:spPr>
                        <a:xfrm>
                          <a:off x="0" y="0"/>
                          <a:ext cx="1540657" cy="441960"/>
                        </a:xfrm>
                        <a:custGeom>
                          <a:avLst/>
                          <a:gdLst>
                            <a:gd name="connsiteX0" fmla="*/ 1 w 2426"/>
                            <a:gd name="connsiteY0" fmla="*/ 21 h 696"/>
                            <a:gd name="connsiteX1" fmla="*/ 2184 w 2426"/>
                            <a:gd name="connsiteY1" fmla="*/ 0 h 696"/>
                            <a:gd name="connsiteX2" fmla="*/ 2426 w 2426"/>
                            <a:gd name="connsiteY2" fmla="*/ 696 h 696"/>
                            <a:gd name="connsiteX3" fmla="*/ 193 w 2426"/>
                            <a:gd name="connsiteY3" fmla="*/ 679 h 696"/>
                            <a:gd name="connsiteX4" fmla="*/ 1 w 2426"/>
                            <a:gd name="connsiteY4" fmla="*/ 21 h 69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26" h="696">
                              <a:moveTo>
                                <a:pt x="1" y="21"/>
                              </a:moveTo>
                              <a:lnTo>
                                <a:pt x="2184" y="0"/>
                              </a:lnTo>
                              <a:lnTo>
                                <a:pt x="2426" y="696"/>
                              </a:lnTo>
                              <a:lnTo>
                                <a:pt x="193" y="679"/>
                              </a:lnTo>
                              <a:cubicBezTo>
                                <a:pt x="129" y="460"/>
                                <a:pt x="-15" y="229"/>
                                <a:pt x="1" y="21"/>
                              </a:cubicBezTo>
                              <a:close/>
                            </a:path>
                          </a:pathLst>
                        </a:custGeom>
                        <a:solidFill>
                          <a:srgbClr val="00B0F0">
                            <a:alpha val="48000"/>
                          </a:srgbClr>
                        </a:solidFill>
                        <a:ln w="12700" cap="flat" cmpd="sng">
                          <a:solidFill>
                            <a:srgbClr val="000000"/>
                          </a:solidFill>
                          <a:prstDash val="solid"/>
                          <a:miter/>
                          <a:headEnd type="none" w="med" len="med"/>
                          <a:tailEnd type="none" w="med" len="med"/>
                        </a:ln>
                      </wps:spPr>
                      <wps:bodyPr upright="1"/>
                    </wps:wsp>
                  </a:graphicData>
                </a:graphic>
              </wp:anchor>
            </w:drawing>
          </mc:Choice>
          <mc:Fallback>
            <w:pict>
              <v:shape id="矩形 11" o:spid="_x0000_s1026" o:spt="100" style="position:absolute;left:0pt;margin-left:69.8pt;margin-top:144.7pt;height:34.8pt;width:121.3pt;z-index:251730944;mso-width-relative:page;mso-height-relative:page;" fillcolor="#00B0F0" filled="t" stroked="t" coordsize="2426,696" o:gfxdata="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" path="m1,21l2184,0,2426,696,193,679c129,460,-15,229,1,21xe">
                <v:path o:connectlocs="635,13335;1386972,0;1540657,441960;122566,431165;635,13335" o:connectangles="0,0,0,0,0"/>
                <v:fill on="t" opacity="31457f" focussize="0,0"/>
                <v:stroke weight="1pt" color="#000000" joinstyle="miter"/>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25824" behindDoc="0" locked="0" layoutInCell="1" allowOverlap="1">
                <wp:simplePos x="0" y="0"/>
                <wp:positionH relativeFrom="column">
                  <wp:posOffset>1718310</wp:posOffset>
                </wp:positionH>
                <wp:positionV relativeFrom="paragraph">
                  <wp:posOffset>4019550</wp:posOffset>
                </wp:positionV>
                <wp:extent cx="975360" cy="420370"/>
                <wp:effectExtent l="6350" t="6350" r="8890" b="11430"/>
                <wp:wrapNone/>
                <wp:docPr id="43" name="任意多边形 43"/>
                <wp:cNvGraphicFramePr/>
                <a:graphic xmlns:a="http://schemas.openxmlformats.org/drawingml/2006/main">
                  <a:graphicData uri="http://schemas.microsoft.com/office/word/2010/wordprocessingShape">
                    <wps:wsp>
                      <wps:cNvSpPr/>
                      <wps:spPr>
                        <a:xfrm>
                          <a:off x="2764155" y="5084445"/>
                          <a:ext cx="975360" cy="420370"/>
                        </a:xfrm>
                        <a:custGeom>
                          <a:avLst/>
                          <a:gdLst>
                            <a:gd name="connisteX0" fmla="*/ 0 w 1022350"/>
                            <a:gd name="connsiteY0" fmla="*/ 0 h 473075"/>
                            <a:gd name="connisteX1" fmla="*/ 29210 w 1022350"/>
                            <a:gd name="connsiteY1" fmla="*/ 180975 h 473075"/>
                            <a:gd name="connisteX2" fmla="*/ 467360 w 1022350"/>
                            <a:gd name="connsiteY2" fmla="*/ 473075 h 473075"/>
                            <a:gd name="connisteX3" fmla="*/ 1022350 w 1022350"/>
                            <a:gd name="connsiteY3" fmla="*/ 76200 h 473075"/>
                            <a:gd name="connisteX4" fmla="*/ 0 w 1022350"/>
                            <a:gd name="connsiteY4" fmla="*/ 0 h 47307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022350" h="473075">
                              <a:moveTo>
                                <a:pt x="0" y="0"/>
                              </a:moveTo>
                              <a:lnTo>
                                <a:pt x="29210" y="180975"/>
                              </a:lnTo>
                              <a:lnTo>
                                <a:pt x="467360" y="473075"/>
                              </a:lnTo>
                              <a:lnTo>
                                <a:pt x="1022350" y="76200"/>
                              </a:lnTo>
                              <a:lnTo>
                                <a:pt x="0" y="0"/>
                              </a:lnTo>
                              <a:close/>
                            </a:path>
                          </a:pathLst>
                        </a:custGeom>
                        <a:solidFill>
                          <a:srgbClr val="00B0F0">
                            <a:alpha val="48000"/>
                          </a:srgbClr>
                        </a:solidFill>
                        <a:ln w="12700" cmpd="sng">
                          <a:solidFill>
                            <a:schemeClr val="accent1">
                              <a:shade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35.3pt;margin-top:316.5pt;height:33.1pt;width:76.8pt;z-index:251725824;mso-width-relative:page;mso-height-relative:page;" fillcolor="#00B0F0" filled="t" stroked="t" coordsize="1022350,473075" o:gfxdata="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" path="m0,0l29210,180975,467360,473075,1022350,76200,0,0xe">
                <v:path o:connectlocs="0,0;27867,160812;445878,420370;975360,67710;0,0" o:connectangles="0,0,0,0,0"/>
                <v:fill on="t" opacity="31457f" focussize="0,0"/>
                <v:stroke weight="1pt" color="#385D8A [3204]" joinstyle="round"/>
                <v:imagedata o:title=""/>
                <o:lock v:ext="edit" aspectratio="f"/>
              </v:shape>
            </w:pict>
          </mc:Fallback>
        </mc:AlternateContent>
      </w:r>
      <w:r>
        <w:rPr>
          <w:rFonts w:hint="default" w:ascii="Times New Roman" w:hAnsi="Times New Roman" w:eastAsia="宋体" w:cs="Times New Roman"/>
          <w:color w:val="auto"/>
          <w:highlight w:val="none"/>
          <w:lang w:eastAsia="zh-CN"/>
        </w:rPr>
        <w:drawing>
          <wp:inline distT="0" distB="0" distL="114300" distR="114300">
            <wp:extent cx="8447405" cy="5076190"/>
            <wp:effectExtent l="0" t="0" r="10795" b="10160"/>
            <wp:docPr id="31" name="图片 31" descr="168361552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683615521789"/>
                    <pic:cNvPicPr>
                      <a:picLocks noChangeAspect="1"/>
                    </pic:cNvPicPr>
                  </pic:nvPicPr>
                  <pic:blipFill>
                    <a:blip r:embed="rId29"/>
                    <a:stretch>
                      <a:fillRect/>
                    </a:stretch>
                  </pic:blipFill>
                  <pic:spPr>
                    <a:xfrm>
                      <a:off x="0" y="0"/>
                      <a:ext cx="8447405" cy="5076190"/>
                    </a:xfrm>
                    <a:prstGeom prst="rect">
                      <a:avLst/>
                    </a:prstGeom>
                  </pic:spPr>
                </pic:pic>
              </a:graphicData>
            </a:graphic>
          </wp:inline>
        </w:drawing>
      </w:r>
      <w:r>
        <w:rPr>
          <w:rFonts w:hint="default" w:ascii="Times New Roman" w:hAnsi="Times New Roman" w:eastAsia="宋体" w:cs="Times New Roman"/>
          <w:color w:val="auto"/>
          <w:highlight w:val="none"/>
        </w:rPr>
        <mc:AlternateContent>
          <mc:Choice Requires="wps">
            <w:drawing>
              <wp:anchor distT="0" distB="0" distL="114300" distR="114300" simplePos="0" relativeHeight="251671552" behindDoc="0" locked="0" layoutInCell="1" allowOverlap="1">
                <wp:simplePos x="0" y="0"/>
                <wp:positionH relativeFrom="column">
                  <wp:posOffset>7436485</wp:posOffset>
                </wp:positionH>
                <wp:positionV relativeFrom="paragraph">
                  <wp:posOffset>4836795</wp:posOffset>
                </wp:positionV>
                <wp:extent cx="1428750" cy="428625"/>
                <wp:effectExtent l="0" t="0" r="0" b="0"/>
                <wp:wrapNone/>
                <wp:docPr id="139" name="矩形 15"/>
                <wp:cNvGraphicFramePr/>
                <a:graphic xmlns:a="http://schemas.openxmlformats.org/drawingml/2006/main">
                  <a:graphicData uri="http://schemas.microsoft.com/office/word/2010/wordprocessingShape">
                    <wps:wsp>
                      <wps:cNvSpPr/>
                      <wps:spPr>
                        <a:xfrm>
                          <a:off x="0" y="0"/>
                          <a:ext cx="1428750" cy="428625"/>
                        </a:xfrm>
                        <a:prstGeom prst="rect">
                          <a:avLst/>
                        </a:prstGeom>
                        <a:noFill/>
                        <a:ln>
                          <a:noFill/>
                        </a:ln>
                      </wps:spPr>
                      <wps:txbx>
                        <w:txbxContent>
                          <w:p w14:paraId="65BA07A8">
                            <w:r>
                              <w:rPr>
                                <w:rFonts w:ascii="Arial" w:hAnsi="Arial" w:cs="Arial"/>
                                <w:b/>
                                <w:bCs/>
                                <w:sz w:val="24"/>
                                <w:szCs w:val="24"/>
                              </w:rPr>
                              <w:t>简单防渗区</w:t>
                            </w:r>
                          </w:p>
                        </w:txbxContent>
                      </wps:txbx>
                      <wps:bodyPr upright="1"/>
                    </wps:wsp>
                  </a:graphicData>
                </a:graphic>
              </wp:anchor>
            </w:drawing>
          </mc:Choice>
          <mc:Fallback>
            <w:pict>
              <v:rect id="矩形 15" o:spid="_x0000_s1026" o:spt="1" style="position:absolute;left:0pt;margin-left:585.55pt;margin-top:380.85pt;height:33.75pt;width:112.5pt;z-index:251671552;mso-width-relative:page;mso-height-relative:page;" filled="f" stroked="f" coordsize="21600,21600" o:gfxdata="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ArrctwAAAANAQAA&#10;DwAAAAAAAAABACAAAAAiAAAAZHJzL2Rvd25yZXYueG1sUEsBAhQAFAAAAAgAh07iQBFxROWjAQAA&#10;RAMAAA4AAAAAAAAAAQAgAAAAKwEAAGRycy9lMm9Eb2MueG1sUEsFBgAAAAAGAAYAWQEAAEAFAAAA&#10;AA==&#10;">
                <v:fill on="f" focussize="0,0"/>
                <v:stroke on="f"/>
                <v:imagedata o:title=""/>
                <o:lock v:ext="edit" aspectratio="f"/>
                <v:textbox>
                  <w:txbxContent>
                    <w:p w14:paraId="65BA07A8">
                      <w:r>
                        <w:rPr>
                          <w:rFonts w:ascii="Arial" w:hAnsi="Arial" w:cs="Arial"/>
                          <w:b/>
                          <w:bCs/>
                          <w:sz w:val="24"/>
                          <w:szCs w:val="24"/>
                        </w:rPr>
                        <w:t>简单防渗区</w:t>
                      </w:r>
                    </w:p>
                  </w:txbxContent>
                </v:textbox>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70528" behindDoc="0" locked="0" layoutInCell="1" allowOverlap="1">
                <wp:simplePos x="0" y="0"/>
                <wp:positionH relativeFrom="column">
                  <wp:posOffset>7422515</wp:posOffset>
                </wp:positionH>
                <wp:positionV relativeFrom="paragraph">
                  <wp:posOffset>4394835</wp:posOffset>
                </wp:positionV>
                <wp:extent cx="1428750" cy="428625"/>
                <wp:effectExtent l="0" t="0" r="0" b="0"/>
                <wp:wrapNone/>
                <wp:docPr id="138" name="矩形 14"/>
                <wp:cNvGraphicFramePr/>
                <a:graphic xmlns:a="http://schemas.openxmlformats.org/drawingml/2006/main">
                  <a:graphicData uri="http://schemas.microsoft.com/office/word/2010/wordprocessingShape">
                    <wps:wsp>
                      <wps:cNvSpPr/>
                      <wps:spPr>
                        <a:xfrm>
                          <a:off x="0" y="0"/>
                          <a:ext cx="1428750" cy="428625"/>
                        </a:xfrm>
                        <a:prstGeom prst="rect">
                          <a:avLst/>
                        </a:prstGeom>
                        <a:noFill/>
                        <a:ln>
                          <a:noFill/>
                        </a:ln>
                      </wps:spPr>
                      <wps:txbx>
                        <w:txbxContent>
                          <w:p w14:paraId="3D6A4D18">
                            <w:pPr>
                              <w:rPr>
                                <w:rFonts w:hint="eastAsia" w:eastAsia="宋体"/>
                                <w:lang w:eastAsia="zh-CN"/>
                              </w:rPr>
                            </w:pPr>
                            <w:r>
                              <w:rPr>
                                <w:rFonts w:ascii="Arial" w:hAnsi="Arial" w:cs="Arial"/>
                                <w:b/>
                                <w:bCs/>
                                <w:sz w:val="24"/>
                                <w:szCs w:val="24"/>
                              </w:rPr>
                              <w:t>一般防渗区</w:t>
                            </w:r>
                          </w:p>
                        </w:txbxContent>
                      </wps:txbx>
                      <wps:bodyPr upright="1"/>
                    </wps:wsp>
                  </a:graphicData>
                </a:graphic>
              </wp:anchor>
            </w:drawing>
          </mc:Choice>
          <mc:Fallback>
            <w:pict>
              <v:rect id="矩形 14" o:spid="_x0000_s1026" o:spt="1" style="position:absolute;left:0pt;margin-left:584.45pt;margin-top:346.05pt;height:33.75pt;width:112.5pt;z-index:251670528;mso-width-relative:page;mso-height-relative:page;" filled="f" stroked="f" coordsize="21600,21600" o:gfxdata="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OPAF07cAAAADQEA&#10;AA8AAAAAAAAAAQAgAAAAIgAAAGRycy9kb3ducmV2LnhtbFBLAQIUABQAAAAIAIdO4kD79wThpAEA&#10;AEQDAAAOAAAAAAAAAAEAIAAAACsBAABkcnMvZTJvRG9jLnhtbFBLBQYAAAAABgAGAFkBAABBBQAA&#10;AAA=&#10;">
                <v:fill on="f" focussize="0,0"/>
                <v:stroke on="f"/>
                <v:imagedata o:title=""/>
                <o:lock v:ext="edit" aspectratio="f"/>
                <v:textbox>
                  <w:txbxContent>
                    <w:p w14:paraId="3D6A4D18">
                      <w:pPr>
                        <w:rPr>
                          <w:rFonts w:hint="eastAsia" w:eastAsia="宋体"/>
                          <w:lang w:eastAsia="zh-CN"/>
                        </w:rPr>
                      </w:pPr>
                      <w:r>
                        <w:rPr>
                          <w:rFonts w:ascii="Arial" w:hAnsi="Arial" w:cs="Arial"/>
                          <w:b/>
                          <w:bCs/>
                          <w:sz w:val="24"/>
                          <w:szCs w:val="24"/>
                        </w:rPr>
                        <w:t>一般防渗区</w:t>
                      </w:r>
                    </w:p>
                  </w:txbxContent>
                </v:textbox>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21728" behindDoc="0" locked="0" layoutInCell="1" allowOverlap="1">
                <wp:simplePos x="0" y="0"/>
                <wp:positionH relativeFrom="column">
                  <wp:posOffset>7677150</wp:posOffset>
                </wp:positionH>
                <wp:positionV relativeFrom="paragraph">
                  <wp:posOffset>3924300</wp:posOffset>
                </wp:positionV>
                <wp:extent cx="993775" cy="428625"/>
                <wp:effectExtent l="0" t="0" r="0" b="0"/>
                <wp:wrapNone/>
                <wp:docPr id="137" name="矩形 13"/>
                <wp:cNvGraphicFramePr/>
                <a:graphic xmlns:a="http://schemas.openxmlformats.org/drawingml/2006/main">
                  <a:graphicData uri="http://schemas.microsoft.com/office/word/2010/wordprocessingShape">
                    <wps:wsp>
                      <wps:cNvSpPr/>
                      <wps:spPr>
                        <a:xfrm>
                          <a:off x="0" y="0"/>
                          <a:ext cx="993775" cy="428625"/>
                        </a:xfrm>
                        <a:prstGeom prst="rect">
                          <a:avLst/>
                        </a:prstGeom>
                        <a:noFill/>
                        <a:ln>
                          <a:noFill/>
                        </a:ln>
                      </wps:spPr>
                      <wps:txbx>
                        <w:txbxContent>
                          <w:p w14:paraId="1EAE3D3C">
                            <w:pPr>
                              <w:ind w:left="0" w:leftChars="0" w:firstLine="0" w:firstLineChars="0"/>
                            </w:pPr>
                            <w:r>
                              <w:rPr>
                                <w:rFonts w:ascii="Arial" w:hAnsi="Arial" w:cs="Arial"/>
                                <w:b/>
                                <w:bCs/>
                                <w:sz w:val="24"/>
                                <w:szCs w:val="24"/>
                              </w:rPr>
                              <w:t>重点防渗区</w:t>
                            </w:r>
                          </w:p>
                        </w:txbxContent>
                      </wps:txbx>
                      <wps:bodyPr upright="1"/>
                    </wps:wsp>
                  </a:graphicData>
                </a:graphic>
              </wp:anchor>
            </w:drawing>
          </mc:Choice>
          <mc:Fallback>
            <w:pict>
              <v:rect id="矩形 13" o:spid="_x0000_s1026" o:spt="1" style="position:absolute;left:0pt;margin-left:604.5pt;margin-top:309pt;height:33.75pt;width:78.25pt;z-index:251721728;mso-width-relative:page;mso-height-relative:page;" filled="f" stroked="f" coordsize="21600,21600" o:gfxdata="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BjpAOO2gAAAA0BAAAP&#10;AAAAAAAAAAEAIAAAACIAAABkcnMvZG93bnJldi54bWxQSwECFAAUAAAACACHTuJAw3/X+qQBAABD&#10;AwAADgAAAAAAAAABACAAAAApAQAAZHJzL2Uyb0RvYy54bWxQSwUGAAAAAAYABgBZAQAAPwUAAAAA&#10;">
                <v:fill on="f" focussize="0,0"/>
                <v:stroke on="f"/>
                <v:imagedata o:title=""/>
                <o:lock v:ext="edit" aspectratio="f"/>
                <v:textbox>
                  <w:txbxContent>
                    <w:p w14:paraId="1EAE3D3C">
                      <w:pPr>
                        <w:ind w:left="0" w:leftChars="0" w:firstLine="0" w:firstLineChars="0"/>
                      </w:pPr>
                      <w:r>
                        <w:rPr>
                          <w:rFonts w:ascii="Arial" w:hAnsi="Arial" w:cs="Arial"/>
                          <w:b/>
                          <w:bCs/>
                          <w:sz w:val="24"/>
                          <w:szCs w:val="24"/>
                        </w:rPr>
                        <w:t>重点防渗区</w:t>
                      </w:r>
                    </w:p>
                  </w:txbxContent>
                </v:textbox>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20704" behindDoc="0" locked="0" layoutInCell="1" allowOverlap="1">
                <wp:simplePos x="0" y="0"/>
                <wp:positionH relativeFrom="column">
                  <wp:posOffset>6827520</wp:posOffset>
                </wp:positionH>
                <wp:positionV relativeFrom="paragraph">
                  <wp:posOffset>4928235</wp:posOffset>
                </wp:positionV>
                <wp:extent cx="647700" cy="288290"/>
                <wp:effectExtent l="6350" t="6350" r="12700" b="10160"/>
                <wp:wrapNone/>
                <wp:docPr id="17" name="矩形 11"/>
                <wp:cNvGraphicFramePr/>
                <a:graphic xmlns:a="http://schemas.openxmlformats.org/drawingml/2006/main">
                  <a:graphicData uri="http://schemas.microsoft.com/office/word/2010/wordprocessingShape">
                    <wps:wsp>
                      <wps:cNvSpPr/>
                      <wps:spPr>
                        <a:xfrm>
                          <a:off x="0" y="0"/>
                          <a:ext cx="647700" cy="288290"/>
                        </a:xfrm>
                        <a:prstGeom prst="rect">
                          <a:avLst/>
                        </a:prstGeom>
                        <a:gradFill rotWithShape="0">
                          <a:gsLst>
                            <a:gs pos="0">
                              <a:srgbClr val="00B050">
                                <a:alpha val="48000"/>
                              </a:srgbClr>
                            </a:gs>
                            <a:gs pos="100000">
                              <a:srgbClr val="00B050">
                                <a:gamma/>
                                <a:shade val="45882"/>
                                <a:invGamma/>
                                <a:alpha val="48000"/>
                              </a:srgbClr>
                            </a:gs>
                          </a:gsLst>
                          <a:lin ang="5400000" scaled="1"/>
                          <a:tileRect/>
                        </a:gradFill>
                        <a:ln w="12700" cap="flat" cmpd="sng">
                          <a:solidFill>
                            <a:srgbClr val="000000"/>
                          </a:solidFill>
                          <a:prstDash val="solid"/>
                          <a:miter/>
                          <a:headEnd type="none" w="med" len="med"/>
                          <a:tailEnd type="none" w="med" len="med"/>
                        </a:ln>
                      </wps:spPr>
                      <wps:bodyPr upright="1"/>
                    </wps:wsp>
                  </a:graphicData>
                </a:graphic>
              </wp:anchor>
            </w:drawing>
          </mc:Choice>
          <mc:Fallback>
            <w:pict>
              <v:rect id="矩形 11" o:spid="_x0000_s1026" o:spt="1" style="position:absolute;left:0pt;margin-left:537.6pt;margin-top:388.05pt;height:22.7pt;width:51pt;z-index:251720704;mso-width-relative:page;mso-height-relative:page;" fillcolor="#00B050" filled="t" stroked="t" coordsize="21600,21600" o:gfxdata="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aHzKzWAAAADQEAAA8AAAAAAAAAAQAgAAAAIgAAAGRycy9kb3ducmV2LnhtbFBLAQIUABQAAAAI&#10;AIdO4kAzoUoTYQIAACcFAAAOAAAAAAAAAAEAIAAAACUBAABkcnMvZTJvRG9jLnhtbFBLBQYAAAAA&#10;BgAGAFkBAAD4BQAAAAA=&#10;">
                <v:fill type="gradient" on="t" color2="#005125" opacity="31457f" o:opacity2="31457f" focus="100%" focussize="0,0"/>
                <v:stroke weight="1pt" color="#00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19680" behindDoc="0" locked="0" layoutInCell="1" allowOverlap="1">
                <wp:simplePos x="0" y="0"/>
                <wp:positionH relativeFrom="column">
                  <wp:posOffset>6828155</wp:posOffset>
                </wp:positionH>
                <wp:positionV relativeFrom="paragraph">
                  <wp:posOffset>4464050</wp:posOffset>
                </wp:positionV>
                <wp:extent cx="647700" cy="288290"/>
                <wp:effectExtent l="6350" t="6350" r="12700" b="10160"/>
                <wp:wrapNone/>
                <wp:docPr id="14" name="矩形 9"/>
                <wp:cNvGraphicFramePr/>
                <a:graphic xmlns:a="http://schemas.openxmlformats.org/drawingml/2006/main">
                  <a:graphicData uri="http://schemas.microsoft.com/office/word/2010/wordprocessingShape">
                    <wps:wsp>
                      <wps:cNvSpPr/>
                      <wps:spPr>
                        <a:xfrm>
                          <a:off x="0" y="0"/>
                          <a:ext cx="647700" cy="288290"/>
                        </a:xfrm>
                        <a:prstGeom prst="rect">
                          <a:avLst/>
                        </a:prstGeom>
                        <a:gradFill rotWithShape="0">
                          <a:gsLst>
                            <a:gs pos="0">
                              <a:srgbClr val="00B0F0">
                                <a:alpha val="50999"/>
                              </a:srgbClr>
                            </a:gs>
                            <a:gs pos="100000">
                              <a:srgbClr val="00B0F0">
                                <a:gamma/>
                                <a:shade val="45882"/>
                                <a:invGamma/>
                                <a:alpha val="50999"/>
                              </a:srgbClr>
                            </a:gs>
                          </a:gsLst>
                          <a:lin ang="5400000" scaled="1"/>
                          <a:tileRect/>
                        </a:gradFill>
                        <a:ln w="12700" cap="flat" cmpd="sng">
                          <a:solidFill>
                            <a:srgbClr val="000000"/>
                          </a:solidFill>
                          <a:prstDash val="solid"/>
                          <a:miter/>
                          <a:headEnd type="none" w="med" len="med"/>
                          <a:tailEnd type="none" w="med" len="med"/>
                        </a:ln>
                      </wps:spPr>
                      <wps:bodyPr upright="1"/>
                    </wps:wsp>
                  </a:graphicData>
                </a:graphic>
              </wp:anchor>
            </w:drawing>
          </mc:Choice>
          <mc:Fallback>
            <w:pict>
              <v:rect id="矩形 9" o:spid="_x0000_s1026" o:spt="1" style="position:absolute;left:0pt;margin-left:537.65pt;margin-top:351.5pt;height:22.7pt;width:51pt;z-index:251719680;mso-width-relative:page;mso-height-relative:page;" fillcolor="#00B0F0" filled="t" stroked="t" coordsize="21600,21600" o:gfxdata="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Ew1GcTYAAAADQEAAA8AAAAAAAAAAQAgAAAAIgAAAGRycy9kb3ducmV2LnhtbFBLAQIUABQA&#10;AAAIAIdO4kCDJT4LYgIAACYFAAAOAAAAAAAAAAEAIAAAACcBAABkcnMvZTJvRG9jLnhtbFBLBQYA&#10;AAAABgAGAFkBAAD7BQAAAAA=&#10;">
                <v:fill type="gradient" on="t" color2="#00516E" opacity="33422f" o:opacity2="33422f" focus="100%" focussize="0,0"/>
                <v:stroke weight="1pt" color="#000000" joinstyle="miter"/>
                <v:imagedata o:title=""/>
                <o:lock v:ext="edit" aspectratio="f"/>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718656" behindDoc="0" locked="0" layoutInCell="1" allowOverlap="1">
                <wp:simplePos x="0" y="0"/>
                <wp:positionH relativeFrom="column">
                  <wp:posOffset>6821805</wp:posOffset>
                </wp:positionH>
                <wp:positionV relativeFrom="paragraph">
                  <wp:posOffset>3989705</wp:posOffset>
                </wp:positionV>
                <wp:extent cx="647700" cy="288290"/>
                <wp:effectExtent l="6350" t="6350" r="12700" b="10160"/>
                <wp:wrapNone/>
                <wp:docPr id="132" name="矩形 10"/>
                <wp:cNvGraphicFramePr/>
                <a:graphic xmlns:a="http://schemas.openxmlformats.org/drawingml/2006/main">
                  <a:graphicData uri="http://schemas.microsoft.com/office/word/2010/wordprocessingShape">
                    <wps:wsp>
                      <wps:cNvSpPr/>
                      <wps:spPr>
                        <a:xfrm>
                          <a:off x="0" y="0"/>
                          <a:ext cx="647700" cy="288290"/>
                        </a:xfrm>
                        <a:prstGeom prst="rect">
                          <a:avLst/>
                        </a:prstGeom>
                        <a:gradFill rotWithShape="0">
                          <a:gsLst>
                            <a:gs pos="0">
                              <a:srgbClr val="FF0000">
                                <a:alpha val="50999"/>
                              </a:srgbClr>
                            </a:gs>
                            <a:gs pos="100000">
                              <a:srgbClr val="FF0000">
                                <a:gamma/>
                                <a:shade val="87843"/>
                                <a:invGamma/>
                                <a:alpha val="50999"/>
                              </a:srgbClr>
                            </a:gs>
                          </a:gsLst>
                          <a:lin ang="5400000" scaled="1"/>
                          <a:tileRect/>
                        </a:gradFill>
                        <a:ln w="12700" cap="flat" cmpd="sng">
                          <a:solidFill>
                            <a:srgbClr val="000000"/>
                          </a:solidFill>
                          <a:prstDash val="solid"/>
                          <a:miter/>
                          <a:headEnd type="none" w="med" len="med"/>
                          <a:tailEnd type="none" w="med" len="med"/>
                        </a:ln>
                      </wps:spPr>
                      <wps:bodyPr upright="1"/>
                    </wps:wsp>
                  </a:graphicData>
                </a:graphic>
              </wp:anchor>
            </w:drawing>
          </mc:Choice>
          <mc:Fallback>
            <w:pict>
              <v:rect id="矩形 10" o:spid="_x0000_s1026" o:spt="1" style="position:absolute;left:0pt;margin-left:537.15pt;margin-top:314.15pt;height:22.7pt;width:51pt;z-index:251718656;mso-width-relative:page;mso-height-relative:page;" fillcolor="#FF0000" filled="t" stroked="t" coordsize="21600,21600" o:gfxdata="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EcfWBzaAAAADQEAAA8AAAAAAAAAAQAgAAAAIgAAAGRycy9kb3ducmV2LnhtbFBLAQIU&#10;ABQAAAAIAIdO4kCYUS9fYwIAACgFAAAOAAAAAAAAAAEAIAAAACkBAABkcnMvZTJvRG9jLnhtbFBL&#10;BQYAAAAABgAGAFkBAAD+BQAAAAA=&#10;">
                <v:fill type="gradient" on="t" color2="#E00000" opacity="33422f" o:opacity2="33422f" focus="100%" focussize="0,0"/>
                <v:stroke weight="1pt" color="#000000" joinstyle="miter"/>
                <v:imagedata o:title=""/>
                <o:lock v:ext="edit" aspectratio="f"/>
              </v:rect>
            </w:pict>
          </mc:Fallback>
        </mc:AlternateContent>
      </w:r>
    </w:p>
    <w:p w14:paraId="628387C7">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highlight w:val="none"/>
          <w:lang w:eastAsia="zh-CN"/>
        </w:rPr>
        <w:sectPr>
          <w:pgSz w:w="16838" w:h="11906" w:orient="landscape"/>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26" w:charSpace="0"/>
        </w:sectPr>
      </w:pPr>
      <w:r>
        <w:rPr>
          <w:rFonts w:hint="default" w:ascii="Times New Roman" w:hAnsi="Times New Roman" w:eastAsia="宋体" w:cs="Times New Roman"/>
          <w:b/>
          <w:bCs/>
          <w:color w:val="auto"/>
          <w:sz w:val="24"/>
          <w:szCs w:val="24"/>
          <w:highlight w:val="none"/>
        </w:rPr>
        <w:t>图</w:t>
      </w:r>
      <w:r>
        <w:rPr>
          <w:rFonts w:hint="default" w:ascii="Times New Roman" w:hAnsi="Times New Roman" w:eastAsia="宋体" w:cs="Times New Roman"/>
          <w:b/>
          <w:bCs/>
          <w:color w:val="auto"/>
          <w:sz w:val="24"/>
          <w:szCs w:val="24"/>
          <w:highlight w:val="none"/>
          <w:lang w:val="en-US" w:eastAsia="zh-CN"/>
        </w:rPr>
        <w:t>7.4</w:t>
      </w:r>
      <w:r>
        <w:rPr>
          <w:rFonts w:hint="default" w:ascii="Times New Roman" w:hAnsi="Times New Roman" w:eastAsia="宋体" w:cs="Times New Roman"/>
          <w:b/>
          <w:bCs/>
          <w:color w:val="auto"/>
          <w:sz w:val="24"/>
          <w:szCs w:val="24"/>
          <w:highlight w:val="none"/>
        </w:rPr>
        <w:t>-1</w:t>
      </w:r>
      <w:r>
        <w:rPr>
          <w:rFonts w:hint="default" w:ascii="Times New Roman" w:hAnsi="Times New Roman" w:eastAsia="宋体" w:cs="Times New Roman"/>
          <w:b/>
          <w:bCs/>
          <w:color w:val="auto"/>
          <w:sz w:val="24"/>
          <w:szCs w:val="24"/>
          <w:highlight w:val="none"/>
          <w:lang w:eastAsia="zh-CN"/>
        </w:rPr>
        <w:t>分区</w:t>
      </w:r>
      <w:r>
        <w:rPr>
          <w:rFonts w:hint="default" w:ascii="Times New Roman" w:hAnsi="Times New Roman" w:eastAsia="宋体" w:cs="Times New Roman"/>
          <w:b/>
          <w:bCs/>
          <w:color w:val="auto"/>
          <w:sz w:val="24"/>
          <w:szCs w:val="24"/>
          <w:highlight w:val="none"/>
        </w:rPr>
        <w:t>防渗</w:t>
      </w:r>
      <w:r>
        <w:rPr>
          <w:rFonts w:hint="default" w:ascii="Times New Roman" w:hAnsi="Times New Roman" w:eastAsia="宋体" w:cs="Times New Roman"/>
          <w:b/>
          <w:bCs/>
          <w:color w:val="auto"/>
          <w:sz w:val="24"/>
          <w:szCs w:val="24"/>
          <w:highlight w:val="none"/>
          <w:lang w:eastAsia="zh-CN"/>
        </w:rPr>
        <w:t>图</w:t>
      </w:r>
    </w:p>
    <w:bookmarkEnd w:id="596"/>
    <w:p w14:paraId="56B2C62B">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7.4.2.3地下水环境监测管理体系</w:t>
      </w:r>
    </w:p>
    <w:p w14:paraId="7CF6B23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建立地下水环境监测管理体系，包括制定地下水环境影响跟踪监测计划、建立地下水环境影响跟踪监测制度，以便及时发现问题，采取措施。</w:t>
      </w:r>
    </w:p>
    <w:p w14:paraId="6A0FFF5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通过对场区防渗规范施工、加强管理可使发生废水渗漏的可能性降到最低，为将本场区建设对地下水环境造成的影响降到最低；对场区所在地周围的地下水水质进行监测，在场区周边布设污染监控井，定期监测，以便及时准确地反馈地下水水质状况。当监测出水质异常时，应当立即采取相关检修措施，对渗漏发生区域进行防渗修补，确保污染物不</w:t>
      </w:r>
      <w:r>
        <w:rPr>
          <w:rFonts w:hint="default" w:ascii="Times New Roman" w:hAnsi="Times New Roman" w:eastAsia="宋体" w:cs="Times New Roman"/>
          <w:color w:val="auto"/>
          <w:highlight w:val="none"/>
          <w:lang w:eastAsia="zh-CN"/>
        </w:rPr>
        <w:t>进入</w:t>
      </w:r>
      <w:r>
        <w:rPr>
          <w:rFonts w:hint="default" w:ascii="Times New Roman" w:hAnsi="Times New Roman" w:eastAsia="宋体" w:cs="Times New Roman"/>
          <w:color w:val="auto"/>
          <w:highlight w:val="none"/>
        </w:rPr>
        <w:t>地下水系统中，可有效降低渗漏产生的影响。</w:t>
      </w:r>
    </w:p>
    <w:p w14:paraId="215D21D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1）地下水监测原则</w:t>
      </w:r>
    </w:p>
    <w:p w14:paraId="136F831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水质检测项目参照《地下水质量标准》相关要求和潜在污染源特征污染因子确定。</w:t>
      </w:r>
    </w:p>
    <w:p w14:paraId="49FB545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2）跟踪监测</w:t>
      </w:r>
    </w:p>
    <w:p w14:paraId="148CD53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1、监测点的布设：</w:t>
      </w: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eastAsia="zh-CN"/>
        </w:rPr>
        <w:t>场区地下水下游（场区南侧）设置</w:t>
      </w:r>
      <w:r>
        <w:rPr>
          <w:rFonts w:hint="default" w:ascii="Times New Roman" w:hAnsi="Times New Roman" w:eastAsia="宋体" w:cs="Times New Roman"/>
          <w:color w:val="auto"/>
          <w:sz w:val="24"/>
          <w:szCs w:val="24"/>
          <w:highlight w:val="none"/>
          <w:lang w:val="en-US" w:eastAsia="zh-CN"/>
        </w:rPr>
        <w:t>1个</w:t>
      </w:r>
      <w:r>
        <w:rPr>
          <w:rFonts w:hint="default" w:ascii="Times New Roman" w:hAnsi="Times New Roman" w:eastAsia="宋体" w:cs="Times New Roman"/>
          <w:color w:val="auto"/>
          <w:sz w:val="24"/>
          <w:szCs w:val="24"/>
          <w:highlight w:val="none"/>
        </w:rPr>
        <w:t>地下水监控井（坐标：</w:t>
      </w:r>
      <w:r>
        <w:rPr>
          <w:rFonts w:hint="default" w:ascii="Times New Roman" w:hAnsi="Times New Roman" w:eastAsia="宋体" w:cs="Times New Roman"/>
          <w:color w:val="auto"/>
          <w:sz w:val="24"/>
          <w:szCs w:val="24"/>
          <w:highlight w:val="none"/>
          <w:lang w:eastAsia="zh-CN"/>
        </w:rPr>
        <w:t>N41°07'03"E108°55'54"</w:t>
      </w:r>
      <w:r>
        <w:rPr>
          <w:rFonts w:hint="default" w:ascii="Times New Roman" w:hAnsi="Times New Roman" w:eastAsia="宋体" w:cs="Times New Roman"/>
          <w:color w:val="auto"/>
          <w:sz w:val="24"/>
          <w:szCs w:val="24"/>
          <w:highlight w:val="none"/>
        </w:rPr>
        <w:t>），观</w:t>
      </w:r>
      <w:r>
        <w:rPr>
          <w:rFonts w:hint="default" w:ascii="Times New Roman" w:hAnsi="Times New Roman" w:eastAsia="宋体" w:cs="Times New Roman"/>
          <w:color w:val="auto"/>
          <w:highlight w:val="none"/>
        </w:rPr>
        <w:t>测井设置遵循溶质迁移的水流路径，兼顾考虑粪污处理单元位置，以便一旦发生泄漏，可第一时间观测到地下水污染情况，并进行抽水，最大程度地减少地下水污染范围。地下水监测井布置功能及监测计划见表7.4-2。</w:t>
      </w:r>
    </w:p>
    <w:p w14:paraId="66915BE1">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表7.4-2地下水监测孔相关参数</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365"/>
        <w:gridCol w:w="1580"/>
        <w:gridCol w:w="1580"/>
        <w:gridCol w:w="949"/>
        <w:gridCol w:w="950"/>
        <w:gridCol w:w="1147"/>
        <w:gridCol w:w="1706"/>
      </w:tblGrid>
      <w:tr w14:paraId="612D8B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blHeader/>
          <w:jc w:val="center"/>
        </w:trPr>
        <w:tc>
          <w:tcPr>
            <w:tcW w:w="43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F5B5C6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编号</w:t>
            </w:r>
          </w:p>
        </w:tc>
        <w:tc>
          <w:tcPr>
            <w:tcW w:w="1984" w:type="dxa"/>
            <w:vMerge w:val="restart"/>
            <w:tcBorders>
              <w:top w:val="single" w:color="auto" w:sz="4" w:space="0"/>
              <w:left w:val="single" w:color="auto" w:sz="4" w:space="0"/>
              <w:bottom w:val="single" w:color="auto" w:sz="4" w:space="0"/>
              <w:right w:val="single" w:color="auto" w:sz="4" w:space="0"/>
            </w:tcBorders>
            <w:vAlign w:val="center"/>
          </w:tcPr>
          <w:p w14:paraId="2FFDC91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经度</w:t>
            </w:r>
          </w:p>
        </w:tc>
        <w:tc>
          <w:tcPr>
            <w:tcW w:w="1984" w:type="dxa"/>
            <w:vMerge w:val="restart"/>
            <w:tcBorders>
              <w:top w:val="single" w:color="auto" w:sz="4" w:space="0"/>
              <w:left w:val="single" w:color="auto" w:sz="4" w:space="0"/>
              <w:bottom w:val="single" w:color="auto" w:sz="4" w:space="0"/>
              <w:right w:val="single" w:color="auto" w:sz="4" w:space="0"/>
            </w:tcBorders>
            <w:vAlign w:val="center"/>
          </w:tcPr>
          <w:p w14:paraId="559D70C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纬度</w:t>
            </w:r>
          </w:p>
        </w:tc>
        <w:tc>
          <w:tcPr>
            <w:tcW w:w="117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7F4FC9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井深（m）</w:t>
            </w:r>
          </w:p>
        </w:tc>
        <w:tc>
          <w:tcPr>
            <w:tcW w:w="1179" w:type="dxa"/>
            <w:vMerge w:val="restart"/>
            <w:tcBorders>
              <w:top w:val="single" w:color="auto" w:sz="4" w:space="0"/>
              <w:left w:val="single" w:color="auto" w:sz="4" w:space="0"/>
              <w:bottom w:val="single" w:color="auto" w:sz="4" w:space="0"/>
              <w:right w:val="single" w:color="auto" w:sz="4" w:space="0"/>
            </w:tcBorders>
            <w:vAlign w:val="center"/>
          </w:tcPr>
          <w:p w14:paraId="1A6BDA4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监测层位</w:t>
            </w:r>
          </w:p>
        </w:tc>
        <w:tc>
          <w:tcPr>
            <w:tcW w:w="1431" w:type="dxa"/>
            <w:vMerge w:val="restart"/>
            <w:tcBorders>
              <w:top w:val="single" w:color="auto" w:sz="4" w:space="0"/>
              <w:left w:val="single" w:color="auto" w:sz="4" w:space="0"/>
              <w:bottom w:val="single" w:color="auto" w:sz="4" w:space="0"/>
              <w:right w:val="single" w:color="auto" w:sz="4" w:space="0"/>
            </w:tcBorders>
            <w:vAlign w:val="center"/>
          </w:tcPr>
          <w:p w14:paraId="2ECE34A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监测功能</w:t>
            </w:r>
          </w:p>
        </w:tc>
        <w:tc>
          <w:tcPr>
            <w:tcW w:w="214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1EAB82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备注</w:t>
            </w:r>
          </w:p>
        </w:tc>
      </w:tr>
      <w:tr w14:paraId="6408FD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tblHeader/>
          <w:jc w:val="center"/>
        </w:trPr>
        <w:tc>
          <w:tcPr>
            <w:tcW w:w="433" w:type="dxa"/>
            <w:vMerge w:val="continue"/>
            <w:tcBorders>
              <w:top w:val="single" w:color="auto" w:sz="4" w:space="0"/>
              <w:left w:val="single" w:color="auto" w:sz="4" w:space="0"/>
              <w:bottom w:val="single" w:color="auto" w:sz="4" w:space="0"/>
              <w:right w:val="single" w:color="auto" w:sz="4" w:space="0"/>
            </w:tcBorders>
            <w:vAlign w:val="center"/>
          </w:tcPr>
          <w:p w14:paraId="5B569C8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p>
        </w:tc>
        <w:tc>
          <w:tcPr>
            <w:tcW w:w="1984" w:type="dxa"/>
            <w:vMerge w:val="continue"/>
            <w:tcBorders>
              <w:top w:val="single" w:color="auto" w:sz="4" w:space="0"/>
              <w:left w:val="single" w:color="auto" w:sz="4" w:space="0"/>
              <w:bottom w:val="single" w:color="auto" w:sz="4" w:space="0"/>
              <w:right w:val="single" w:color="auto" w:sz="4" w:space="0"/>
            </w:tcBorders>
            <w:vAlign w:val="center"/>
          </w:tcPr>
          <w:p w14:paraId="267145F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p>
        </w:tc>
        <w:tc>
          <w:tcPr>
            <w:tcW w:w="1984" w:type="dxa"/>
            <w:vMerge w:val="continue"/>
            <w:tcBorders>
              <w:top w:val="single" w:color="auto" w:sz="4" w:space="0"/>
              <w:left w:val="single" w:color="auto" w:sz="4" w:space="0"/>
              <w:bottom w:val="single" w:color="auto" w:sz="4" w:space="0"/>
              <w:right w:val="single" w:color="auto" w:sz="4" w:space="0"/>
            </w:tcBorders>
            <w:vAlign w:val="center"/>
          </w:tcPr>
          <w:p w14:paraId="285AD0A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p>
        </w:tc>
        <w:tc>
          <w:tcPr>
            <w:tcW w:w="1178" w:type="dxa"/>
            <w:vMerge w:val="continue"/>
            <w:tcBorders>
              <w:top w:val="single" w:color="auto" w:sz="4" w:space="0"/>
              <w:left w:val="single" w:color="auto" w:sz="4" w:space="0"/>
              <w:bottom w:val="single" w:color="auto" w:sz="4" w:space="0"/>
              <w:right w:val="single" w:color="auto" w:sz="4" w:space="0"/>
            </w:tcBorders>
            <w:vAlign w:val="center"/>
          </w:tcPr>
          <w:p w14:paraId="6B7821A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p>
        </w:tc>
        <w:tc>
          <w:tcPr>
            <w:tcW w:w="1179" w:type="dxa"/>
            <w:vMerge w:val="continue"/>
            <w:tcBorders>
              <w:top w:val="single" w:color="auto" w:sz="4" w:space="0"/>
              <w:left w:val="single" w:color="auto" w:sz="4" w:space="0"/>
              <w:bottom w:val="single" w:color="auto" w:sz="4" w:space="0"/>
              <w:right w:val="single" w:color="auto" w:sz="4" w:space="0"/>
            </w:tcBorders>
            <w:vAlign w:val="center"/>
          </w:tcPr>
          <w:p w14:paraId="7163DCC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p>
        </w:tc>
        <w:tc>
          <w:tcPr>
            <w:tcW w:w="1431" w:type="dxa"/>
            <w:vMerge w:val="continue"/>
            <w:tcBorders>
              <w:top w:val="single" w:color="auto" w:sz="4" w:space="0"/>
              <w:left w:val="single" w:color="auto" w:sz="4" w:space="0"/>
              <w:bottom w:val="single" w:color="auto" w:sz="4" w:space="0"/>
              <w:right w:val="single" w:color="auto" w:sz="4" w:space="0"/>
            </w:tcBorders>
            <w:vAlign w:val="center"/>
          </w:tcPr>
          <w:p w14:paraId="609EE77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p>
        </w:tc>
        <w:tc>
          <w:tcPr>
            <w:tcW w:w="2145" w:type="dxa"/>
            <w:vMerge w:val="continue"/>
            <w:tcBorders>
              <w:top w:val="single" w:color="auto" w:sz="4" w:space="0"/>
              <w:left w:val="single" w:color="auto" w:sz="4" w:space="0"/>
              <w:bottom w:val="single" w:color="auto" w:sz="4" w:space="0"/>
              <w:right w:val="single" w:color="auto" w:sz="4" w:space="0"/>
            </w:tcBorders>
            <w:vAlign w:val="center"/>
          </w:tcPr>
          <w:p w14:paraId="5997C45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p>
        </w:tc>
      </w:tr>
      <w:tr w14:paraId="517A1D6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33" w:type="dxa"/>
            <w:tcBorders>
              <w:top w:val="single" w:color="auto" w:sz="4" w:space="0"/>
              <w:left w:val="single" w:color="auto" w:sz="4" w:space="0"/>
              <w:bottom w:val="single" w:color="auto" w:sz="4" w:space="0"/>
              <w:right w:val="single" w:color="auto" w:sz="4" w:space="0"/>
            </w:tcBorders>
            <w:shd w:val="clear" w:color="auto" w:fill="auto"/>
            <w:vAlign w:val="center"/>
          </w:tcPr>
          <w:p w14:paraId="3F6629A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J1</w:t>
            </w:r>
          </w:p>
        </w:tc>
        <w:tc>
          <w:tcPr>
            <w:tcW w:w="1984" w:type="dxa"/>
            <w:tcBorders>
              <w:top w:val="single" w:color="auto" w:sz="4" w:space="0"/>
              <w:left w:val="single" w:color="auto" w:sz="4" w:space="0"/>
              <w:bottom w:val="single" w:color="auto" w:sz="4" w:space="0"/>
              <w:right w:val="single" w:color="auto" w:sz="4" w:space="0"/>
            </w:tcBorders>
            <w:vAlign w:val="center"/>
          </w:tcPr>
          <w:p w14:paraId="09FE0C1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eastAsia="zh-CN"/>
              </w:rPr>
            </w:pPr>
            <w:r>
              <w:rPr>
                <w:rFonts w:hint="default" w:ascii="Times New Roman" w:hAnsi="Times New Roman" w:eastAsia="宋体" w:cs="Times New Roman"/>
                <w:color w:val="auto"/>
                <w:sz w:val="21"/>
                <w:szCs w:val="20"/>
                <w:highlight w:val="none"/>
                <w:lang w:eastAsia="zh-CN"/>
              </w:rPr>
              <w:t>E108°55'54"</w:t>
            </w:r>
          </w:p>
        </w:tc>
        <w:tc>
          <w:tcPr>
            <w:tcW w:w="1984" w:type="dxa"/>
            <w:tcBorders>
              <w:top w:val="single" w:color="auto" w:sz="4" w:space="0"/>
              <w:left w:val="single" w:color="auto" w:sz="4" w:space="0"/>
              <w:bottom w:val="single" w:color="auto" w:sz="4" w:space="0"/>
              <w:right w:val="single" w:color="auto" w:sz="4" w:space="0"/>
            </w:tcBorders>
            <w:vAlign w:val="center"/>
          </w:tcPr>
          <w:p w14:paraId="1A2D8A8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lang w:val="en-US" w:eastAsia="zh-CN"/>
              </w:rPr>
              <w:t>40°56'20.91"</w:t>
            </w:r>
          </w:p>
        </w:tc>
        <w:tc>
          <w:tcPr>
            <w:tcW w:w="1178" w:type="dxa"/>
            <w:tcBorders>
              <w:top w:val="single" w:color="auto" w:sz="4" w:space="0"/>
              <w:left w:val="single" w:color="auto" w:sz="4" w:space="0"/>
              <w:bottom w:val="single" w:color="auto" w:sz="4" w:space="0"/>
              <w:right w:val="single" w:color="auto" w:sz="4" w:space="0"/>
            </w:tcBorders>
            <w:shd w:val="clear" w:color="auto" w:fill="auto"/>
            <w:vAlign w:val="center"/>
          </w:tcPr>
          <w:p w14:paraId="5B89295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lang w:val="en-US"/>
              </w:rPr>
            </w:pPr>
            <w:r>
              <w:rPr>
                <w:rFonts w:hint="default" w:ascii="Times New Roman" w:hAnsi="Times New Roman" w:eastAsia="宋体" w:cs="Times New Roman"/>
                <w:color w:val="060BEA"/>
                <w:sz w:val="21"/>
                <w:szCs w:val="20"/>
                <w:highlight w:val="none"/>
                <w:lang w:val="en-US" w:eastAsia="zh-CN"/>
              </w:rPr>
              <w:t>120</w:t>
            </w:r>
          </w:p>
        </w:tc>
        <w:tc>
          <w:tcPr>
            <w:tcW w:w="1179" w:type="dxa"/>
            <w:tcBorders>
              <w:top w:val="single" w:color="auto" w:sz="4" w:space="0"/>
              <w:left w:val="single" w:color="auto" w:sz="4" w:space="0"/>
              <w:bottom w:val="single" w:color="auto" w:sz="4" w:space="0"/>
              <w:right w:val="single" w:color="auto" w:sz="4" w:space="0"/>
            </w:tcBorders>
            <w:vAlign w:val="center"/>
          </w:tcPr>
          <w:p w14:paraId="3AF48EB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潜水含水层</w:t>
            </w:r>
          </w:p>
        </w:tc>
        <w:tc>
          <w:tcPr>
            <w:tcW w:w="1431" w:type="dxa"/>
            <w:tcBorders>
              <w:top w:val="single" w:color="auto" w:sz="4" w:space="0"/>
              <w:left w:val="single" w:color="auto" w:sz="4" w:space="0"/>
              <w:bottom w:val="single" w:color="auto" w:sz="4" w:space="0"/>
              <w:right w:val="single" w:color="auto" w:sz="4" w:space="0"/>
            </w:tcBorders>
            <w:vAlign w:val="center"/>
          </w:tcPr>
          <w:p w14:paraId="25BD6C5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污染扩散监测点</w:t>
            </w:r>
          </w:p>
        </w:tc>
        <w:tc>
          <w:tcPr>
            <w:tcW w:w="2145" w:type="dxa"/>
            <w:tcBorders>
              <w:top w:val="single" w:color="auto" w:sz="4" w:space="0"/>
              <w:left w:val="single" w:color="auto" w:sz="4" w:space="0"/>
              <w:bottom w:val="single" w:color="auto" w:sz="4" w:space="0"/>
              <w:right w:val="single" w:color="auto" w:sz="4" w:space="0"/>
            </w:tcBorders>
            <w:shd w:val="clear" w:color="auto" w:fill="auto"/>
            <w:vAlign w:val="center"/>
          </w:tcPr>
          <w:p w14:paraId="3FC66F2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监测可能产生的泄漏对下游潜水的污染</w:t>
            </w:r>
          </w:p>
        </w:tc>
      </w:tr>
    </w:tbl>
    <w:p w14:paraId="539C272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sectPr>
          <w:pgSz w:w="11906" w:h="16838"/>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26" w:charSpace="0"/>
        </w:sectPr>
      </w:pPr>
    </w:p>
    <w:p w14:paraId="7ADAEEC3">
      <w:pPr>
        <w:pStyle w:val="17"/>
        <w:pageBreakBefore w:val="0"/>
        <w:kinsoku/>
        <w:wordWrap/>
        <w:bidi w:val="0"/>
        <w:snapToGrid w:val="0"/>
        <w:spacing w:after="0" w:line="360" w:lineRule="auto"/>
        <w:ind w:left="0" w:leftChars="0" w:right="0" w:rightChars="0" w:firstLine="0" w:firstLine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65408" behindDoc="0" locked="0" layoutInCell="1" allowOverlap="1">
                <wp:simplePos x="0" y="0"/>
                <wp:positionH relativeFrom="column">
                  <wp:posOffset>4165600</wp:posOffset>
                </wp:positionH>
                <wp:positionV relativeFrom="paragraph">
                  <wp:posOffset>3644900</wp:posOffset>
                </wp:positionV>
                <wp:extent cx="690880" cy="389890"/>
                <wp:effectExtent l="4445" t="351155" r="9525" b="20955"/>
                <wp:wrapNone/>
                <wp:docPr id="75" name="自选图形 400"/>
                <wp:cNvGraphicFramePr/>
                <a:graphic xmlns:a="http://schemas.openxmlformats.org/drawingml/2006/main">
                  <a:graphicData uri="http://schemas.microsoft.com/office/word/2010/wordprocessingShape">
                    <wps:wsp>
                      <wps:cNvSpPr/>
                      <wps:spPr>
                        <a:xfrm>
                          <a:off x="0" y="0"/>
                          <a:ext cx="690880" cy="389890"/>
                        </a:xfrm>
                        <a:prstGeom prst="wedgeRectCallout">
                          <a:avLst>
                            <a:gd name="adj1" fmla="val -41636"/>
                            <a:gd name="adj2" fmla="val -134853"/>
                          </a:avLst>
                        </a:prstGeom>
                        <a:solidFill>
                          <a:srgbClr val="FFFFFF"/>
                        </a:solidFill>
                        <a:ln w="9525" cap="flat" cmpd="sng">
                          <a:solidFill>
                            <a:srgbClr val="000000"/>
                          </a:solidFill>
                          <a:prstDash val="solid"/>
                          <a:miter/>
                          <a:headEnd type="none" w="med" len="med"/>
                          <a:tailEnd type="none" w="med" len="med"/>
                        </a:ln>
                      </wps:spPr>
                      <wps:txbx>
                        <w:txbxContent>
                          <w:p w14:paraId="6E831E3A">
                            <w:pPr>
                              <w:ind w:left="0" w:leftChars="0" w:firstLine="0" w:firstLineChars="0"/>
                              <w:rPr>
                                <w:rFonts w:hint="eastAsia" w:eastAsia="宋体"/>
                                <w:lang w:eastAsia="zh-CN"/>
                              </w:rPr>
                            </w:pPr>
                            <w:r>
                              <w:rPr>
                                <w:rFonts w:hint="eastAsia"/>
                                <w:lang w:eastAsia="zh-CN"/>
                              </w:rPr>
                              <w:t>监控井</w:t>
                            </w:r>
                          </w:p>
                        </w:txbxContent>
                      </wps:txbx>
                      <wps:bodyPr upright="1"/>
                    </wps:wsp>
                  </a:graphicData>
                </a:graphic>
              </wp:anchor>
            </w:drawing>
          </mc:Choice>
          <mc:Fallback>
            <w:pict>
              <v:shape id="自选图形 400" o:spid="_x0000_s1026" o:spt="61" type="#_x0000_t61" style="position:absolute;left:0pt;margin-left:328pt;margin-top:287pt;height:30.7pt;width:54.4pt;z-index:251665408;mso-width-relative:page;mso-height-relative:page;" fillcolor="#FFFFFF" filled="t" stroked="t" coordsize="21600,21600" o:gfxdata="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SElW42wAAAAsBAAAPAAAAAAAAAAEAIAAAACIAAABk&#10;cnMvZG93bnJldi54bWxQSwECFAAUAAAACACHTuJAohudFjwCAACRBAAADgAAAAAAAAABACAAAAAq&#10;AQAAZHJzL2Uyb0RvYy54bWxQSwUGAAAAAAYABgBZAQAA2AUAAAAA&#10;" adj="1807,-18328">
                <v:fill on="t" focussize="0,0"/>
                <v:stroke color="#000000" joinstyle="miter"/>
                <v:imagedata o:title=""/>
                <o:lock v:ext="edit" aspectratio="f"/>
                <v:textbox>
                  <w:txbxContent>
                    <w:p w14:paraId="6E831E3A">
                      <w:pPr>
                        <w:ind w:left="0" w:leftChars="0" w:firstLine="0" w:firstLineChars="0"/>
                        <w:rPr>
                          <w:rFonts w:hint="eastAsia" w:eastAsia="宋体"/>
                          <w:lang w:eastAsia="zh-CN"/>
                        </w:rPr>
                      </w:pPr>
                      <w:r>
                        <w:rPr>
                          <w:rFonts w:hint="eastAsia"/>
                          <w:lang w:eastAsia="zh-CN"/>
                        </w:rPr>
                        <w:t>监控井</w:t>
                      </w:r>
                    </w:p>
                  </w:txbxContent>
                </v:textbox>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64384" behindDoc="0" locked="0" layoutInCell="1" allowOverlap="1">
                <wp:simplePos x="0" y="0"/>
                <wp:positionH relativeFrom="column">
                  <wp:posOffset>4161155</wp:posOffset>
                </wp:positionH>
                <wp:positionV relativeFrom="paragraph">
                  <wp:posOffset>3239135</wp:posOffset>
                </wp:positionV>
                <wp:extent cx="107950" cy="107950"/>
                <wp:effectExtent l="4445" t="4445" r="20955" b="20955"/>
                <wp:wrapNone/>
                <wp:docPr id="73" name="椭圆 399"/>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0000"/>
                        </a:solidFill>
                        <a:ln w="9525" cap="flat" cmpd="sng">
                          <a:solidFill>
                            <a:srgbClr val="FF0000"/>
                          </a:solidFill>
                          <a:prstDash val="solid"/>
                          <a:headEnd type="none" w="med" len="med"/>
                          <a:tailEnd type="none" w="med" len="med"/>
                        </a:ln>
                      </wps:spPr>
                      <wps:txbx>
                        <w:txbxContent>
                          <w:p w14:paraId="7CEAD56F">
                            <w:pPr>
                              <w:jc w:val="center"/>
                            </w:pPr>
                          </w:p>
                        </w:txbxContent>
                      </wps:txbx>
                      <wps:bodyPr upright="1"/>
                    </wps:wsp>
                  </a:graphicData>
                </a:graphic>
              </wp:anchor>
            </w:drawing>
          </mc:Choice>
          <mc:Fallback>
            <w:pict>
              <v:shape id="椭圆 399" o:spid="_x0000_s1026" o:spt="3" type="#_x0000_t3" style="position:absolute;left:0pt;margin-left:327.65pt;margin-top:255.05pt;height:8.5pt;width:8.5pt;z-index:251664384;mso-width-relative:page;mso-height-relative:page;" fillcolor="#FF0000" filled="t" stroked="t" coordsize="21600,21600" o:gfxdata="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oUrOC9gAAAALAQAADwAAAAAAAAABACAAAAAiAAAAZHJzL2Rvd25yZXYu&#10;eG1sUEsBAhQAFAAAAAgAh07iQFfcnM77AQAAJAQAAA4AAAAAAAAAAQAgAAAAJwEAAGRycy9lMm9E&#10;b2MueG1sUEsFBgAAAAAGAAYAWQEAAJQFAAAAAA==&#10;">
                <v:fill on="t" focussize="0,0"/>
                <v:stroke color="#FF0000" joinstyle="round"/>
                <v:imagedata o:title=""/>
                <o:lock v:ext="edit" aspectratio="f"/>
                <v:textbox>
                  <w:txbxContent>
                    <w:p w14:paraId="7CEAD56F">
                      <w:pPr>
                        <w:jc w:val="center"/>
                      </w:pPr>
                    </w:p>
                  </w:txbxContent>
                </v:textbox>
              </v:shape>
            </w:pict>
          </mc:Fallback>
        </mc:AlternateContent>
      </w:r>
      <w:r>
        <w:rPr>
          <w:rFonts w:hint="default" w:ascii="Times New Roman" w:hAnsi="Times New Roman" w:eastAsia="宋体" w:cs="Times New Roman"/>
          <w:color w:val="auto"/>
          <w:highlight w:val="none"/>
          <w:lang w:eastAsia="zh-CN"/>
        </w:rPr>
        <w:drawing>
          <wp:inline distT="0" distB="0" distL="114300" distR="114300">
            <wp:extent cx="8980805" cy="5147945"/>
            <wp:effectExtent l="0" t="0" r="10795" b="14605"/>
            <wp:docPr id="3" name="图片 3" descr="3123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1232123"/>
                    <pic:cNvPicPr>
                      <a:picLocks noChangeAspect="1"/>
                    </pic:cNvPicPr>
                  </pic:nvPicPr>
                  <pic:blipFill>
                    <a:blip r:embed="rId24"/>
                    <a:stretch>
                      <a:fillRect/>
                    </a:stretch>
                  </pic:blipFill>
                  <pic:spPr>
                    <a:xfrm>
                      <a:off x="0" y="0"/>
                      <a:ext cx="8980805" cy="5147945"/>
                    </a:xfrm>
                    <a:prstGeom prst="rect">
                      <a:avLst/>
                    </a:prstGeom>
                  </pic:spPr>
                </pic:pic>
              </a:graphicData>
            </a:graphic>
          </wp:inline>
        </w:drawing>
      </w:r>
      <w:r>
        <w:rPr>
          <w:rFonts w:hint="default" w:ascii="Times New Roman" w:hAnsi="Times New Roman" w:eastAsia="宋体" w:cs="Times New Roman"/>
          <w:b/>
          <w:bCs/>
          <w:color w:val="auto"/>
          <w:highlight w:val="none"/>
        </w:rPr>
        <w:t>图7.4-1地下水监控井布局示意图</w:t>
      </w:r>
    </w:p>
    <w:p w14:paraId="68F395C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sectPr>
          <w:pgSz w:w="16838" w:h="11906" w:orient="landscape"/>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26" w:charSpace="0"/>
        </w:sectPr>
      </w:pPr>
    </w:p>
    <w:p w14:paraId="2BE6CB4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2、监测层位及井深：监测潜水含水层，设计监测井深度为</w:t>
      </w:r>
      <w:r>
        <w:rPr>
          <w:rFonts w:hint="default" w:ascii="Times New Roman" w:hAnsi="Times New Roman" w:eastAsia="宋体" w:cs="Times New Roman"/>
          <w:color w:val="060BEA"/>
          <w:highlight w:val="none"/>
          <w:lang w:val="en-US" w:eastAsia="zh-CN"/>
        </w:rPr>
        <w:t>1</w:t>
      </w:r>
      <w:r>
        <w:rPr>
          <w:rFonts w:hint="default" w:ascii="Times New Roman" w:hAnsi="Times New Roman" w:eastAsia="宋体" w:cs="Times New Roman"/>
          <w:color w:val="060BEA"/>
          <w:highlight w:val="none"/>
          <w:lang w:val="en-US" w:eastAsia="zh-CN"/>
        </w:rPr>
        <w:t>20</w:t>
      </w:r>
      <w:r>
        <w:rPr>
          <w:rFonts w:hint="default" w:ascii="Times New Roman" w:hAnsi="Times New Roman" w:eastAsia="宋体" w:cs="Times New Roman"/>
          <w:color w:val="060BEA"/>
          <w:highlight w:val="none"/>
        </w:rPr>
        <w:t>m，</w:t>
      </w:r>
      <w:r>
        <w:rPr>
          <w:rFonts w:hint="default" w:ascii="Times New Roman" w:hAnsi="Times New Roman" w:eastAsia="宋体" w:cs="Times New Roman"/>
          <w:color w:val="auto"/>
          <w:highlight w:val="none"/>
        </w:rPr>
        <w:t>实际井深以现场施工为准。</w:t>
      </w:r>
    </w:p>
    <w:p w14:paraId="440F112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3、监测频率：投入使用前监测一次本底值，投入使用后，在正常工况下，每年监测1次，全年共监测</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次。发生事故后应加密监测，每周监测1次，直到污染消除。</w:t>
      </w:r>
    </w:p>
    <w:p w14:paraId="6B8F1F2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4、监测因子：根据场内污染物分析，污染源产生的污水特征，确定地下水监测项目为：</w:t>
      </w:r>
      <w:r>
        <w:rPr>
          <w:rFonts w:hint="default" w:ascii="Times New Roman" w:hAnsi="Times New Roman" w:eastAsia="宋体" w:cs="Times New Roman"/>
          <w:color w:val="auto"/>
          <w:kern w:val="0"/>
          <w:szCs w:val="21"/>
          <w:highlight w:val="none"/>
        </w:rPr>
        <w:t>pH、总硬度、耗氧量、硫酸盐、氯化物、硝酸盐、氨氮、亚硝酸盐、挥发性酚类、氰化物、氟、溶解性总固体、六价铬、砷、汞、铅、镉、铁、锰、</w:t>
      </w:r>
      <w:r>
        <w:rPr>
          <w:rFonts w:hint="default" w:ascii="Times New Roman" w:hAnsi="Times New Roman" w:eastAsia="宋体" w:cs="Times New Roman"/>
          <w:color w:val="auto"/>
          <w:kern w:val="0"/>
          <w:szCs w:val="21"/>
          <w:highlight w:val="none"/>
          <w:lang w:eastAsia="zh-CN"/>
        </w:rPr>
        <w:t>菌落总数</w:t>
      </w:r>
      <w:r>
        <w:rPr>
          <w:rFonts w:hint="default" w:ascii="Times New Roman" w:hAnsi="Times New Roman" w:eastAsia="宋体" w:cs="Times New Roman"/>
          <w:color w:val="auto"/>
          <w:kern w:val="0"/>
          <w:szCs w:val="21"/>
          <w:highlight w:val="none"/>
        </w:rPr>
        <w:t>、总大肠菌群共21项目，</w:t>
      </w:r>
      <w:r>
        <w:rPr>
          <w:rFonts w:hint="default" w:ascii="Times New Roman" w:hAnsi="Times New Roman" w:eastAsia="宋体" w:cs="Times New Roman"/>
          <w:color w:val="auto"/>
          <w:highlight w:val="none"/>
        </w:rPr>
        <w:t>执行《地下水质量标准》（GB/T14848-2017）Ⅲ类标准。</w:t>
      </w:r>
    </w:p>
    <w:p w14:paraId="16545A4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上述监测的结果应按项目有关规定及时建立档案，并抄送生态环境主管部门，对于常规检测数据应该进行公开，特别是对项目所在区域的居民公开，满足法律中关于知情权的要求。发现污染和水质恶化时，要及时进行处理，开展系统调查，并上报有关部门。</w:t>
      </w:r>
    </w:p>
    <w:p w14:paraId="4777DC18">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7.4.2.4应急响应措施</w:t>
      </w:r>
    </w:p>
    <w:p w14:paraId="2E63D84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一旦发现地下水污染事故，立即启动应急预案、采取应急措施控制地下水污染，并使污染得到治理。</w:t>
      </w:r>
    </w:p>
    <w:p w14:paraId="4E518332">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1）在突发地下水污染事故情况下，建议采取以下应急管理措施，以保护地下水环境：</w:t>
      </w:r>
    </w:p>
    <w:p w14:paraId="2D8505E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2）立即启动应急预案；</w:t>
      </w:r>
    </w:p>
    <w:p w14:paraId="30D900C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3）查明并切断污染源。</w:t>
      </w:r>
    </w:p>
    <w:p w14:paraId="4C45F0F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4）查明地下水污染深度、范围和程度；</w:t>
      </w:r>
    </w:p>
    <w:p w14:paraId="41D7CAF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5）依据查明的地下水污染情况，合理布置浅井，并进行试抽水工作；</w:t>
      </w:r>
    </w:p>
    <w:p w14:paraId="2973C79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6）依据抽水设计方案进行施工，抽</w:t>
      </w:r>
      <w:r>
        <w:rPr>
          <w:rFonts w:hint="default" w:ascii="Times New Roman" w:hAnsi="Times New Roman" w:eastAsia="宋体" w:cs="Times New Roman"/>
          <w:color w:val="auto"/>
          <w:highlight w:val="none"/>
          <w:lang w:eastAsia="zh-CN"/>
        </w:rPr>
        <w:t>除</w:t>
      </w:r>
      <w:r>
        <w:rPr>
          <w:rFonts w:hint="default" w:ascii="Times New Roman" w:hAnsi="Times New Roman" w:eastAsia="宋体" w:cs="Times New Roman"/>
          <w:color w:val="auto"/>
          <w:highlight w:val="none"/>
        </w:rPr>
        <w:t>被污染的地下水体；</w:t>
      </w:r>
    </w:p>
    <w:p w14:paraId="777C793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7）将抽出的地下水进行集中收集处理，并送实验室进行化验分析；</w:t>
      </w:r>
    </w:p>
    <w:p w14:paraId="54B7A2B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8）监测孔中的主要污染物浓度满足《地下水质量标准（GB/T14848-93）》相关级别标准后，逐步停止抽水，并进行土壤修复治理工作。</w:t>
      </w:r>
    </w:p>
    <w:p w14:paraId="56125DE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应急管理建议：</w:t>
      </w:r>
    </w:p>
    <w:p w14:paraId="548ECEA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1）由于地下水污染具有不易发现和一旦污染很难治理的特点，因此地下水污染防控应遵循源头控制、防止渗漏、污染监测和事故应急处理的主动和被动防渗相结合的原则进行。</w:t>
      </w:r>
    </w:p>
    <w:p w14:paraId="5D659EB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2）地下水污染状况勘察是一项专业性很强的工作，一旦发生污染事故，应委托具有水文地质勘察资质的单位以水文地质工作为基础开展地下水污染勘察工作。</w:t>
      </w:r>
    </w:p>
    <w:p w14:paraId="0CABB0D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3）在具体的地下水污染治理中，往往需要多种技术结合使用。一般在治理初期，先使用物理法或水动力控制法将污染区封闭，然后尽量收集污水，最后再使用抽出处理法或原位法进行治理。</w:t>
      </w:r>
    </w:p>
    <w:p w14:paraId="1263122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4）地下水污染修复的同时还</w:t>
      </w:r>
      <w:r>
        <w:rPr>
          <w:rFonts w:hint="default" w:ascii="Times New Roman" w:hAnsi="Times New Roman" w:eastAsia="宋体" w:cs="Times New Roman"/>
          <w:color w:val="auto"/>
          <w:highlight w:val="none"/>
          <w:lang w:eastAsia="zh-CN"/>
        </w:rPr>
        <w:t>需</w:t>
      </w:r>
      <w:r>
        <w:rPr>
          <w:rFonts w:hint="default" w:ascii="Times New Roman" w:hAnsi="Times New Roman" w:eastAsia="宋体" w:cs="Times New Roman"/>
          <w:color w:val="auto"/>
          <w:highlight w:val="none"/>
        </w:rPr>
        <w:t>进行受污染岩土的修复。地下水接受包气带的入渗补给，赋存</w:t>
      </w:r>
      <w:r>
        <w:rPr>
          <w:rFonts w:hint="default" w:ascii="Times New Roman" w:hAnsi="Times New Roman" w:eastAsia="宋体" w:cs="Times New Roman"/>
          <w:color w:val="auto"/>
          <w:highlight w:val="none"/>
          <w:lang w:eastAsia="zh-CN"/>
        </w:rPr>
        <w:t>于</w:t>
      </w:r>
      <w:r>
        <w:rPr>
          <w:rFonts w:hint="default" w:ascii="Times New Roman" w:hAnsi="Times New Roman" w:eastAsia="宋体" w:cs="Times New Roman"/>
          <w:color w:val="auto"/>
          <w:highlight w:val="none"/>
        </w:rPr>
        <w:t>含水层岩土的孔隙中，地下水中的物质受岩土的控制，因此避免地下水与岩土的交叉污染，使地下水的治理行之有效，需要进行污染岩土的修复。</w:t>
      </w:r>
    </w:p>
    <w:p w14:paraId="127F0C66">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597" w:name="_Toc41476844"/>
      <w:bookmarkStart w:id="598" w:name="_Toc13045"/>
      <w:r>
        <w:rPr>
          <w:rFonts w:hint="default" w:ascii="Times New Roman" w:hAnsi="Times New Roman" w:eastAsia="宋体" w:cs="Times New Roman"/>
          <w:color w:val="auto"/>
          <w:highlight w:val="none"/>
        </w:rPr>
        <w:t>7.4.3措施可行性</w:t>
      </w:r>
      <w:bookmarkEnd w:id="597"/>
      <w:bookmarkEnd w:id="598"/>
    </w:p>
    <w:p w14:paraId="3B3C078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本报告中</w:t>
      </w:r>
      <w:r>
        <w:rPr>
          <w:rFonts w:hint="default" w:ascii="Times New Roman" w:hAnsi="Times New Roman" w:eastAsia="宋体" w:cs="Times New Roman"/>
          <w:color w:val="auto"/>
          <w:highlight w:val="none"/>
          <w:lang w:eastAsia="zh-CN"/>
        </w:rPr>
        <w:t>涉及的</w:t>
      </w:r>
      <w:r>
        <w:rPr>
          <w:rFonts w:hint="default" w:ascii="Times New Roman" w:hAnsi="Times New Roman" w:eastAsia="宋体" w:cs="Times New Roman"/>
          <w:color w:val="auto"/>
          <w:highlight w:val="none"/>
        </w:rPr>
        <w:t>地下水环境保护管理措施有构建地下水监测网、局部防渗等，其中：</w:t>
      </w:r>
    </w:p>
    <w:p w14:paraId="43E9773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（1）地下水监测孔及地下防渗措施的建设，可以依据国家相关标准实施，如《危险废物填埋污染控制标准》和《地下水环境监测技术规范》等。</w:t>
      </w:r>
    </w:p>
    <w:p w14:paraId="585C0D0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（2）监测孔的建设费、维护费和水质测试费、防渗材料的购置与铺设等费用是环境保护措施中的预算之一，建设单位应按预算执行。</w:t>
      </w:r>
    </w:p>
    <w:p w14:paraId="1C3FBA5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上述分析可知，项目对地下水污染进行了严格的预防措施，不会造成污染物下渗到地下水中造成污染，本次评价提出的地下水环境保护管理措施具有可行性。</w:t>
      </w:r>
    </w:p>
    <w:p w14:paraId="5ED4731E">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599" w:name="_Toc32012"/>
      <w:r>
        <w:rPr>
          <w:rFonts w:hint="default" w:ascii="Times New Roman" w:hAnsi="Times New Roman" w:eastAsia="宋体" w:cs="Times New Roman"/>
          <w:color w:val="auto"/>
          <w:highlight w:val="none"/>
        </w:rPr>
        <w:t>7.5运营期土壤环境防治措施</w:t>
      </w:r>
      <w:bookmarkEnd w:id="599"/>
    </w:p>
    <w:p w14:paraId="4CB8B7E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highlight w:val="none"/>
          <w:lang w:eastAsia="zh-CN"/>
        </w:rPr>
        <w:t>环境影响评价技术导则</w:t>
      </w:r>
      <w:r>
        <w:rPr>
          <w:rFonts w:hint="default" w:ascii="Times New Roman" w:hAnsi="Times New Roman" w:eastAsia="宋体" w:cs="Times New Roman"/>
          <w:color w:val="auto"/>
          <w:highlight w:val="none"/>
        </w:rPr>
        <w:t>土壤环境（试行）》（HJ964-2018）的要求，土壤污染防治措施主要包括源头控制措施、过程控制措施。</w:t>
      </w:r>
    </w:p>
    <w:p w14:paraId="00B58120">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600" w:name="_Toc868"/>
      <w:r>
        <w:rPr>
          <w:rFonts w:hint="default" w:ascii="Times New Roman" w:hAnsi="Times New Roman" w:eastAsia="宋体" w:cs="Times New Roman"/>
          <w:color w:val="auto"/>
          <w:highlight w:val="none"/>
        </w:rPr>
        <w:t>7.5.1源头控制措施</w:t>
      </w:r>
      <w:bookmarkEnd w:id="600"/>
    </w:p>
    <w:p w14:paraId="7F2C355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本项目土壤污染源头控制措施主要是减少项目废气、废水、固废等污染物的产生及排放量。本环评报告主要提出如下措施：</w:t>
      </w:r>
    </w:p>
    <w:p w14:paraId="10F6EDC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（1）做好雨污分流工作。建设单位在运营过程中定期对</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化粪池</w:t>
      </w:r>
      <w:r>
        <w:rPr>
          <w:rFonts w:hint="default" w:ascii="Times New Roman" w:hAnsi="Times New Roman" w:eastAsia="宋体" w:cs="Times New Roman"/>
          <w:color w:val="auto"/>
          <w:highlight w:val="none"/>
        </w:rPr>
        <w:t>等进行检查，确保正常运行，从源头上减少污染物的非正常排放量。</w:t>
      </w:r>
    </w:p>
    <w:p w14:paraId="2282E1A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（2）企业应加强对粪污治理措施的管理和维护，确保各污染物达标排放，有效减少废水污染物通过沉降进入土壤的量。</w:t>
      </w:r>
    </w:p>
    <w:p w14:paraId="33481E0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（3）企业应采用先进的养殖工艺，减少固废的产生量，并提高固废的综合利用率，减少固废的堆存量。</w:t>
      </w:r>
    </w:p>
    <w:p w14:paraId="17158A51">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601" w:name="_Toc14265"/>
      <w:r>
        <w:rPr>
          <w:rFonts w:hint="default" w:ascii="Times New Roman" w:hAnsi="Times New Roman" w:eastAsia="宋体" w:cs="Times New Roman"/>
          <w:color w:val="auto"/>
          <w:highlight w:val="none"/>
        </w:rPr>
        <w:t>7.5.2过程控制措施</w:t>
      </w:r>
      <w:bookmarkEnd w:id="601"/>
    </w:p>
    <w:p w14:paraId="16A821B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项目针对土壤污染的途径提出相应的过程控制措施：</w:t>
      </w:r>
    </w:p>
    <w:p w14:paraId="45CEC7A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企业应在占地范围内采取绿化措施，以种植具有较强吸附能力的植物为主，加大对</w:t>
      </w:r>
      <w:r>
        <w:rPr>
          <w:rFonts w:hint="default" w:ascii="Times New Roman" w:hAnsi="Times New Roman" w:eastAsia="宋体" w:cs="Times New Roman"/>
          <w:color w:val="auto"/>
          <w:highlight w:val="none"/>
          <w:lang w:eastAsia="zh-CN"/>
        </w:rPr>
        <w:t>空气污染物</w:t>
      </w:r>
      <w:r>
        <w:rPr>
          <w:rFonts w:hint="default" w:ascii="Times New Roman" w:hAnsi="Times New Roman" w:eastAsia="宋体" w:cs="Times New Roman"/>
          <w:color w:val="auto"/>
          <w:highlight w:val="none"/>
        </w:rPr>
        <w:t>的吸附量，减少最终进入土壤的污染物量，从而</w:t>
      </w:r>
      <w:r>
        <w:rPr>
          <w:rFonts w:hint="default" w:ascii="Times New Roman" w:hAnsi="Times New Roman" w:eastAsia="宋体" w:cs="Times New Roman"/>
          <w:color w:val="auto"/>
          <w:highlight w:val="none"/>
          <w:lang w:eastAsia="zh-CN"/>
        </w:rPr>
        <w:t>减少</w:t>
      </w:r>
      <w:r>
        <w:rPr>
          <w:rFonts w:hint="default" w:ascii="Times New Roman" w:hAnsi="Times New Roman" w:eastAsia="宋体" w:cs="Times New Roman"/>
          <w:color w:val="auto"/>
          <w:highlight w:val="none"/>
        </w:rPr>
        <w:t>对土壤的污染。</w:t>
      </w:r>
    </w:p>
    <w:p w14:paraId="73B1E4C4">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602" w:name="_Toc9490"/>
      <w:r>
        <w:rPr>
          <w:rFonts w:hint="default" w:ascii="Times New Roman" w:hAnsi="Times New Roman" w:eastAsia="宋体" w:cs="Times New Roman"/>
          <w:color w:val="auto"/>
          <w:highlight w:val="none"/>
        </w:rPr>
        <w:t>7.5.3末端控制措施</w:t>
      </w:r>
      <w:bookmarkEnd w:id="602"/>
    </w:p>
    <w:p w14:paraId="01740F2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末端控制采取分区防渗原则，主要包括对重点防渗区（包括</w:t>
      </w:r>
      <w:r>
        <w:rPr>
          <w:rFonts w:hint="default" w:ascii="Times New Roman" w:hAnsi="Times New Roman" w:eastAsia="宋体" w:cs="Times New Roman"/>
          <w:color w:val="auto"/>
          <w:highlight w:val="none"/>
          <w:lang w:eastAsia="zh-CN"/>
        </w:rPr>
        <w:t>危废暂存间</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场地</w:t>
      </w:r>
      <w:r>
        <w:rPr>
          <w:rFonts w:hint="default" w:ascii="Times New Roman" w:hAnsi="Times New Roman" w:eastAsia="宋体" w:cs="Times New Roman"/>
          <w:color w:val="auto"/>
          <w:highlight w:val="none"/>
        </w:rPr>
        <w:t>及周围进行防渗措施，使其渗透系数≤10</w:t>
      </w:r>
      <w:r>
        <w:rPr>
          <w:rFonts w:hint="default" w:ascii="Times New Roman" w:hAnsi="Times New Roman" w:eastAsia="宋体" w:cs="Times New Roman"/>
          <w:color w:val="auto"/>
          <w:highlight w:val="none"/>
          <w:vertAlign w:val="superscript"/>
        </w:rPr>
        <w:t>-10</w:t>
      </w:r>
      <w:r>
        <w:rPr>
          <w:rFonts w:hint="default" w:ascii="Times New Roman" w:hAnsi="Times New Roman" w:eastAsia="宋体" w:cs="Times New Roman"/>
          <w:color w:val="auto"/>
          <w:highlight w:val="none"/>
        </w:rPr>
        <w:t>cm/s，防止渗滤液污染物渗入地下。</w:t>
      </w:r>
    </w:p>
    <w:p w14:paraId="0227CB03">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603" w:name="_Toc23727"/>
      <w:r>
        <w:rPr>
          <w:rFonts w:hint="default" w:ascii="Times New Roman" w:hAnsi="Times New Roman" w:eastAsia="宋体" w:cs="Times New Roman"/>
          <w:color w:val="auto"/>
          <w:highlight w:val="none"/>
        </w:rPr>
        <w:t>7.5.</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应急响应措施</w:t>
      </w:r>
      <w:bookmarkEnd w:id="603"/>
    </w:p>
    <w:p w14:paraId="0FE511F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一旦发现土壤污染事故，立即采取应急措施控制土壤、地下水污染，并使污染得到治理。</w:t>
      </w:r>
    </w:p>
    <w:p w14:paraId="4561882F">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604" w:name="_Toc530642993"/>
      <w:bookmarkStart w:id="605" w:name="_Toc6862"/>
      <w:bookmarkStart w:id="606" w:name="_Toc494206376"/>
      <w:r>
        <w:rPr>
          <w:rFonts w:hint="default" w:ascii="Times New Roman" w:hAnsi="Times New Roman" w:eastAsia="宋体" w:cs="Times New Roman"/>
          <w:color w:val="auto"/>
          <w:highlight w:val="none"/>
        </w:rPr>
        <w:t>7.6运营期声环境防治措施</w:t>
      </w:r>
      <w:bookmarkEnd w:id="604"/>
      <w:bookmarkEnd w:id="605"/>
      <w:bookmarkEnd w:id="606"/>
    </w:p>
    <w:p w14:paraId="7DF981A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本项目实施后，</w:t>
      </w:r>
      <w:r>
        <w:rPr>
          <w:rFonts w:hint="default" w:ascii="Times New Roman" w:hAnsi="Times New Roman" w:eastAsia="宋体" w:cs="Times New Roman"/>
          <w:color w:val="auto"/>
          <w:szCs w:val="24"/>
          <w:highlight w:val="none"/>
        </w:rPr>
        <w:t>产生噪声源主要来源于牛群叫声、牛舍排气扇以及</w:t>
      </w:r>
      <w:r>
        <w:rPr>
          <w:rFonts w:hint="default" w:ascii="Times New Roman" w:hAnsi="Times New Roman" w:eastAsia="宋体" w:cs="Times New Roman"/>
          <w:color w:val="auto"/>
          <w:szCs w:val="24"/>
          <w:highlight w:val="none"/>
          <w:lang w:eastAsia="zh-CN"/>
        </w:rPr>
        <w:t>TMR混合机</w:t>
      </w:r>
      <w:r>
        <w:rPr>
          <w:rFonts w:hint="default" w:ascii="Times New Roman" w:hAnsi="Times New Roman" w:eastAsia="宋体" w:cs="Times New Roman"/>
          <w:color w:val="auto"/>
          <w:szCs w:val="24"/>
          <w:highlight w:val="none"/>
        </w:rPr>
        <w:t>、水泵、出入场区车辆产生的噪声等</w:t>
      </w:r>
      <w:r>
        <w:rPr>
          <w:rFonts w:hint="default" w:ascii="Times New Roman" w:hAnsi="Times New Roman" w:eastAsia="宋体" w:cs="Times New Roman"/>
          <w:color w:val="auto"/>
          <w:highlight w:val="none"/>
        </w:rPr>
        <w:t>。为了减轻各类噪声对工人操作环境和周围声环境影响，因此本项目应加强噪声的治理工作，主要从设备选型、阻隔传播途径和受声者保护三方面入手。</w:t>
      </w:r>
    </w:p>
    <w:p w14:paraId="1D2E65F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①优先选用低噪声设备，对强噪声设备如水泵和风机等采取减振、隔声措施。水泵和风机等均放单独的房间内，采用隔声门窗或双层玻璃。</w:t>
      </w:r>
    </w:p>
    <w:p w14:paraId="6866CB2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②牛舍内安装的降温排风扇应安装牢固，并加减震圈（垫），减轻噪声对操作人员及牛只的危害和影响。</w:t>
      </w:r>
    </w:p>
    <w:p w14:paraId="2F43504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C000"/>
          <w:highlight w:val="none"/>
        </w:rPr>
      </w:pPr>
      <w:r>
        <w:rPr>
          <w:rFonts w:hint="default" w:ascii="Times New Roman" w:hAnsi="Times New Roman" w:eastAsia="宋体" w:cs="Times New Roman"/>
          <w:color w:val="FFC000"/>
          <w:highlight w:val="none"/>
        </w:rPr>
        <w:t>③</w:t>
      </w:r>
      <w:r>
        <w:rPr>
          <w:rFonts w:hint="default" w:ascii="Times New Roman" w:hAnsi="Times New Roman" w:eastAsia="宋体" w:cs="Times New Roman"/>
          <w:color w:val="FFC000"/>
          <w:highlight w:val="none"/>
          <w:lang w:eastAsia="zh-CN"/>
        </w:rPr>
        <w:t>养殖</w:t>
      </w:r>
      <w:r>
        <w:rPr>
          <w:rFonts w:hint="default" w:ascii="Times New Roman" w:hAnsi="Times New Roman" w:eastAsia="宋体" w:cs="Times New Roman"/>
          <w:color w:val="FFC000"/>
          <w:highlight w:val="none"/>
        </w:rPr>
        <w:t>场场界设围墙，建隔离带，降噪林，经过生态林降噪和距离衰减后厂界噪声可满足《工业企业厂界环境噪声排放标准》（GB12348-2008）</w:t>
      </w:r>
      <w:r>
        <w:rPr>
          <w:rFonts w:hint="default" w:ascii="Times New Roman" w:hAnsi="Times New Roman" w:eastAsia="宋体" w:cs="Times New Roman"/>
          <w:color w:val="FFC000"/>
          <w:highlight w:val="none"/>
          <w:lang w:val="en-US" w:eastAsia="zh-CN"/>
        </w:rPr>
        <w:t>1</w:t>
      </w:r>
      <w:r>
        <w:rPr>
          <w:rFonts w:hint="default" w:ascii="Times New Roman" w:hAnsi="Times New Roman" w:eastAsia="宋体" w:cs="Times New Roman"/>
          <w:color w:val="FFC000"/>
          <w:highlight w:val="none"/>
        </w:rPr>
        <w:t>类区排放限值；周边居民点可满足</w:t>
      </w:r>
      <w:r>
        <w:rPr>
          <w:rFonts w:hint="default" w:ascii="Times New Roman" w:hAnsi="Times New Roman" w:eastAsia="宋体" w:cs="Times New Roman"/>
          <w:snapToGrid w:val="0"/>
          <w:color w:val="FFC000"/>
          <w:kern w:val="0"/>
          <w:highlight w:val="none"/>
        </w:rPr>
        <w:t>《声环境质量标准》（GB3096-2008）</w:t>
      </w:r>
      <w:r>
        <w:rPr>
          <w:rFonts w:hint="default" w:ascii="Times New Roman" w:hAnsi="Times New Roman" w:eastAsia="宋体" w:cs="Times New Roman"/>
          <w:snapToGrid w:val="0"/>
          <w:color w:val="FFC000"/>
          <w:kern w:val="0"/>
          <w:highlight w:val="none"/>
          <w:lang w:val="en-US" w:eastAsia="zh-CN"/>
        </w:rPr>
        <w:t>1</w:t>
      </w:r>
      <w:r>
        <w:rPr>
          <w:rFonts w:hint="default" w:ascii="Times New Roman" w:hAnsi="Times New Roman" w:eastAsia="宋体" w:cs="Times New Roman"/>
          <w:snapToGrid w:val="0"/>
          <w:color w:val="FFC000"/>
          <w:kern w:val="0"/>
          <w:highlight w:val="none"/>
        </w:rPr>
        <w:t>类标准。</w:t>
      </w:r>
    </w:p>
    <w:p w14:paraId="772AB55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④根据生产实际情况，合理调度汽车运输；优化运输路线，使运输路线尽量选择距离居民敏感点较远、地域较开阔的地段。</w:t>
      </w:r>
    </w:p>
    <w:p w14:paraId="36EA154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⑤运输车辆应做到缓速行驶，减少鸣笛或尽量避免鸣笛来减少运输车辆进入牛场对周围声环境的影响。</w:t>
      </w:r>
    </w:p>
    <w:p w14:paraId="5909B6B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⑥货物运输车辆在村庄、牛场门前做到不鸣或少鸣笛，以减轻交通噪声对外环境的影响。货物运输车辆夜间在途经村庄或在场界内时禁止鸣笛。</w:t>
      </w:r>
    </w:p>
    <w:p w14:paraId="26BE8B8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在采取上述有效的防治措施后，项目</w:t>
      </w:r>
      <w:r>
        <w:rPr>
          <w:rFonts w:hint="default" w:ascii="Times New Roman" w:hAnsi="Times New Roman" w:eastAsia="宋体" w:cs="Times New Roman"/>
          <w:color w:val="auto"/>
          <w:highlight w:val="none"/>
          <w:lang w:eastAsia="zh-CN"/>
        </w:rPr>
        <w:t>养殖</w:t>
      </w:r>
      <w:r>
        <w:rPr>
          <w:rFonts w:hint="default" w:ascii="Times New Roman" w:hAnsi="Times New Roman" w:eastAsia="宋体" w:cs="Times New Roman"/>
          <w:color w:val="auto"/>
          <w:highlight w:val="none"/>
        </w:rPr>
        <w:t>场界噪声可达到</w:t>
      </w:r>
      <w:r>
        <w:rPr>
          <w:rFonts w:hint="default" w:ascii="Times New Roman" w:hAnsi="Times New Roman" w:eastAsia="宋体" w:cs="Times New Roman"/>
          <w:color w:val="FFC000"/>
          <w:highlight w:val="none"/>
        </w:rPr>
        <w:t>《工业企业厂界环境噪声排放标准》（GB12348-2008）</w:t>
      </w:r>
      <w:r>
        <w:rPr>
          <w:rFonts w:hint="default" w:ascii="Times New Roman" w:hAnsi="Times New Roman" w:eastAsia="宋体" w:cs="Times New Roman"/>
          <w:color w:val="FFC000"/>
          <w:highlight w:val="none"/>
          <w:lang w:eastAsia="zh-CN"/>
        </w:rPr>
        <w:t>表</w:t>
      </w:r>
      <w:r>
        <w:rPr>
          <w:rFonts w:hint="default" w:ascii="Times New Roman" w:hAnsi="Times New Roman" w:eastAsia="宋体" w:cs="Times New Roman"/>
          <w:color w:val="FFC000"/>
          <w:highlight w:val="none"/>
          <w:lang w:val="en-US" w:eastAsia="zh-CN"/>
        </w:rPr>
        <w:t>1工业企业厂界环境噪声排放限值中</w:t>
      </w:r>
      <w:r>
        <w:rPr>
          <w:rFonts w:hint="default" w:ascii="Times New Roman" w:hAnsi="Times New Roman" w:eastAsia="宋体" w:cs="Times New Roman"/>
          <w:color w:val="FFC000"/>
          <w:highlight w:val="none"/>
          <w:lang w:val="en-US" w:eastAsia="zh-CN"/>
        </w:rPr>
        <w:t>1</w:t>
      </w:r>
      <w:r>
        <w:rPr>
          <w:rFonts w:hint="default" w:ascii="Times New Roman" w:hAnsi="Times New Roman" w:eastAsia="宋体" w:cs="Times New Roman"/>
          <w:color w:val="FFC000"/>
          <w:highlight w:val="none"/>
          <w:lang w:val="en-US" w:eastAsia="zh-CN"/>
        </w:rPr>
        <w:t>类功能区排放限值</w:t>
      </w:r>
      <w:r>
        <w:rPr>
          <w:rFonts w:hint="default" w:ascii="Times New Roman" w:hAnsi="Times New Roman" w:eastAsia="宋体" w:cs="Times New Roman"/>
          <w:color w:val="FFC000"/>
          <w:highlight w:val="none"/>
        </w:rPr>
        <w:t>，产噪设备对周围声环境影响较小。</w:t>
      </w:r>
    </w:p>
    <w:p w14:paraId="142E96AC">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607" w:name="_Toc530642994"/>
      <w:bookmarkStart w:id="608" w:name="_Toc17851"/>
      <w:r>
        <w:rPr>
          <w:rFonts w:hint="default" w:ascii="Times New Roman" w:hAnsi="Times New Roman" w:eastAsia="宋体" w:cs="Times New Roman"/>
          <w:color w:val="auto"/>
          <w:highlight w:val="none"/>
        </w:rPr>
        <w:t>7.7运营期固体废物污染防治措施</w:t>
      </w:r>
      <w:bookmarkEnd w:id="607"/>
      <w:bookmarkEnd w:id="608"/>
    </w:p>
    <w:p w14:paraId="373690E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本项目固体废物的处理将遵循环境健康风险预防、安全无害以及固体废物“减量化、资源化、无害化及生态化”的原则进行，</w:t>
      </w:r>
      <w:r>
        <w:rPr>
          <w:rFonts w:hint="default" w:ascii="Times New Roman" w:hAnsi="Times New Roman" w:eastAsia="宋体" w:cs="Times New Roman"/>
          <w:color w:val="auto"/>
          <w:highlight w:val="none"/>
          <w:lang w:eastAsia="zh-CN"/>
        </w:rPr>
        <w:t>有效地解决</w:t>
      </w:r>
      <w:r>
        <w:rPr>
          <w:rFonts w:hint="default" w:ascii="Times New Roman" w:hAnsi="Times New Roman" w:eastAsia="宋体" w:cs="Times New Roman"/>
          <w:color w:val="auto"/>
          <w:highlight w:val="none"/>
        </w:rPr>
        <w:t>集约化养殖场的环境污染问题，达到变废为宝、化害为利、综合利用的目的。</w:t>
      </w:r>
    </w:p>
    <w:p w14:paraId="5DB64864">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609" w:name="_Toc6279"/>
      <w:r>
        <w:rPr>
          <w:rFonts w:hint="default" w:ascii="Times New Roman" w:hAnsi="Times New Roman" w:eastAsia="宋体" w:cs="Times New Roman"/>
          <w:color w:val="auto"/>
          <w:highlight w:val="none"/>
        </w:rPr>
        <w:t>7.7.1固体废物处置合理性分析</w:t>
      </w:r>
      <w:bookmarkEnd w:id="609"/>
    </w:p>
    <w:p w14:paraId="4E74988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本项目产生的固废物主要是</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0000FF"/>
          <w:highlight w:val="none"/>
        </w:rPr>
        <w:t>垫</w:t>
      </w:r>
      <w:r>
        <w:rPr>
          <w:rFonts w:hint="default" w:ascii="Times New Roman" w:hAnsi="Times New Roman" w:eastAsia="宋体" w:cs="Times New Roman"/>
          <w:color w:val="0000FF"/>
          <w:highlight w:val="none"/>
          <w:lang w:val="en-US" w:eastAsia="zh-CN"/>
        </w:rPr>
        <w:t>料、</w:t>
      </w:r>
      <w:r>
        <w:rPr>
          <w:rFonts w:hint="default" w:ascii="Times New Roman" w:hAnsi="Times New Roman" w:eastAsia="宋体" w:cs="Times New Roman"/>
          <w:color w:val="auto"/>
          <w:highlight w:val="none"/>
          <w:lang w:eastAsia="zh-CN"/>
        </w:rPr>
        <w:t>病死牛</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医疗垃圾</w:t>
      </w:r>
      <w:r>
        <w:rPr>
          <w:rFonts w:hint="default" w:ascii="Times New Roman" w:hAnsi="Times New Roman" w:eastAsia="宋体" w:cs="Times New Roman"/>
          <w:color w:val="auto"/>
          <w:highlight w:val="none"/>
          <w:lang w:eastAsia="zh-CN"/>
        </w:rPr>
        <w:t>、生活垃圾</w:t>
      </w:r>
      <w:r>
        <w:rPr>
          <w:rFonts w:hint="default" w:ascii="Times New Roman" w:hAnsi="Times New Roman" w:eastAsia="宋体" w:cs="Times New Roman"/>
          <w:color w:val="auto"/>
          <w:highlight w:val="none"/>
        </w:rPr>
        <w:t>等。</w:t>
      </w:r>
    </w:p>
    <w:p w14:paraId="47FD93C2">
      <w:pPr>
        <w:pageBreakBefore w:val="0"/>
        <w:kinsoku/>
        <w:wordWrap/>
        <w:bidi w:val="0"/>
        <w:snapToGrid w:val="0"/>
        <w:spacing w:line="360" w:lineRule="auto"/>
        <w:ind w:left="0" w:leftChars="0" w:right="0" w:rightChars="0" w:firstLine="480"/>
        <w:outlineLvl w:val="2"/>
        <w:rPr>
          <w:rFonts w:hint="default" w:ascii="Times New Roman" w:hAnsi="Times New Roman" w:eastAsia="宋体" w:cs="Times New Roman"/>
          <w:color w:val="auto"/>
          <w:highlight w:val="none"/>
          <w:lang w:eastAsia="zh-CN"/>
        </w:rPr>
      </w:pPr>
      <w:bookmarkStart w:id="610" w:name="_Toc23325"/>
      <w:bookmarkStart w:id="611" w:name="_Toc13530"/>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）牛粪便</w:t>
      </w:r>
      <w:bookmarkEnd w:id="610"/>
      <w:bookmarkEnd w:id="611"/>
    </w:p>
    <w:p w14:paraId="5B3C17E2">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肉牛粪便</w:t>
      </w:r>
      <w:r>
        <w:rPr>
          <w:rFonts w:hint="default" w:ascii="Times New Roman" w:hAnsi="Times New Roman" w:eastAsia="宋体" w:cs="Times New Roman"/>
          <w:color w:val="auto"/>
          <w:highlight w:val="none"/>
        </w:rPr>
        <w:t>中含有大量的有机物和丰富的氮、磷、钾等营养物质，是农业可持续发展的宝贵资源。项目采用干清粪工艺</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经</w:t>
      </w:r>
      <w:r>
        <w:rPr>
          <w:rFonts w:hint="default" w:ascii="Times New Roman" w:hAnsi="Times New Roman" w:eastAsia="宋体" w:cs="Times New Roman"/>
          <w:color w:val="auto"/>
          <w:highlight w:val="none"/>
          <w:lang w:eastAsia="zh-CN"/>
        </w:rPr>
        <w:t>粪污处理池储存并堆肥</w:t>
      </w:r>
      <w:r>
        <w:rPr>
          <w:rFonts w:hint="default" w:ascii="Times New Roman" w:hAnsi="Times New Roman" w:eastAsia="宋体" w:cs="Times New Roman"/>
          <w:color w:val="auto"/>
          <w:highlight w:val="none"/>
        </w:rPr>
        <w:t>后，是优良的农家肥，富含有机质、氮磷钾及植物生长及果实形成所需的各种中、微量元素，且</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含有各类氨基酸、维生素、蛋白质、</w:t>
      </w:r>
      <w:r>
        <w:rPr>
          <w:rFonts w:hint="default" w:ascii="Times New Roman" w:hAnsi="Times New Roman" w:eastAsia="宋体" w:cs="Times New Roman"/>
          <w:color w:val="auto"/>
          <w:highlight w:val="none"/>
          <w:lang w:eastAsia="zh-CN"/>
        </w:rPr>
        <w:t>赤霉素</w:t>
      </w:r>
      <w:r>
        <w:rPr>
          <w:rFonts w:hint="default" w:ascii="Times New Roman" w:hAnsi="Times New Roman" w:eastAsia="宋体" w:cs="Times New Roman"/>
          <w:color w:val="auto"/>
          <w:highlight w:val="none"/>
        </w:rPr>
        <w:t>、生长素、糖类、核酸等，可以促进植物的生长。</w:t>
      </w:r>
    </w:p>
    <w:p w14:paraId="3C4A48C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本项目养殖场产生的</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经</w:t>
      </w:r>
      <w:r>
        <w:rPr>
          <w:rFonts w:hint="default" w:ascii="Times New Roman" w:hAnsi="Times New Roman" w:eastAsia="宋体" w:cs="Times New Roman"/>
          <w:color w:val="auto"/>
          <w:highlight w:val="none"/>
          <w:lang w:eastAsia="zh-CN"/>
        </w:rPr>
        <w:t>粪污处理池储存并堆肥</w:t>
      </w:r>
      <w:r>
        <w:rPr>
          <w:rFonts w:hint="default" w:ascii="Times New Roman" w:hAnsi="Times New Roman" w:eastAsia="宋体" w:cs="Times New Roman"/>
          <w:color w:val="auto"/>
          <w:highlight w:val="none"/>
        </w:rPr>
        <w:t>后，作为有机肥还田利用。减少</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在堆肥间的堆存时间，及时翻堆将其发酵生产</w:t>
      </w:r>
      <w:r>
        <w:rPr>
          <w:rFonts w:hint="default" w:ascii="Times New Roman" w:hAnsi="Times New Roman" w:eastAsia="宋体" w:cs="Times New Roman"/>
          <w:color w:val="auto"/>
          <w:highlight w:val="none"/>
          <w:lang w:eastAsia="zh-CN"/>
        </w:rPr>
        <w:t>有机肥</w:t>
      </w:r>
      <w:r>
        <w:rPr>
          <w:rFonts w:hint="default" w:ascii="Times New Roman" w:hAnsi="Times New Roman" w:eastAsia="宋体" w:cs="Times New Roman"/>
          <w:color w:val="auto"/>
          <w:highlight w:val="none"/>
        </w:rPr>
        <w:t>。上述处理方法可满足</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的无害化处理要求，经无害化堆肥后的产品可达《粪便无害化卫生标准》（GB7959-1987），处理处置措施合理可行。</w:t>
      </w:r>
    </w:p>
    <w:p w14:paraId="266F27E9">
      <w:pPr>
        <w:pageBreakBefore w:val="0"/>
        <w:kinsoku/>
        <w:wordWrap/>
        <w:overflow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0000FF"/>
          <w:highlight w:val="none"/>
          <w:lang w:val="en-US" w:eastAsia="zh-CN"/>
        </w:rPr>
      </w:pPr>
      <w:r>
        <w:rPr>
          <w:rFonts w:hint="default" w:ascii="Times New Roman" w:hAnsi="Times New Roman" w:eastAsia="宋体" w:cs="Times New Roman"/>
          <w:color w:val="0000FF"/>
          <w:highlight w:val="none"/>
        </w:rPr>
        <w:t>（2）垫</w:t>
      </w:r>
      <w:r>
        <w:rPr>
          <w:rFonts w:hint="default" w:ascii="Times New Roman" w:hAnsi="Times New Roman" w:eastAsia="宋体" w:cs="Times New Roman"/>
          <w:color w:val="0000FF"/>
          <w:highlight w:val="none"/>
          <w:lang w:val="en-US" w:eastAsia="zh-CN"/>
        </w:rPr>
        <w:t>料</w:t>
      </w:r>
    </w:p>
    <w:p w14:paraId="2D092F5E">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outlineLvl w:val="2"/>
        <w:rPr>
          <w:rFonts w:hint="default" w:ascii="Times New Roman" w:hAnsi="Times New Roman" w:eastAsia="宋体" w:cs="Times New Roman"/>
          <w:color w:val="0000FF"/>
          <w:highlight w:val="none"/>
        </w:rPr>
      </w:pPr>
      <w:bookmarkStart w:id="612" w:name="_Toc16198"/>
      <w:bookmarkStart w:id="613" w:name="_Toc345"/>
      <w:r>
        <w:rPr>
          <w:rFonts w:hint="default" w:ascii="Times New Roman" w:hAnsi="Times New Roman" w:eastAsia="宋体" w:cs="Times New Roman"/>
          <w:color w:val="0000FF"/>
          <w:highlight w:val="none"/>
        </w:rPr>
        <w:t>牛</w:t>
      </w:r>
      <w:r>
        <w:rPr>
          <w:rFonts w:hint="default" w:ascii="Times New Roman" w:hAnsi="Times New Roman" w:eastAsia="宋体" w:cs="Times New Roman"/>
          <w:color w:val="0000FF"/>
          <w:highlight w:val="none"/>
          <w:lang w:val="en-US" w:eastAsia="zh-CN"/>
        </w:rPr>
        <w:t>舍</w:t>
      </w:r>
      <w:r>
        <w:rPr>
          <w:rFonts w:hint="default" w:ascii="Times New Roman" w:hAnsi="Times New Roman" w:eastAsia="宋体" w:cs="Times New Roman"/>
          <w:color w:val="0000FF"/>
          <w:highlight w:val="none"/>
        </w:rPr>
        <w:t>和运动场垫料更换频次2次/a，依据建设单位提供的资料，牛</w:t>
      </w:r>
      <w:r>
        <w:rPr>
          <w:rFonts w:hint="default" w:ascii="Times New Roman" w:hAnsi="Times New Roman" w:eastAsia="宋体" w:cs="Times New Roman"/>
          <w:color w:val="0000FF"/>
          <w:highlight w:val="none"/>
          <w:lang w:val="en-US" w:eastAsia="zh-CN"/>
        </w:rPr>
        <w:t>舍</w:t>
      </w:r>
      <w:r>
        <w:rPr>
          <w:rFonts w:hint="default" w:ascii="Times New Roman" w:hAnsi="Times New Roman" w:eastAsia="宋体" w:cs="Times New Roman"/>
          <w:color w:val="0000FF"/>
          <w:highlight w:val="none"/>
        </w:rPr>
        <w:t>和运动场垫料产生量为50t/a。牛舍及运动场垫料主要为碎秸秆和木屑</w:t>
      </w:r>
      <w:r>
        <w:rPr>
          <w:rFonts w:hint="default" w:ascii="Times New Roman" w:hAnsi="Times New Roman" w:eastAsia="宋体" w:cs="Times New Roman"/>
          <w:color w:val="0000FF"/>
          <w:highlight w:val="none"/>
          <w:lang w:eastAsia="zh-CN"/>
        </w:rPr>
        <w:t>，</w:t>
      </w:r>
      <w:r>
        <w:rPr>
          <w:rFonts w:hint="default" w:ascii="Times New Roman" w:hAnsi="Times New Roman" w:eastAsia="宋体" w:cs="Times New Roman"/>
          <w:color w:val="0000FF"/>
          <w:highlight w:val="none"/>
        </w:rPr>
        <w:t>带少量粪便</w:t>
      </w:r>
      <w:r>
        <w:rPr>
          <w:rFonts w:hint="default" w:ascii="Times New Roman" w:hAnsi="Times New Roman" w:eastAsia="宋体" w:cs="Times New Roman"/>
          <w:color w:val="0000FF"/>
          <w:highlight w:val="none"/>
          <w:lang w:eastAsia="zh-CN"/>
        </w:rPr>
        <w:t>。</w:t>
      </w:r>
      <w:r>
        <w:rPr>
          <w:rFonts w:hint="default" w:ascii="Times New Roman" w:hAnsi="Times New Roman" w:eastAsia="宋体" w:cs="Times New Roman"/>
          <w:color w:val="0000FF"/>
          <w:highlight w:val="none"/>
        </w:rPr>
        <w:t>采用清粪车将垫</w:t>
      </w:r>
      <w:r>
        <w:rPr>
          <w:rFonts w:hint="default" w:ascii="Times New Roman" w:hAnsi="Times New Roman" w:eastAsia="宋体" w:cs="Times New Roman"/>
          <w:color w:val="0000FF"/>
          <w:highlight w:val="none"/>
          <w:lang w:val="en-US" w:eastAsia="zh-CN"/>
        </w:rPr>
        <w:t>料</w:t>
      </w:r>
      <w:r>
        <w:rPr>
          <w:rFonts w:hint="default" w:ascii="Times New Roman" w:hAnsi="Times New Roman" w:eastAsia="宋体" w:cs="Times New Roman"/>
          <w:color w:val="0000FF"/>
          <w:highlight w:val="none"/>
        </w:rPr>
        <w:t>转运至</w:t>
      </w:r>
      <w:r>
        <w:rPr>
          <w:rFonts w:hint="default" w:ascii="Times New Roman" w:hAnsi="Times New Roman" w:eastAsia="宋体" w:cs="Times New Roman"/>
          <w:color w:val="0000FF"/>
          <w:highlight w:val="none"/>
          <w:lang w:eastAsia="zh-CN"/>
        </w:rPr>
        <w:t>粪污处理池</w:t>
      </w:r>
      <w:r>
        <w:rPr>
          <w:rFonts w:hint="default" w:ascii="Times New Roman" w:hAnsi="Times New Roman" w:eastAsia="宋体" w:cs="Times New Roman"/>
          <w:color w:val="0000FF"/>
          <w:highlight w:val="none"/>
          <w:lang w:val="en-US" w:eastAsia="zh-CN"/>
        </w:rPr>
        <w:t>与</w:t>
      </w:r>
      <w:r>
        <w:rPr>
          <w:rFonts w:hint="default" w:ascii="Times New Roman" w:hAnsi="Times New Roman" w:eastAsia="宋体" w:cs="Times New Roman"/>
          <w:color w:val="0000FF"/>
          <w:sz w:val="24"/>
          <w:szCs w:val="24"/>
          <w:highlight w:val="none"/>
          <w:lang w:eastAsia="zh-CN"/>
        </w:rPr>
        <w:t>牛粪便</w:t>
      </w:r>
      <w:r>
        <w:rPr>
          <w:rFonts w:hint="default" w:ascii="Times New Roman" w:hAnsi="Times New Roman" w:eastAsia="宋体" w:cs="Times New Roman"/>
          <w:color w:val="0000FF"/>
          <w:sz w:val="24"/>
          <w:szCs w:val="24"/>
          <w:highlight w:val="none"/>
          <w:lang w:val="en-US" w:eastAsia="zh-CN"/>
        </w:rPr>
        <w:t>一同发酵</w:t>
      </w:r>
      <w:r>
        <w:rPr>
          <w:rFonts w:hint="default" w:ascii="Times New Roman" w:hAnsi="Times New Roman" w:eastAsia="宋体" w:cs="Times New Roman"/>
          <w:color w:val="0000FF"/>
          <w:highlight w:val="none"/>
          <w:lang w:eastAsia="zh-CN"/>
        </w:rPr>
        <w:t>，形成</w:t>
      </w:r>
      <w:r>
        <w:rPr>
          <w:rFonts w:hint="default" w:ascii="Times New Roman" w:hAnsi="Times New Roman" w:eastAsia="宋体" w:cs="Times New Roman"/>
          <w:color w:val="0000FF"/>
          <w:highlight w:val="none"/>
        </w:rPr>
        <w:t>有机肥</w:t>
      </w:r>
      <w:r>
        <w:rPr>
          <w:rFonts w:hint="default" w:ascii="Times New Roman" w:hAnsi="Times New Roman" w:eastAsia="宋体" w:cs="Times New Roman"/>
          <w:color w:val="0000FF"/>
          <w:highlight w:val="none"/>
          <w:lang w:eastAsia="zh-CN"/>
        </w:rPr>
        <w:t>，</w:t>
      </w:r>
      <w:r>
        <w:rPr>
          <w:rFonts w:hint="default" w:ascii="Times New Roman" w:hAnsi="Times New Roman" w:eastAsia="宋体" w:cs="Times New Roman"/>
          <w:color w:val="0000FF"/>
          <w:highlight w:val="none"/>
        </w:rPr>
        <w:t>用于周边农田还田利用。</w:t>
      </w:r>
      <w:bookmarkEnd w:id="612"/>
      <w:bookmarkEnd w:id="613"/>
    </w:p>
    <w:p w14:paraId="6D6F8925">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outlineLvl w:val="2"/>
        <w:rPr>
          <w:rFonts w:hint="default" w:ascii="Times New Roman" w:hAnsi="Times New Roman" w:eastAsia="宋体" w:cs="Times New Roman"/>
          <w:color w:val="auto"/>
          <w:sz w:val="24"/>
          <w:szCs w:val="24"/>
          <w:highlight w:val="none"/>
        </w:rPr>
      </w:pPr>
      <w:bookmarkStart w:id="614" w:name="_Toc10201"/>
      <w:bookmarkStart w:id="615" w:name="_Toc6663"/>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病死牛</w:t>
      </w:r>
      <w:bookmarkEnd w:id="614"/>
      <w:bookmarkEnd w:id="615"/>
    </w:p>
    <w:p w14:paraId="003C821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企业的养殖规范要求，兽医需随时关注全场牛群的身体健康状况，如出现单体牛得病的情况，兽医需进行跟踪，如在进行治疗后仍不能治愈，实施活体淘汰，将其送到当地的定点屠宰场进行处理，如通过检疫，则可屠宰，如不满足检疫要求，则按照相关规定进行处理；因此在饲养过程中出现的死畜一般为病情发展较快而死亡的牛</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死犊等，其中以体弱的犊牛死亡较为多见。养殖过程由于疾病等原因产生的</w:t>
      </w:r>
      <w:r>
        <w:rPr>
          <w:rFonts w:hint="default" w:ascii="Times New Roman" w:hAnsi="Times New Roman" w:eastAsia="宋体" w:cs="Times New Roman"/>
          <w:color w:val="auto"/>
          <w:highlight w:val="none"/>
          <w:lang w:eastAsia="zh-CN"/>
        </w:rPr>
        <w:t>病死牛</w:t>
      </w:r>
      <w:r>
        <w:rPr>
          <w:rFonts w:hint="default" w:ascii="Times New Roman" w:hAnsi="Times New Roman" w:eastAsia="宋体" w:cs="Times New Roman"/>
          <w:color w:val="auto"/>
          <w:highlight w:val="none"/>
        </w:rPr>
        <w:t>交由巴彦淖尔市绿之源生物技术发展有限公司进行无害化处理，当疫情发展严重时，立刻隔离病死畜牛舍，并将疫情上报农牧业局动物疫病预防控制中心请求援助，并根据</w:t>
      </w:r>
      <w:r>
        <w:rPr>
          <w:rFonts w:hint="default" w:ascii="Times New Roman" w:hAnsi="Times New Roman" w:eastAsia="宋体" w:cs="Times New Roman"/>
          <w:color w:val="auto"/>
          <w:highlight w:val="none"/>
          <w:lang w:eastAsia="zh-CN"/>
        </w:rPr>
        <w:t>乌拉特前旗</w:t>
      </w:r>
      <w:r>
        <w:rPr>
          <w:rFonts w:hint="default" w:ascii="Times New Roman" w:hAnsi="Times New Roman" w:eastAsia="宋体" w:cs="Times New Roman"/>
          <w:color w:val="auto"/>
          <w:highlight w:val="none"/>
        </w:rPr>
        <w:t>农牧业局动物疫病预防控制中心指定方式指定地点指定方式处置病死畜。</w:t>
      </w:r>
    </w:p>
    <w:p w14:paraId="003964B5">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highlight w:val="none"/>
        </w:rPr>
        <w:t>巴彦淖尔市绿之源生物技术发展有限公司是一家集畜禽无害化处理、生物有机肥、动物油脂的销售于一体的公司，生产厂址</w:t>
      </w:r>
      <w:r>
        <w:rPr>
          <w:rFonts w:hint="default" w:ascii="Times New Roman" w:hAnsi="Times New Roman" w:eastAsia="宋体" w:cs="Times New Roman"/>
          <w:color w:val="auto"/>
          <w:highlight w:val="none"/>
          <w:lang w:eastAsia="zh-CN"/>
        </w:rPr>
        <w:t>位于</w:t>
      </w:r>
      <w:r>
        <w:rPr>
          <w:rFonts w:hint="default" w:ascii="Times New Roman" w:hAnsi="Times New Roman" w:eastAsia="宋体" w:cs="Times New Roman"/>
          <w:color w:val="auto"/>
          <w:highlight w:val="none"/>
        </w:rPr>
        <w:t>内蒙古巴彦淖尔市磴口工业园区，年处理病害动物能力达到8760吨（日处理能力达到24吨），该公司采用“原料储存→预碎输出→高温高压化制灭菌→卸压及废气处理→烘干→榨油脱脂→冷却粉碎→除尘及相关废气处理→储料→称重打包”化制法进行动物尸体无害化处理，满足《畜禽养殖业污染治理工程技术规范》（HJ497-2009）、《畜禽养殖业污染防治技术规范》（HJ/T81-2001）、《病死及病害动物无害化处理技术规范》（农医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sz w:val="24"/>
          <w:szCs w:val="24"/>
          <w:highlight w:val="none"/>
        </w:rPr>
        <w:t>017</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25号）等相关规范要求，因此项目动物尸体交由巴彦淖尔市绿之源生物技术发展有限公司进行无害化处理是可行的。</w:t>
      </w:r>
    </w:p>
    <w:p w14:paraId="0AD98ABF">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冷藏间：</w:t>
      </w:r>
    </w:p>
    <w:p w14:paraId="2C850DD6">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位于养殖区，</w:t>
      </w:r>
      <w:r>
        <w:rPr>
          <w:rFonts w:hint="default" w:ascii="Times New Roman" w:hAnsi="Times New Roman" w:eastAsia="宋体" w:cs="Times New Roman"/>
          <w:color w:val="auto"/>
          <w:sz w:val="24"/>
          <w:szCs w:val="24"/>
          <w:highlight w:val="none"/>
          <w:lang w:val="en-US" w:eastAsia="zh-CN"/>
        </w:rPr>
        <w:t>1层砖混结构，</w:t>
      </w:r>
      <w:r>
        <w:rPr>
          <w:rFonts w:hint="default" w:ascii="Times New Roman" w:hAnsi="Times New Roman" w:eastAsia="宋体" w:cs="Times New Roman"/>
          <w:color w:val="auto"/>
          <w:kern w:val="2"/>
          <w:sz w:val="24"/>
          <w:szCs w:val="24"/>
          <w:highlight w:val="none"/>
          <w:lang w:val="zh-CN" w:eastAsia="zh-CN" w:bidi="ar-SA"/>
        </w:rPr>
        <w:t>占地面积为</w:t>
      </w:r>
      <w:r>
        <w:rPr>
          <w:rFonts w:hint="default" w:ascii="Times New Roman" w:hAnsi="Times New Roman" w:eastAsia="宋体" w:cs="Times New Roman"/>
          <w:color w:val="auto"/>
          <w:kern w:val="2"/>
          <w:sz w:val="24"/>
          <w:szCs w:val="24"/>
          <w:highlight w:val="none"/>
          <w:lang w:val="en-US" w:eastAsia="zh-CN" w:bidi="ar-SA"/>
        </w:rPr>
        <w:t>50m</w:t>
      </w:r>
      <w:r>
        <w:rPr>
          <w:rFonts w:hint="default" w:ascii="Times New Roman" w:hAnsi="Times New Roman" w:eastAsia="宋体" w:cs="Times New Roman"/>
          <w:color w:val="auto"/>
          <w:kern w:val="2"/>
          <w:sz w:val="24"/>
          <w:szCs w:val="24"/>
          <w:highlight w:val="none"/>
          <w:vertAlign w:val="superscript"/>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，用于储存病死牛。</w:t>
      </w:r>
    </w:p>
    <w:p w14:paraId="6C2F2E63">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地面</w:t>
      </w:r>
      <w:r>
        <w:rPr>
          <w:rFonts w:hint="default" w:ascii="Times New Roman" w:hAnsi="Times New Roman" w:eastAsia="宋体" w:cs="Times New Roman"/>
          <w:color w:val="auto"/>
          <w:sz w:val="24"/>
          <w:szCs w:val="24"/>
          <w:highlight w:val="none"/>
          <w:lang w:val="en-US" w:eastAsia="zh-CN"/>
        </w:rPr>
        <w:t>选用PE膜+C25防渗混凝土，抗渗等级不小于P6级，</w:t>
      </w:r>
      <w:r>
        <w:rPr>
          <w:rFonts w:hint="default" w:ascii="Times New Roman" w:hAnsi="Times New Roman" w:eastAsia="宋体" w:cs="Times New Roman"/>
          <w:color w:val="auto"/>
          <w:kern w:val="0"/>
          <w:sz w:val="24"/>
          <w:szCs w:val="24"/>
          <w:highlight w:val="none"/>
        </w:rPr>
        <w:t>渗透系数≤10</w:t>
      </w:r>
      <w:r>
        <w:rPr>
          <w:rFonts w:hint="default" w:ascii="Times New Roman" w:hAnsi="Times New Roman" w:eastAsia="宋体" w:cs="Times New Roman"/>
          <w:color w:val="auto"/>
          <w:kern w:val="0"/>
          <w:sz w:val="24"/>
          <w:szCs w:val="24"/>
          <w:highlight w:val="none"/>
          <w:vertAlign w:val="superscript"/>
        </w:rPr>
        <w:t>-</w:t>
      </w:r>
      <w:r>
        <w:rPr>
          <w:rFonts w:hint="default" w:ascii="Times New Roman" w:hAnsi="Times New Roman" w:eastAsia="宋体" w:cs="Times New Roman"/>
          <w:color w:val="auto"/>
          <w:kern w:val="0"/>
          <w:sz w:val="24"/>
          <w:szCs w:val="24"/>
          <w:highlight w:val="none"/>
          <w:vertAlign w:val="superscript"/>
          <w:lang w:val="en-US" w:eastAsia="zh-CN"/>
        </w:rPr>
        <w:t>7</w:t>
      </w:r>
      <w:r>
        <w:rPr>
          <w:rFonts w:hint="default" w:ascii="Times New Roman" w:hAnsi="Times New Roman" w:eastAsia="宋体" w:cs="Times New Roman"/>
          <w:color w:val="auto"/>
          <w:kern w:val="0"/>
          <w:sz w:val="24"/>
          <w:szCs w:val="24"/>
          <w:highlight w:val="none"/>
        </w:rPr>
        <w:t>cm/s</w:t>
      </w:r>
      <w:r>
        <w:rPr>
          <w:rFonts w:hint="default" w:ascii="Times New Roman" w:hAnsi="Times New Roman" w:eastAsia="宋体" w:cs="Times New Roman"/>
          <w:color w:val="auto"/>
          <w:kern w:val="2"/>
          <w:sz w:val="24"/>
          <w:szCs w:val="24"/>
          <w:highlight w:val="none"/>
          <w:lang w:val="en-US" w:eastAsia="zh-CN" w:bidi="ar-SA"/>
        </w:rPr>
        <w:t>。</w:t>
      </w:r>
    </w:p>
    <w:p w14:paraId="71FAD6F0">
      <w:pPr>
        <w:pageBreakBefore w:val="0"/>
        <w:kinsoku/>
        <w:wordWrap/>
        <w:bidi w:val="0"/>
        <w:snapToGrid w:val="0"/>
        <w:spacing w:line="360" w:lineRule="auto"/>
        <w:ind w:left="0" w:leftChars="0" w:right="0" w:rightChars="0" w:firstLine="480"/>
        <w:outlineLvl w:val="2"/>
        <w:rPr>
          <w:rFonts w:hint="default" w:ascii="Times New Roman" w:hAnsi="Times New Roman" w:eastAsia="宋体" w:cs="Times New Roman"/>
          <w:color w:val="auto"/>
          <w:highlight w:val="none"/>
          <w:lang w:eastAsia="zh-CN"/>
        </w:rPr>
      </w:pPr>
      <w:bookmarkStart w:id="616" w:name="_Toc32560"/>
      <w:bookmarkStart w:id="617" w:name="_Toc31912"/>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eastAsia="zh-CN"/>
        </w:rPr>
        <w:t>）</w:t>
      </w:r>
      <w:bookmarkEnd w:id="616"/>
      <w:bookmarkEnd w:id="617"/>
      <w:r>
        <w:rPr>
          <w:rFonts w:hint="default" w:ascii="Times New Roman" w:hAnsi="Times New Roman" w:eastAsia="宋体" w:cs="Times New Roman"/>
          <w:color w:val="auto"/>
          <w:highlight w:val="none"/>
          <w:lang w:eastAsia="zh-CN"/>
        </w:rPr>
        <w:t>医疗垃圾</w:t>
      </w:r>
    </w:p>
    <w:p w14:paraId="22983D2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医疗垃圾主要产生于防疫、检查过程中所产生的消毒和医用品废弃物</w:t>
      </w:r>
      <w:r>
        <w:rPr>
          <w:rFonts w:hint="default" w:ascii="Times New Roman" w:hAnsi="Times New Roman" w:eastAsia="宋体" w:cs="Times New Roman"/>
          <w:color w:val="auto"/>
          <w:highlight w:val="none"/>
          <w:lang w:val="en-US" w:eastAsia="zh-CN"/>
        </w:rPr>
        <w:t>等</w:t>
      </w:r>
      <w:r>
        <w:rPr>
          <w:rFonts w:hint="default" w:ascii="Times New Roman" w:hAnsi="Times New Roman" w:eastAsia="宋体" w:cs="Times New Roman"/>
          <w:color w:val="auto"/>
          <w:highlight w:val="none"/>
        </w:rPr>
        <w:t>，根据《医疗废物管理条例》中的要求，</w:t>
      </w:r>
      <w:r>
        <w:rPr>
          <w:rFonts w:hint="default" w:ascii="Times New Roman" w:hAnsi="Times New Roman" w:eastAsia="宋体" w:cs="Times New Roman"/>
          <w:color w:val="auto"/>
          <w:highlight w:val="none"/>
          <w:lang w:eastAsia="zh-CN"/>
        </w:rPr>
        <w:t>医疗垃圾</w:t>
      </w:r>
      <w:r>
        <w:rPr>
          <w:rFonts w:hint="default" w:ascii="Times New Roman" w:hAnsi="Times New Roman" w:eastAsia="宋体" w:cs="Times New Roman"/>
          <w:color w:val="auto"/>
          <w:highlight w:val="none"/>
        </w:rPr>
        <w:t>经危废暂存间医疗隔间临时储存后交由有</w:t>
      </w:r>
      <w:r>
        <w:rPr>
          <w:rFonts w:hint="default" w:ascii="Times New Roman" w:hAnsi="Times New Roman" w:eastAsia="宋体" w:cs="Times New Roman"/>
          <w:color w:val="auto"/>
          <w:highlight w:val="none"/>
          <w:lang w:eastAsia="zh-CN"/>
        </w:rPr>
        <w:t>医疗垃圾</w:t>
      </w:r>
      <w:r>
        <w:rPr>
          <w:rFonts w:hint="default" w:ascii="Times New Roman" w:hAnsi="Times New Roman" w:eastAsia="宋体" w:cs="Times New Roman"/>
          <w:color w:val="auto"/>
          <w:highlight w:val="none"/>
        </w:rPr>
        <w:t>处理资质的单位进行集中清运、处理。</w:t>
      </w:r>
    </w:p>
    <w:p w14:paraId="42389ABE">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危废暂存间</w:t>
      </w:r>
      <w:r>
        <w:rPr>
          <w:rFonts w:hint="default" w:ascii="Times New Roman" w:hAnsi="Times New Roman" w:eastAsia="宋体" w:cs="Times New Roman"/>
          <w:color w:val="auto"/>
          <w:highlight w:val="none"/>
          <w:lang w:eastAsia="zh-CN"/>
        </w:rPr>
        <w:t>：</w:t>
      </w:r>
    </w:p>
    <w:p w14:paraId="0527D369">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eastAsia="zh-CN"/>
        </w:rPr>
        <w:t>危废暂存间</w:t>
      </w:r>
      <w:r>
        <w:rPr>
          <w:rFonts w:hint="default" w:ascii="Times New Roman" w:hAnsi="Times New Roman" w:eastAsia="宋体" w:cs="Times New Roman"/>
          <w:color w:val="auto"/>
          <w:highlight w:val="none"/>
        </w:rPr>
        <w:t>面积设置为10m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，建设按照《危险废物贮存污染控制标准》（</w:t>
      </w:r>
      <w:r>
        <w:rPr>
          <w:rFonts w:hint="default" w:ascii="Times New Roman" w:hAnsi="Times New Roman" w:eastAsia="宋体" w:cs="Times New Roman"/>
          <w:color w:val="auto"/>
          <w:highlight w:val="none"/>
          <w:lang w:eastAsia="zh-CN"/>
        </w:rPr>
        <w:t>GB18597-2023</w:t>
      </w:r>
      <w:r>
        <w:rPr>
          <w:rFonts w:hint="default" w:ascii="Times New Roman" w:hAnsi="Times New Roman" w:eastAsia="宋体" w:cs="Times New Roman"/>
          <w:color w:val="auto"/>
          <w:highlight w:val="none"/>
        </w:rPr>
        <w:t>）、《医疗卫生机构医疗废物管理办法》和《危险废物污染防治技术政策》的要求设置。暂存间地面铺HDPE膜防渗，渗透系数</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highlight w:val="none"/>
        </w:rPr>
        <w:t>10</w:t>
      </w:r>
      <w:r>
        <w:rPr>
          <w:rFonts w:hint="default" w:ascii="Times New Roman" w:hAnsi="Times New Roman" w:eastAsia="宋体" w:cs="Times New Roman"/>
          <w:color w:val="auto"/>
          <w:highlight w:val="none"/>
          <w:vertAlign w:val="superscript"/>
        </w:rPr>
        <w:t>-10</w:t>
      </w:r>
      <w:r>
        <w:rPr>
          <w:rFonts w:hint="default" w:ascii="Times New Roman" w:hAnsi="Times New Roman" w:eastAsia="宋体" w:cs="Times New Roman"/>
          <w:color w:val="auto"/>
          <w:highlight w:val="none"/>
        </w:rPr>
        <w:t>cm/s。暂存间的地面与裙脚要用坚固、防渗的材料建造，建筑材料必须与危险废物相容。常温下贮存期不得超过1天，于5</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以下冷藏的，不得超过7天。危险废物垃圾集中收集暂存、转移委外处理过程中，建设单位须按照相关规定填报转移联单，做好台账。</w:t>
      </w:r>
    </w:p>
    <w:p w14:paraId="35ED6BDE">
      <w:pPr>
        <w:pageBreakBefore w:val="0"/>
        <w:kinsoku/>
        <w:wordWrap/>
        <w:bidi w:val="0"/>
        <w:snapToGrid w:val="0"/>
        <w:spacing w:line="360" w:lineRule="auto"/>
        <w:ind w:left="0" w:leftChars="0" w:right="0" w:rightChars="0" w:firstLine="480"/>
        <w:outlineLvl w:val="2"/>
        <w:rPr>
          <w:rFonts w:hint="default" w:ascii="Times New Roman" w:hAnsi="Times New Roman" w:eastAsia="宋体" w:cs="Times New Roman"/>
          <w:color w:val="auto"/>
          <w:highlight w:val="none"/>
        </w:rPr>
      </w:pPr>
      <w:bookmarkStart w:id="618" w:name="_Toc6469"/>
      <w:bookmarkStart w:id="619" w:name="_Toc5460"/>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生活垃圾</w:t>
      </w:r>
      <w:bookmarkEnd w:id="618"/>
      <w:bookmarkEnd w:id="619"/>
    </w:p>
    <w:p w14:paraId="64E4AC5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生活垃圾经分类收集后，定期清运至当地</w:t>
      </w:r>
      <w:r>
        <w:rPr>
          <w:rFonts w:hint="default" w:ascii="Times New Roman" w:hAnsi="Times New Roman" w:eastAsia="宋体" w:cs="Times New Roman"/>
          <w:color w:val="auto"/>
          <w:highlight w:val="none"/>
          <w:lang w:eastAsia="zh-CN"/>
        </w:rPr>
        <w:t>环卫部门</w:t>
      </w:r>
      <w:r>
        <w:rPr>
          <w:rFonts w:hint="default" w:ascii="Times New Roman" w:hAnsi="Times New Roman" w:eastAsia="宋体" w:cs="Times New Roman"/>
          <w:color w:val="auto"/>
          <w:highlight w:val="none"/>
        </w:rPr>
        <w:t>指定地点集中处置。</w:t>
      </w:r>
    </w:p>
    <w:p w14:paraId="449976D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根据以上的分析可知，本项目所采取的固体废物污染物防治措施是可行的。</w:t>
      </w:r>
    </w:p>
    <w:p w14:paraId="767616E5">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620" w:name="_Toc18522"/>
      <w:r>
        <w:rPr>
          <w:rFonts w:hint="default" w:ascii="Times New Roman" w:hAnsi="Times New Roman" w:eastAsia="宋体" w:cs="Times New Roman"/>
          <w:color w:val="auto"/>
          <w:highlight w:val="none"/>
        </w:rPr>
        <w:t>7.7.2危险废物管理</w:t>
      </w:r>
      <w:bookmarkEnd w:id="620"/>
    </w:p>
    <w:p w14:paraId="01C6B72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危险废物环境管理相关规定</w:t>
      </w:r>
    </w:p>
    <w:p w14:paraId="3351179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危险废物环境管理应按照《中华人民共和国固体废物污染环境防治法</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国家危险废物名录</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危险废物贮存污染控制标准</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危险废物污染防治技术政策》等相关规定执行，对危险废物的产生、收集、运输、分类、检测、包装、综合利用、贮存和处理等进行全过程控制，使危险废物减量化、资源化和无害化。</w:t>
      </w:r>
    </w:p>
    <w:p w14:paraId="2B317B5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项目建设单位必须执行国家的有关</w:t>
      </w:r>
      <w:r>
        <w:rPr>
          <w:rFonts w:hint="default" w:ascii="Times New Roman" w:hAnsi="Times New Roman" w:eastAsia="宋体" w:cs="Times New Roman"/>
          <w:color w:val="auto"/>
          <w:highlight w:val="none"/>
          <w:lang w:eastAsia="zh-CN"/>
        </w:rPr>
        <w:t>法律法规</w:t>
      </w:r>
      <w:r>
        <w:rPr>
          <w:rFonts w:hint="default" w:ascii="Times New Roman" w:hAnsi="Times New Roman" w:eastAsia="宋体" w:cs="Times New Roman"/>
          <w:color w:val="auto"/>
          <w:highlight w:val="none"/>
        </w:rPr>
        <w:t>，自觉接受环保部门的监督和日常检查，在危险废物管理工作中应做到：</w:t>
      </w:r>
    </w:p>
    <w:p w14:paraId="47381B8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①在项目审批登记时应填写《危险废物申报单》，正式投产后，应</w:t>
      </w:r>
      <w:r>
        <w:rPr>
          <w:rFonts w:hint="default" w:ascii="Times New Roman" w:hAnsi="Times New Roman" w:eastAsia="宋体" w:cs="Times New Roman"/>
          <w:color w:val="auto"/>
          <w:highlight w:val="none"/>
          <w:lang w:eastAsia="zh-CN"/>
        </w:rPr>
        <w:t>受理</w:t>
      </w:r>
      <w:r>
        <w:rPr>
          <w:rFonts w:hint="default" w:ascii="Times New Roman" w:hAnsi="Times New Roman" w:eastAsia="宋体" w:cs="Times New Roman"/>
          <w:color w:val="auto"/>
          <w:highlight w:val="none"/>
        </w:rPr>
        <w:t>危险废物申报登记手续，填写《危险废物申报登记》，当生产或废物产生情况与申报登记发生较大变化时应及时办理登记手续。</w:t>
      </w:r>
    </w:p>
    <w:p w14:paraId="66EAA27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②必须按照有关危险废物包装、标识及贮存技术规范的要求建设危险废物污染防治设施。收集、贮存、运输、利用、处置危险废物的设施、场所，必须设置危险废物识别标志。</w:t>
      </w:r>
    </w:p>
    <w:p w14:paraId="5242ED1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③制定危险废物管理计划：内容齐全，危险废物的产生环节、种类、危害特性、产生量、利用处置方式描述清晰：报环保部门备案。</w:t>
      </w:r>
    </w:p>
    <w:p w14:paraId="1B3D674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④应建立危险废物岗位操作管理制度。</w:t>
      </w:r>
    </w:p>
    <w:p w14:paraId="4013B63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⑤必须将其危险废物交给有“危险废物经营许可证”的单位进行运输、利用、处理、处置，严禁擅自倾倒、混入生活垃圾中处置。</w:t>
      </w:r>
    </w:p>
    <w:p w14:paraId="56EF580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⑥与危险废物处理处置单位签订废物处理合同。</w:t>
      </w:r>
    </w:p>
    <w:p w14:paraId="63C7D18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7 \* GB3 \* MERGEFORMAT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⑦</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转移危险废物时需严格按照要求填写《危险废物转移联单</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危险废物管理手册》季报表。制定培训计划，并开展相关培训。</w:t>
      </w:r>
    </w:p>
    <w:p w14:paraId="7BCA69A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根据上述分析可知，项目产生的危险废物经过合理</w:t>
      </w:r>
      <w:r>
        <w:rPr>
          <w:rFonts w:hint="default" w:ascii="Times New Roman" w:hAnsi="Times New Roman" w:eastAsia="宋体" w:cs="Times New Roman"/>
          <w:color w:val="auto"/>
          <w:highlight w:val="none"/>
          <w:lang w:eastAsia="zh-CN"/>
        </w:rPr>
        <w:t>的</w:t>
      </w:r>
      <w:r>
        <w:rPr>
          <w:rFonts w:hint="default" w:ascii="Times New Roman" w:hAnsi="Times New Roman" w:eastAsia="宋体" w:cs="Times New Roman"/>
          <w:color w:val="auto"/>
          <w:highlight w:val="none"/>
        </w:rPr>
        <w:t>处理后，不外排，实现了固体废物零排放。</w:t>
      </w:r>
    </w:p>
    <w:p w14:paraId="3C32847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本项目在采取有效的措施后，能利用的废物均被有效利用，不能利用的固废也均能得到妥善处置，实现了固体废物零排放，因此本项目排放的固体废物经上述处理后不会对周围环境产生影响。</w:t>
      </w:r>
    </w:p>
    <w:p w14:paraId="3680C8CF">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621" w:name="_Toc471227807"/>
      <w:bookmarkStart w:id="622" w:name="_Toc12576"/>
      <w:r>
        <w:rPr>
          <w:rFonts w:hint="default" w:ascii="Times New Roman" w:hAnsi="Times New Roman" w:eastAsia="宋体" w:cs="Times New Roman"/>
          <w:color w:val="auto"/>
          <w:highlight w:val="none"/>
        </w:rPr>
        <w:t>7.8粪污资源化利用措施可行性分析</w:t>
      </w:r>
      <w:bookmarkEnd w:id="621"/>
      <w:bookmarkEnd w:id="622"/>
    </w:p>
    <w:p w14:paraId="5677757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根据《畜禽养殖污染防治管理办法》</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国家环境保护总局9号令</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、《畜禽养殖业污染物排放标准》</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GB18596-2001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、《畜禽养殖业污染防治技术规范》</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HJ/T81</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2001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畜禽养殖业污染治理工程技术规范》（HJ497-2009）等的相关要求，畜禽养殖业的污染防治应优先考虑综合利用和资源化的技术路线，以“资源化利用、容量化控制、减量化处置、无害化处理、生态化发展、低廉化治理”为原则，以管促</w:t>
      </w:r>
      <w:r>
        <w:rPr>
          <w:rFonts w:hint="default" w:ascii="Times New Roman" w:hAnsi="Times New Roman" w:eastAsia="宋体" w:cs="Times New Roman"/>
          <w:color w:val="auto"/>
          <w:highlight w:val="none"/>
          <w:lang w:eastAsia="zh-CN"/>
        </w:rPr>
        <w:t>治</w:t>
      </w:r>
      <w:r>
        <w:rPr>
          <w:rFonts w:hint="default" w:ascii="Times New Roman" w:hAnsi="Times New Roman" w:eastAsia="宋体" w:cs="Times New Roman"/>
          <w:color w:val="auto"/>
          <w:highlight w:val="none"/>
        </w:rPr>
        <w:t>，化害为利，变废为宝，将畜禽养殖产生的废物转化为种植业可利用的资源，最终实现种养结合、互为促进的良性生态农业生产链，促进农业生产和生态环境的协调发展。</w:t>
      </w:r>
    </w:p>
    <w:p w14:paraId="1DD6DAF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本次评价的环境保护措施主要从“资源化利用、容量化控制、减量化处置、无害化处理、生态化发展、低廉化治理”等方面进行经济、技术论证。</w:t>
      </w:r>
    </w:p>
    <w:p w14:paraId="43B6EF79">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623" w:name="_Toc2744"/>
      <w:r>
        <w:rPr>
          <w:rFonts w:hint="default" w:ascii="Times New Roman" w:hAnsi="Times New Roman" w:eastAsia="宋体" w:cs="Times New Roman"/>
          <w:color w:val="auto"/>
          <w:highlight w:val="none"/>
        </w:rPr>
        <w:t>7.8.1粪污资源化利用可行性</w:t>
      </w:r>
      <w:bookmarkEnd w:id="623"/>
    </w:p>
    <w:p w14:paraId="550A1F8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eastAsia="zh-CN"/>
        </w:rPr>
        <w:t>牛粪便产生</w:t>
      </w:r>
      <w:r>
        <w:rPr>
          <w:rFonts w:hint="default" w:ascii="Times New Roman" w:hAnsi="Times New Roman" w:eastAsia="宋体" w:cs="Times New Roman"/>
          <w:color w:val="auto"/>
          <w:highlight w:val="none"/>
        </w:rPr>
        <w:t>量为</w:t>
      </w:r>
      <w:r>
        <w:rPr>
          <w:rFonts w:hint="default" w:ascii="Times New Roman" w:hAnsi="Times New Roman" w:eastAsia="宋体" w:cs="Times New Roman"/>
          <w:color w:val="auto"/>
          <w:szCs w:val="21"/>
          <w:highlight w:val="none"/>
          <w:lang w:val="en-US" w:eastAsia="zh-CN"/>
        </w:rPr>
        <w:t>9928</w:t>
      </w:r>
      <w:r>
        <w:rPr>
          <w:rFonts w:hint="default" w:ascii="Times New Roman" w:hAnsi="Times New Roman" w:eastAsia="宋体" w:cs="Times New Roman"/>
          <w:color w:val="auto"/>
          <w:highlight w:val="none"/>
        </w:rPr>
        <w:t>t/a，</w:t>
      </w:r>
      <w:r>
        <w:rPr>
          <w:rFonts w:hint="default" w:ascii="Times New Roman" w:hAnsi="Times New Roman" w:eastAsia="宋体" w:cs="Times New Roman"/>
          <w:color w:val="060BEA"/>
          <w:highlight w:val="none"/>
        </w:rPr>
        <w:t>项目采用“（固）堆肥发酵+土地消纳”</w:t>
      </w:r>
      <w:r>
        <w:rPr>
          <w:rFonts w:hint="default" w:ascii="Times New Roman" w:hAnsi="Times New Roman" w:eastAsia="宋体" w:cs="Times New Roman"/>
          <w:color w:val="auto"/>
          <w:highlight w:val="none"/>
        </w:rPr>
        <w:t>的种养结合的</w:t>
      </w:r>
      <w:r>
        <w:rPr>
          <w:rFonts w:hint="default" w:ascii="Times New Roman" w:hAnsi="Times New Roman" w:eastAsia="宋体" w:cs="Times New Roman"/>
          <w:color w:val="auto"/>
          <w:highlight w:val="none"/>
          <w:lang w:eastAsia="zh-CN"/>
        </w:rPr>
        <w:t>有机肥</w:t>
      </w:r>
      <w:r>
        <w:rPr>
          <w:rFonts w:hint="default" w:ascii="Times New Roman" w:hAnsi="Times New Roman" w:eastAsia="宋体" w:cs="Times New Roman"/>
          <w:color w:val="auto"/>
          <w:highlight w:val="none"/>
        </w:rPr>
        <w:t>资源化利用处理模式，堆肥处理后，</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经完全发酵后</w:t>
      </w:r>
      <w:r>
        <w:rPr>
          <w:rFonts w:hint="default" w:ascii="Times New Roman" w:hAnsi="Times New Roman" w:eastAsia="宋体" w:cs="Times New Roman"/>
          <w:color w:val="auto"/>
          <w:highlight w:val="none"/>
          <w:lang w:eastAsia="zh-CN"/>
        </w:rPr>
        <w:t>，形成</w:t>
      </w:r>
      <w:r>
        <w:rPr>
          <w:rFonts w:hint="default" w:ascii="Times New Roman" w:hAnsi="Times New Roman" w:eastAsia="宋体" w:cs="Times New Roman"/>
          <w:color w:val="auto"/>
          <w:highlight w:val="none"/>
        </w:rPr>
        <w:t>有机肥</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每半年还田一次，实现粪便的资源化综合利用。</w:t>
      </w:r>
      <w:r>
        <w:rPr>
          <w:rFonts w:hint="default" w:ascii="Times New Roman" w:hAnsi="Times New Roman" w:eastAsia="宋体" w:cs="Times New Roman"/>
          <w:color w:val="060BEA"/>
          <w:highlight w:val="none"/>
          <w:lang w:eastAsia="zh-CN"/>
        </w:rPr>
        <w:t>粪污处理池</w:t>
      </w:r>
      <w:r>
        <w:rPr>
          <w:rFonts w:hint="default" w:ascii="Times New Roman" w:hAnsi="Times New Roman" w:eastAsia="宋体" w:cs="Times New Roman"/>
          <w:color w:val="060BEA"/>
          <w:highlight w:val="none"/>
        </w:rPr>
        <w:t>占地面积</w:t>
      </w:r>
      <w:r>
        <w:rPr>
          <w:rFonts w:hint="default" w:ascii="Times New Roman" w:hAnsi="Times New Roman" w:eastAsia="宋体" w:cs="Times New Roman"/>
          <w:color w:val="060BEA"/>
          <w:highlight w:val="none"/>
          <w:lang w:val="en-US" w:eastAsia="zh-CN"/>
        </w:rPr>
        <w:t>2700</w:t>
      </w:r>
      <w:r>
        <w:rPr>
          <w:rFonts w:hint="default" w:ascii="Times New Roman" w:hAnsi="Times New Roman" w:eastAsia="宋体" w:cs="Times New Roman"/>
          <w:color w:val="060BEA"/>
          <w:highlight w:val="none"/>
        </w:rPr>
        <w:t>m</w:t>
      </w:r>
      <w:r>
        <w:rPr>
          <w:rFonts w:hint="default" w:ascii="Times New Roman" w:hAnsi="Times New Roman" w:eastAsia="宋体" w:cs="Times New Roman"/>
          <w:color w:val="060BEA"/>
          <w:highlight w:val="none"/>
          <w:vertAlign w:val="superscript"/>
        </w:rPr>
        <w:t>2</w:t>
      </w:r>
      <w:r>
        <w:rPr>
          <w:rFonts w:hint="default" w:ascii="Times New Roman" w:hAnsi="Times New Roman" w:eastAsia="宋体" w:cs="Times New Roman"/>
          <w:color w:val="060BEA"/>
          <w:highlight w:val="none"/>
        </w:rPr>
        <w:t>，容积为</w:t>
      </w:r>
      <w:r>
        <w:rPr>
          <w:rFonts w:hint="default" w:ascii="Times New Roman" w:hAnsi="Times New Roman" w:eastAsia="宋体" w:cs="Times New Roman"/>
          <w:color w:val="060BEA"/>
          <w:highlight w:val="none"/>
          <w:lang w:val="en-US" w:eastAsia="zh-CN"/>
        </w:rPr>
        <w:t>3200</w:t>
      </w:r>
      <w:r>
        <w:rPr>
          <w:rFonts w:hint="default" w:ascii="Times New Roman" w:hAnsi="Times New Roman" w:eastAsia="宋体" w:cs="Times New Roman"/>
          <w:color w:val="060BEA"/>
          <w:highlight w:val="none"/>
        </w:rPr>
        <w:t>m</w:t>
      </w:r>
      <w:r>
        <w:rPr>
          <w:rFonts w:hint="default" w:ascii="Times New Roman" w:hAnsi="Times New Roman" w:eastAsia="宋体" w:cs="Times New Roman"/>
          <w:color w:val="060BEA"/>
          <w:highlight w:val="none"/>
          <w:vertAlign w:val="superscript"/>
        </w:rPr>
        <w:t>3</w:t>
      </w:r>
      <w:r>
        <w:rPr>
          <w:rFonts w:hint="default" w:ascii="Times New Roman" w:hAnsi="Times New Roman" w:eastAsia="宋体" w:cs="Times New Roman"/>
          <w:color w:val="060BEA"/>
          <w:highlight w:val="none"/>
          <w:lang w:eastAsia="zh-CN"/>
        </w:rPr>
        <w:t>，</w:t>
      </w:r>
      <w:r>
        <w:rPr>
          <w:rFonts w:hint="default" w:ascii="Times New Roman" w:hAnsi="Times New Roman" w:eastAsia="宋体" w:cs="Times New Roman"/>
          <w:color w:val="060BEA"/>
          <w:highlight w:val="none"/>
          <w:lang w:val="en-US" w:eastAsia="zh-CN"/>
        </w:rPr>
        <w:t>北侧2000m</w:t>
      </w:r>
      <w:r>
        <w:rPr>
          <w:rFonts w:hint="default" w:ascii="Times New Roman" w:hAnsi="Times New Roman" w:eastAsia="宋体" w:cs="Times New Roman"/>
          <w:color w:val="060BEA"/>
          <w:highlight w:val="none"/>
          <w:vertAlign w:val="superscript"/>
          <w:lang w:val="en-US" w:eastAsia="zh-CN"/>
        </w:rPr>
        <w:t>2</w:t>
      </w:r>
      <w:r>
        <w:rPr>
          <w:rFonts w:hint="default" w:ascii="Times New Roman" w:hAnsi="Times New Roman" w:eastAsia="宋体" w:cs="Times New Roman"/>
          <w:color w:val="060BEA"/>
          <w:highlight w:val="none"/>
          <w:lang w:val="en-US" w:eastAsia="zh-CN"/>
        </w:rPr>
        <w:t>为堆肥区，南侧700m</w:t>
      </w:r>
      <w:r>
        <w:rPr>
          <w:rFonts w:hint="default" w:ascii="Times New Roman" w:hAnsi="Times New Roman" w:eastAsia="宋体" w:cs="Times New Roman"/>
          <w:color w:val="060BEA"/>
          <w:highlight w:val="none"/>
          <w:vertAlign w:val="superscript"/>
          <w:lang w:val="en-US" w:eastAsia="zh-CN"/>
        </w:rPr>
        <w:t>2</w:t>
      </w:r>
      <w:r>
        <w:rPr>
          <w:rFonts w:hint="default" w:ascii="Times New Roman" w:hAnsi="Times New Roman" w:eastAsia="宋体" w:cs="Times New Roman"/>
          <w:color w:val="060BEA"/>
          <w:highlight w:val="none"/>
          <w:lang w:val="en-US" w:eastAsia="zh-CN"/>
        </w:rPr>
        <w:t>为储存区。</w:t>
      </w:r>
    </w:p>
    <w:p w14:paraId="5D254A0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牛的粪便中含有N、P、K、微量矿物质、各种有机物等，而作物的生长也正是需要N、P、K、微量矿物质、各种有机物等。基于这个事实，项目通过对牛的粪便进行收集、储存、运输，最后还田，达到既充分利用</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的营养价值</w:t>
      </w:r>
      <w:r>
        <w:rPr>
          <w:rFonts w:hint="default" w:ascii="Times New Roman" w:hAnsi="Times New Roman" w:eastAsia="宋体" w:cs="Times New Roman"/>
          <w:color w:val="auto"/>
          <w:highlight w:val="none"/>
          <w:lang w:eastAsia="zh-CN"/>
        </w:rPr>
        <w:t>又很好地</w:t>
      </w:r>
      <w:r>
        <w:rPr>
          <w:rFonts w:hint="default" w:ascii="Times New Roman" w:hAnsi="Times New Roman" w:eastAsia="宋体" w:cs="Times New Roman"/>
          <w:color w:val="auto"/>
          <w:highlight w:val="none"/>
        </w:rPr>
        <w:t>解决了</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对环境的污染难题，变害为宝。</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的主要成分见下表。</w:t>
      </w:r>
    </w:p>
    <w:p w14:paraId="25892CA3">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表7.8-1</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组成表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25"/>
        <w:gridCol w:w="1229"/>
        <w:gridCol w:w="832"/>
        <w:gridCol w:w="832"/>
        <w:gridCol w:w="832"/>
        <w:gridCol w:w="832"/>
        <w:gridCol w:w="832"/>
        <w:gridCol w:w="832"/>
        <w:gridCol w:w="831"/>
      </w:tblGrid>
      <w:tr w14:paraId="38CE6E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42" w:type="dxa"/>
            <w:tcBorders>
              <w:top w:val="single" w:color="auto" w:sz="4" w:space="0"/>
              <w:left w:val="single" w:color="auto" w:sz="4" w:space="0"/>
              <w:bottom w:val="single" w:color="auto" w:sz="4" w:space="0"/>
              <w:right w:val="single" w:color="auto" w:sz="4" w:space="0"/>
            </w:tcBorders>
            <w:vAlign w:val="center"/>
          </w:tcPr>
          <w:p w14:paraId="6473FF3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粪便组成</w:t>
            </w:r>
          </w:p>
        </w:tc>
        <w:tc>
          <w:tcPr>
            <w:tcW w:w="1345" w:type="dxa"/>
            <w:tcBorders>
              <w:top w:val="single" w:color="auto" w:sz="4" w:space="0"/>
              <w:left w:val="single" w:color="auto" w:sz="4" w:space="0"/>
              <w:bottom w:val="single" w:color="auto" w:sz="4" w:space="0"/>
              <w:right w:val="single" w:color="auto" w:sz="4" w:space="0"/>
            </w:tcBorders>
            <w:vAlign w:val="center"/>
          </w:tcPr>
          <w:p w14:paraId="59BFC07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挥发性固体</w:t>
            </w:r>
          </w:p>
        </w:tc>
        <w:tc>
          <w:tcPr>
            <w:tcW w:w="902" w:type="dxa"/>
            <w:tcBorders>
              <w:top w:val="single" w:color="auto" w:sz="4" w:space="0"/>
              <w:left w:val="single" w:color="auto" w:sz="4" w:space="0"/>
              <w:bottom w:val="single" w:color="auto" w:sz="4" w:space="0"/>
              <w:right w:val="single" w:color="auto" w:sz="4" w:space="0"/>
            </w:tcBorders>
            <w:vAlign w:val="center"/>
          </w:tcPr>
          <w:p w14:paraId="0FCA343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粗脂肪</w:t>
            </w:r>
          </w:p>
        </w:tc>
        <w:tc>
          <w:tcPr>
            <w:tcW w:w="902" w:type="dxa"/>
            <w:tcBorders>
              <w:top w:val="single" w:color="auto" w:sz="4" w:space="0"/>
              <w:left w:val="single" w:color="auto" w:sz="4" w:space="0"/>
              <w:bottom w:val="single" w:color="auto" w:sz="4" w:space="0"/>
              <w:right w:val="single" w:color="auto" w:sz="4" w:space="0"/>
            </w:tcBorders>
            <w:vAlign w:val="center"/>
          </w:tcPr>
          <w:p w14:paraId="164C165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木质素</w:t>
            </w:r>
          </w:p>
        </w:tc>
        <w:tc>
          <w:tcPr>
            <w:tcW w:w="902" w:type="dxa"/>
            <w:tcBorders>
              <w:top w:val="single" w:color="auto" w:sz="4" w:space="0"/>
              <w:left w:val="single" w:color="auto" w:sz="4" w:space="0"/>
              <w:bottom w:val="single" w:color="auto" w:sz="4" w:space="0"/>
              <w:right w:val="single" w:color="auto" w:sz="4" w:space="0"/>
            </w:tcBorders>
            <w:vAlign w:val="center"/>
          </w:tcPr>
          <w:p w14:paraId="570AE6A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纤维素</w:t>
            </w:r>
          </w:p>
        </w:tc>
        <w:tc>
          <w:tcPr>
            <w:tcW w:w="903" w:type="dxa"/>
            <w:tcBorders>
              <w:top w:val="single" w:color="auto" w:sz="4" w:space="0"/>
              <w:left w:val="single" w:color="auto" w:sz="4" w:space="0"/>
              <w:bottom w:val="single" w:color="auto" w:sz="4" w:space="0"/>
              <w:right w:val="single" w:color="auto" w:sz="4" w:space="0"/>
            </w:tcBorders>
            <w:vAlign w:val="center"/>
          </w:tcPr>
          <w:p w14:paraId="385B804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蛋白质</w:t>
            </w:r>
          </w:p>
        </w:tc>
        <w:tc>
          <w:tcPr>
            <w:tcW w:w="903" w:type="dxa"/>
            <w:tcBorders>
              <w:top w:val="single" w:color="auto" w:sz="4" w:space="0"/>
              <w:left w:val="single" w:color="auto" w:sz="4" w:space="0"/>
              <w:bottom w:val="single" w:color="auto" w:sz="4" w:space="0"/>
              <w:right w:val="single" w:color="auto" w:sz="4" w:space="0"/>
            </w:tcBorders>
            <w:vAlign w:val="center"/>
          </w:tcPr>
          <w:p w14:paraId="30F6962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含氮量</w:t>
            </w:r>
          </w:p>
        </w:tc>
        <w:tc>
          <w:tcPr>
            <w:tcW w:w="903" w:type="dxa"/>
            <w:tcBorders>
              <w:top w:val="single" w:color="auto" w:sz="4" w:space="0"/>
              <w:left w:val="single" w:color="auto" w:sz="4" w:space="0"/>
              <w:bottom w:val="single" w:color="auto" w:sz="4" w:space="0"/>
              <w:right w:val="single" w:color="auto" w:sz="4" w:space="0"/>
            </w:tcBorders>
            <w:vAlign w:val="center"/>
          </w:tcPr>
          <w:p w14:paraId="65DCD1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含碳量</w:t>
            </w:r>
          </w:p>
        </w:tc>
        <w:tc>
          <w:tcPr>
            <w:tcW w:w="901" w:type="dxa"/>
            <w:tcBorders>
              <w:top w:val="single" w:color="auto" w:sz="4" w:space="0"/>
              <w:left w:val="single" w:color="auto" w:sz="4" w:space="0"/>
              <w:bottom w:val="single" w:color="auto" w:sz="4" w:space="0"/>
              <w:right w:val="single" w:color="auto" w:sz="4" w:space="0"/>
            </w:tcBorders>
            <w:vAlign w:val="center"/>
          </w:tcPr>
          <w:p w14:paraId="42284AD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碳氮比</w:t>
            </w:r>
          </w:p>
        </w:tc>
      </w:tr>
      <w:tr w14:paraId="0C678A6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42" w:type="dxa"/>
            <w:tcBorders>
              <w:top w:val="single" w:color="auto" w:sz="4" w:space="0"/>
              <w:left w:val="single" w:color="auto" w:sz="4" w:space="0"/>
              <w:bottom w:val="single" w:color="auto" w:sz="4" w:space="0"/>
              <w:right w:val="single" w:color="auto" w:sz="4" w:space="0"/>
            </w:tcBorders>
            <w:vAlign w:val="center"/>
          </w:tcPr>
          <w:p w14:paraId="1205AEF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含量（</w:t>
            </w:r>
            <w:r>
              <w:rPr>
                <w:rFonts w:hint="default" w:ascii="Times New Roman" w:hAnsi="Times New Roman" w:eastAsia="宋体" w:cs="Times New Roman"/>
                <w:color w:val="auto"/>
                <w:sz w:val="21"/>
                <w:szCs w:val="20"/>
                <w:highlight w:val="none"/>
                <w:lang w:eastAsia="zh-CN"/>
              </w:rPr>
              <w:t>%</w:t>
            </w:r>
            <w:r>
              <w:rPr>
                <w:rFonts w:hint="default" w:ascii="Times New Roman" w:hAnsi="Times New Roman" w:eastAsia="宋体" w:cs="Times New Roman"/>
                <w:color w:val="auto"/>
                <w:sz w:val="21"/>
                <w:szCs w:val="20"/>
                <w:highlight w:val="none"/>
              </w:rPr>
              <w:t>）</w:t>
            </w:r>
          </w:p>
        </w:tc>
        <w:tc>
          <w:tcPr>
            <w:tcW w:w="1345" w:type="dxa"/>
            <w:tcBorders>
              <w:top w:val="single" w:color="auto" w:sz="4" w:space="0"/>
              <w:left w:val="single" w:color="auto" w:sz="4" w:space="0"/>
              <w:bottom w:val="single" w:color="auto" w:sz="4" w:space="0"/>
              <w:right w:val="single" w:color="auto" w:sz="4" w:space="0"/>
            </w:tcBorders>
            <w:vAlign w:val="center"/>
          </w:tcPr>
          <w:p w14:paraId="2A2F725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76.54</w:t>
            </w:r>
          </w:p>
        </w:tc>
        <w:tc>
          <w:tcPr>
            <w:tcW w:w="902" w:type="dxa"/>
            <w:tcBorders>
              <w:top w:val="single" w:color="auto" w:sz="4" w:space="0"/>
              <w:left w:val="single" w:color="auto" w:sz="4" w:space="0"/>
              <w:bottom w:val="single" w:color="auto" w:sz="4" w:space="0"/>
              <w:right w:val="single" w:color="auto" w:sz="4" w:space="0"/>
            </w:tcBorders>
            <w:vAlign w:val="center"/>
          </w:tcPr>
          <w:p w14:paraId="0B5385C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11.5</w:t>
            </w:r>
          </w:p>
        </w:tc>
        <w:tc>
          <w:tcPr>
            <w:tcW w:w="902" w:type="dxa"/>
            <w:tcBorders>
              <w:top w:val="single" w:color="auto" w:sz="4" w:space="0"/>
              <w:left w:val="single" w:color="auto" w:sz="4" w:space="0"/>
              <w:bottom w:val="single" w:color="auto" w:sz="4" w:space="0"/>
              <w:right w:val="single" w:color="auto" w:sz="4" w:space="0"/>
            </w:tcBorders>
            <w:vAlign w:val="center"/>
          </w:tcPr>
          <w:p w14:paraId="266FE95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21.49</w:t>
            </w:r>
          </w:p>
        </w:tc>
        <w:tc>
          <w:tcPr>
            <w:tcW w:w="902" w:type="dxa"/>
            <w:tcBorders>
              <w:top w:val="single" w:color="auto" w:sz="4" w:space="0"/>
              <w:left w:val="single" w:color="auto" w:sz="4" w:space="0"/>
              <w:bottom w:val="single" w:color="auto" w:sz="4" w:space="0"/>
              <w:right w:val="single" w:color="auto" w:sz="4" w:space="0"/>
            </w:tcBorders>
            <w:vAlign w:val="center"/>
          </w:tcPr>
          <w:p w14:paraId="2584012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59.95</w:t>
            </w:r>
          </w:p>
        </w:tc>
        <w:tc>
          <w:tcPr>
            <w:tcW w:w="903" w:type="dxa"/>
            <w:tcBorders>
              <w:top w:val="single" w:color="auto" w:sz="4" w:space="0"/>
              <w:left w:val="single" w:color="auto" w:sz="4" w:space="0"/>
              <w:bottom w:val="single" w:color="auto" w:sz="4" w:space="0"/>
              <w:right w:val="single" w:color="auto" w:sz="4" w:space="0"/>
            </w:tcBorders>
            <w:vAlign w:val="center"/>
          </w:tcPr>
          <w:p w14:paraId="4B2E01B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10.95</w:t>
            </w:r>
          </w:p>
        </w:tc>
        <w:tc>
          <w:tcPr>
            <w:tcW w:w="903" w:type="dxa"/>
            <w:tcBorders>
              <w:top w:val="single" w:color="auto" w:sz="4" w:space="0"/>
              <w:left w:val="single" w:color="auto" w:sz="4" w:space="0"/>
              <w:bottom w:val="single" w:color="auto" w:sz="4" w:space="0"/>
              <w:right w:val="single" w:color="auto" w:sz="4" w:space="0"/>
            </w:tcBorders>
            <w:vAlign w:val="center"/>
          </w:tcPr>
          <w:p w14:paraId="7B941C4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0.60</w:t>
            </w:r>
          </w:p>
        </w:tc>
        <w:tc>
          <w:tcPr>
            <w:tcW w:w="903" w:type="dxa"/>
            <w:tcBorders>
              <w:top w:val="single" w:color="auto" w:sz="4" w:space="0"/>
              <w:left w:val="single" w:color="auto" w:sz="4" w:space="0"/>
              <w:bottom w:val="single" w:color="auto" w:sz="4" w:space="0"/>
              <w:right w:val="single" w:color="auto" w:sz="4" w:space="0"/>
            </w:tcBorders>
            <w:vAlign w:val="center"/>
          </w:tcPr>
          <w:p w14:paraId="258DDC7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7.8</w:t>
            </w:r>
          </w:p>
        </w:tc>
        <w:tc>
          <w:tcPr>
            <w:tcW w:w="901" w:type="dxa"/>
            <w:tcBorders>
              <w:top w:val="single" w:color="auto" w:sz="4" w:space="0"/>
              <w:left w:val="single" w:color="auto" w:sz="4" w:space="0"/>
              <w:bottom w:val="single" w:color="auto" w:sz="4" w:space="0"/>
              <w:right w:val="single" w:color="auto" w:sz="4" w:space="0"/>
            </w:tcBorders>
            <w:vAlign w:val="center"/>
          </w:tcPr>
          <w:p w14:paraId="6B92AB9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13</w:t>
            </w:r>
            <w:r>
              <w:rPr>
                <w:rFonts w:hint="default" w:ascii="Times New Roman" w:hAnsi="Times New Roman" w:eastAsia="宋体" w:cs="Times New Roman"/>
                <w:color w:val="auto"/>
                <w:sz w:val="21"/>
                <w:szCs w:val="20"/>
                <w:highlight w:val="none"/>
                <w:lang w:eastAsia="zh-CN"/>
              </w:rPr>
              <w:t>：</w:t>
            </w:r>
            <w:r>
              <w:rPr>
                <w:rFonts w:hint="default" w:ascii="Times New Roman" w:hAnsi="Times New Roman" w:eastAsia="宋体" w:cs="Times New Roman"/>
                <w:color w:val="auto"/>
                <w:sz w:val="21"/>
                <w:szCs w:val="20"/>
                <w:highlight w:val="none"/>
              </w:rPr>
              <w:t>1</w:t>
            </w:r>
          </w:p>
        </w:tc>
      </w:tr>
    </w:tbl>
    <w:p w14:paraId="24460C7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由上表可见，</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中含有大量的有机质和氮等植物必需的营养物质，是很好的有机肥料，但其中的营养成分必须经微生物降解腐熟后才能被植物吸收利用。同时，还有病原微生物和寄生虫，如果不加处理直接施用鲜粪便，则有机质在被土壤微生物降解过程中产生的热量、氨和硫化氢等物质会对植物根系产生不利，并有可能对环境造成恶臭和污染，因此必须经过无害化处理后才能施用。</w:t>
      </w:r>
    </w:p>
    <w:p w14:paraId="5130AA34">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624" w:name="_Toc13796"/>
      <w:r>
        <w:rPr>
          <w:rFonts w:hint="default" w:ascii="Times New Roman" w:hAnsi="Times New Roman" w:eastAsia="宋体" w:cs="Times New Roman"/>
          <w:color w:val="auto"/>
          <w:highlight w:val="none"/>
        </w:rPr>
        <w:t>7.8.2粪污农肥还田利用合规性分析</w:t>
      </w:r>
      <w:bookmarkEnd w:id="624"/>
    </w:p>
    <w:p w14:paraId="21A73BF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根据相关管理办法、排放标准、技术规范及防治政策要求，项目</w:t>
      </w:r>
      <w:r>
        <w:rPr>
          <w:rFonts w:hint="default" w:ascii="Times New Roman" w:hAnsi="Times New Roman" w:eastAsia="宋体" w:cs="Times New Roman"/>
          <w:color w:val="auto"/>
          <w:highlight w:val="none"/>
          <w:lang w:eastAsia="zh-CN"/>
        </w:rPr>
        <w:t>有机肥</w:t>
      </w:r>
      <w:r>
        <w:rPr>
          <w:rFonts w:hint="default" w:ascii="Times New Roman" w:hAnsi="Times New Roman" w:eastAsia="宋体" w:cs="Times New Roman"/>
          <w:color w:val="auto"/>
          <w:highlight w:val="none"/>
        </w:rPr>
        <w:t>还田利用合规性分析，见下表。</w:t>
      </w:r>
    </w:p>
    <w:p w14:paraId="2E5AFAF5">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表7.8-2</w:t>
      </w:r>
      <w:r>
        <w:rPr>
          <w:rFonts w:hint="default" w:ascii="Times New Roman" w:hAnsi="Times New Roman" w:eastAsia="宋体" w:cs="Times New Roman"/>
          <w:color w:val="auto"/>
          <w:highlight w:val="none"/>
          <w:lang w:eastAsia="zh-CN"/>
        </w:rPr>
        <w:t>有机肥</w:t>
      </w:r>
      <w:r>
        <w:rPr>
          <w:rFonts w:hint="default" w:ascii="Times New Roman" w:hAnsi="Times New Roman" w:eastAsia="宋体" w:cs="Times New Roman"/>
          <w:color w:val="auto"/>
          <w:highlight w:val="none"/>
        </w:rPr>
        <w:t>还田利用合规性分析</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76"/>
        <w:gridCol w:w="3463"/>
        <w:gridCol w:w="3038"/>
      </w:tblGrid>
      <w:tr w14:paraId="25C510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4" w:type="dxa"/>
            <w:tcBorders>
              <w:top w:val="single" w:color="auto" w:sz="4" w:space="0"/>
              <w:left w:val="single" w:color="auto" w:sz="4" w:space="0"/>
            </w:tcBorders>
            <w:vAlign w:val="center"/>
          </w:tcPr>
          <w:p w14:paraId="27CB4EB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政策法规</w:t>
            </w:r>
          </w:p>
        </w:tc>
        <w:tc>
          <w:tcPr>
            <w:tcW w:w="3772" w:type="dxa"/>
            <w:tcBorders>
              <w:top w:val="single" w:color="auto" w:sz="4" w:space="0"/>
            </w:tcBorders>
            <w:vAlign w:val="center"/>
          </w:tcPr>
          <w:p w14:paraId="3D7B709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相关条款及规定</w:t>
            </w:r>
          </w:p>
        </w:tc>
        <w:tc>
          <w:tcPr>
            <w:tcW w:w="3307" w:type="dxa"/>
            <w:tcBorders>
              <w:top w:val="single" w:color="auto" w:sz="4" w:space="0"/>
              <w:right w:val="single" w:color="auto" w:sz="4" w:space="0"/>
            </w:tcBorders>
            <w:vAlign w:val="center"/>
          </w:tcPr>
          <w:p w14:paraId="1541514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符合性分析</w:t>
            </w:r>
          </w:p>
        </w:tc>
      </w:tr>
      <w:tr w14:paraId="67FE37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4" w:type="dxa"/>
            <w:tcBorders>
              <w:left w:val="single" w:color="auto" w:sz="4" w:space="0"/>
            </w:tcBorders>
            <w:vAlign w:val="center"/>
          </w:tcPr>
          <w:p w14:paraId="7989CF8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《畜禽养殖业污染物排放标准》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GB18596-2001</w:t>
            </w:r>
            <w:r>
              <w:rPr>
                <w:rFonts w:hint="default" w:ascii="Times New Roman" w:hAnsi="Times New Roman" w:eastAsia="宋体" w:cs="Times New Roman"/>
                <w:color w:val="auto"/>
                <w:sz w:val="21"/>
                <w:szCs w:val="21"/>
                <w:highlight w:val="none"/>
                <w:lang w:eastAsia="zh-CN"/>
              </w:rPr>
              <w:t>）</w:t>
            </w:r>
          </w:p>
        </w:tc>
        <w:tc>
          <w:tcPr>
            <w:tcW w:w="3772" w:type="dxa"/>
            <w:vAlign w:val="center"/>
          </w:tcPr>
          <w:p w14:paraId="3FB5FAB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畜禽养殖业应积极通过废水和粪便的还田或其他措施对所排放的污染物进行综合利用，实现污染物的资源化。</w:t>
            </w:r>
          </w:p>
        </w:tc>
        <w:tc>
          <w:tcPr>
            <w:tcW w:w="3307" w:type="dxa"/>
            <w:tcBorders>
              <w:right w:val="single" w:color="auto" w:sz="4" w:space="0"/>
            </w:tcBorders>
            <w:vAlign w:val="center"/>
          </w:tcPr>
          <w:p w14:paraId="3A54A9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项目采用“（固）堆肥发酵+土地消纳”的种养结合的</w:t>
            </w:r>
            <w:r>
              <w:rPr>
                <w:rFonts w:hint="default" w:ascii="Times New Roman" w:hAnsi="Times New Roman" w:eastAsia="宋体" w:cs="Times New Roman"/>
                <w:color w:val="auto"/>
                <w:sz w:val="21"/>
                <w:szCs w:val="21"/>
                <w:highlight w:val="none"/>
                <w:lang w:eastAsia="zh-CN"/>
              </w:rPr>
              <w:t>有机肥</w:t>
            </w:r>
            <w:r>
              <w:rPr>
                <w:rFonts w:hint="default" w:ascii="Times New Roman" w:hAnsi="Times New Roman" w:eastAsia="宋体" w:cs="Times New Roman"/>
                <w:color w:val="auto"/>
                <w:sz w:val="21"/>
                <w:szCs w:val="21"/>
                <w:highlight w:val="none"/>
              </w:rPr>
              <w:t>资源化利用处理模式，每半年还田一次，实现粪便的资源化综合利用，化害为利，变废为宝，符合相关要求</w:t>
            </w:r>
          </w:p>
        </w:tc>
      </w:tr>
      <w:tr w14:paraId="6FED7E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4" w:type="dxa"/>
            <w:tcBorders>
              <w:left w:val="single" w:color="auto" w:sz="4" w:space="0"/>
            </w:tcBorders>
            <w:vAlign w:val="center"/>
          </w:tcPr>
          <w:p w14:paraId="654B978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《畜禽规模养殖污染防治条例》（国务院令第643号）</w:t>
            </w:r>
          </w:p>
        </w:tc>
        <w:tc>
          <w:tcPr>
            <w:tcW w:w="3772" w:type="dxa"/>
            <w:vAlign w:val="center"/>
          </w:tcPr>
          <w:p w14:paraId="3553532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国家鼓励和支持采取种植和养殖相结合的方式消纳利用畜禽养殖废弃物，促进畜禽粪便、污水等废弃物就地就近利用。</w:t>
            </w:r>
          </w:p>
          <w:p w14:paraId="121A56E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将畜禽粪便、污水、沼渣、沼液等用作肥料的，应当与土地的消纳能力相适应，并采取有效措施，消除可能引起传染病的微生物，防止污染环境和传播疫病。</w:t>
            </w:r>
          </w:p>
        </w:tc>
        <w:tc>
          <w:tcPr>
            <w:tcW w:w="3307" w:type="dxa"/>
            <w:tcBorders>
              <w:right w:val="single" w:color="auto" w:sz="4" w:space="0"/>
            </w:tcBorders>
            <w:vAlign w:val="center"/>
          </w:tcPr>
          <w:p w14:paraId="7EFD1D0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项目采用“（固）堆肥发酵+土地消纳”的种养结合的</w:t>
            </w:r>
            <w:r>
              <w:rPr>
                <w:rFonts w:hint="default" w:ascii="Times New Roman" w:hAnsi="Times New Roman" w:eastAsia="宋体" w:cs="Times New Roman"/>
                <w:color w:val="auto"/>
                <w:sz w:val="21"/>
                <w:szCs w:val="21"/>
                <w:highlight w:val="none"/>
                <w:lang w:eastAsia="zh-CN"/>
              </w:rPr>
              <w:t>有机肥</w:t>
            </w:r>
            <w:r>
              <w:rPr>
                <w:rFonts w:hint="default" w:ascii="Times New Roman" w:hAnsi="Times New Roman" w:eastAsia="宋体" w:cs="Times New Roman"/>
                <w:color w:val="auto"/>
                <w:sz w:val="21"/>
                <w:szCs w:val="21"/>
                <w:highlight w:val="none"/>
              </w:rPr>
              <w:t>资源化利用处理模式，每半年还田一次，</w:t>
            </w:r>
            <w:r>
              <w:rPr>
                <w:rFonts w:hint="default" w:ascii="Times New Roman" w:hAnsi="Times New Roman" w:eastAsia="宋体" w:cs="Times New Roman"/>
                <w:color w:val="auto"/>
                <w:sz w:val="21"/>
                <w:szCs w:val="21"/>
                <w:highlight w:val="none"/>
                <w:lang w:eastAsia="zh-CN"/>
              </w:rPr>
              <w:t>周边</w:t>
            </w:r>
            <w:r>
              <w:rPr>
                <w:rFonts w:hint="default" w:ascii="Times New Roman" w:hAnsi="Times New Roman" w:eastAsia="宋体" w:cs="Times New Roman"/>
                <w:color w:val="auto"/>
                <w:sz w:val="21"/>
                <w:szCs w:val="21"/>
                <w:highlight w:val="none"/>
              </w:rPr>
              <w:t>配套</w:t>
            </w:r>
            <w:r>
              <w:rPr>
                <w:rFonts w:hint="default" w:ascii="Times New Roman" w:hAnsi="Times New Roman" w:eastAsia="宋体" w:cs="Times New Roman"/>
                <w:color w:val="auto"/>
                <w:sz w:val="21"/>
                <w:szCs w:val="21"/>
                <w:highlight w:val="none"/>
                <w:lang w:eastAsia="zh-CN"/>
              </w:rPr>
              <w:t>有</w:t>
            </w:r>
            <w:r>
              <w:rPr>
                <w:rFonts w:hint="default" w:ascii="Times New Roman" w:hAnsi="Times New Roman" w:eastAsia="宋体" w:cs="Times New Roman"/>
                <w:color w:val="auto"/>
                <w:sz w:val="21"/>
                <w:szCs w:val="21"/>
                <w:highlight w:val="none"/>
                <w:lang w:val="en-US" w:eastAsia="zh-CN"/>
              </w:rPr>
              <w:t>6250</w:t>
            </w:r>
            <w:r>
              <w:rPr>
                <w:rFonts w:hint="default" w:ascii="Times New Roman" w:hAnsi="Times New Roman" w:eastAsia="宋体" w:cs="Times New Roman"/>
                <w:color w:val="auto"/>
                <w:sz w:val="21"/>
                <w:szCs w:val="21"/>
                <w:highlight w:val="none"/>
                <w:lang w:eastAsia="zh-CN"/>
              </w:rPr>
              <w:t>亩</w:t>
            </w:r>
            <w:r>
              <w:rPr>
                <w:rFonts w:hint="default" w:ascii="Times New Roman" w:hAnsi="Times New Roman" w:eastAsia="宋体" w:cs="Times New Roman"/>
                <w:color w:val="auto"/>
                <w:sz w:val="21"/>
                <w:szCs w:val="21"/>
                <w:highlight w:val="none"/>
              </w:rPr>
              <w:t>消纳土地，土地消纳能力与粪污产生量相适应，符合相关要求</w:t>
            </w:r>
          </w:p>
        </w:tc>
      </w:tr>
      <w:tr w14:paraId="5BE000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4" w:type="dxa"/>
            <w:tcBorders>
              <w:left w:val="single" w:color="auto" w:sz="4" w:space="0"/>
            </w:tcBorders>
            <w:vAlign w:val="center"/>
          </w:tcPr>
          <w:p w14:paraId="3BA47B4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《关于进一步贯彻落实《畜禽规模养殖污染防治条例》促进养殖废弃物综合利用加强污染防治的通知》</w:t>
            </w:r>
          </w:p>
          <w:p w14:paraId="5E9D13A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（内农牧畜发</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2016</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228号）</w:t>
            </w:r>
          </w:p>
        </w:tc>
        <w:tc>
          <w:tcPr>
            <w:tcW w:w="3772" w:type="dxa"/>
            <w:vAlign w:val="center"/>
          </w:tcPr>
          <w:p w14:paraId="1D8488A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按照生态文明建设的总体要求，全面贯彻落实《条例》和“水十条”要求，坚持源头减量、过程控制、综合利用相结合，以提高畜禽养殖废弃物综合利用水平为核心，以农牧结合、种养平衡、生态循环为基本要求，加强规划引导、优化区域布局、健全政策体系、加强科技运用、规范行业管理、强化指导服务。加强试点示范和典型引领，大力推广废弃物产生减量化、处理无害化、利用资源化。</w:t>
            </w:r>
          </w:p>
          <w:p w14:paraId="7205437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因地制宜发展多种形式的畜禽生态养殖，大力推行种养结合，打通种养业协调发展通道，促进循环利用、变废为宝。</w:t>
            </w:r>
          </w:p>
        </w:tc>
        <w:tc>
          <w:tcPr>
            <w:tcW w:w="3307" w:type="dxa"/>
            <w:tcBorders>
              <w:right w:val="single" w:color="auto" w:sz="4" w:space="0"/>
            </w:tcBorders>
            <w:vAlign w:val="center"/>
          </w:tcPr>
          <w:p w14:paraId="641DB99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项目采用“（固）堆肥发酵+土地消纳”的种养结合的</w:t>
            </w:r>
            <w:r>
              <w:rPr>
                <w:rFonts w:hint="default" w:ascii="Times New Roman" w:hAnsi="Times New Roman" w:eastAsia="宋体" w:cs="Times New Roman"/>
                <w:color w:val="auto"/>
                <w:sz w:val="21"/>
                <w:szCs w:val="21"/>
                <w:highlight w:val="none"/>
                <w:lang w:eastAsia="zh-CN"/>
              </w:rPr>
              <w:t>有机肥</w:t>
            </w:r>
            <w:r>
              <w:rPr>
                <w:rFonts w:hint="default" w:ascii="Times New Roman" w:hAnsi="Times New Roman" w:eastAsia="宋体" w:cs="Times New Roman"/>
                <w:color w:val="auto"/>
                <w:sz w:val="21"/>
                <w:szCs w:val="21"/>
                <w:highlight w:val="none"/>
              </w:rPr>
              <w:t>资源化利用处理模式，每半年还田一次，配套消纳土地</w:t>
            </w:r>
            <w:r>
              <w:rPr>
                <w:rFonts w:hint="default" w:ascii="Times New Roman" w:hAnsi="Times New Roman" w:eastAsia="宋体" w:cs="Times New Roman"/>
                <w:color w:val="auto"/>
                <w:sz w:val="21"/>
                <w:szCs w:val="21"/>
                <w:highlight w:val="none"/>
                <w:lang w:val="en-US" w:eastAsia="zh-CN"/>
              </w:rPr>
              <w:t>6250</w:t>
            </w:r>
            <w:r>
              <w:rPr>
                <w:rFonts w:hint="default" w:ascii="Times New Roman" w:hAnsi="Times New Roman" w:eastAsia="宋体" w:cs="Times New Roman"/>
                <w:color w:val="auto"/>
                <w:sz w:val="21"/>
                <w:szCs w:val="21"/>
                <w:highlight w:val="none"/>
                <w:lang w:eastAsia="zh-CN"/>
              </w:rPr>
              <w:t>亩</w:t>
            </w:r>
            <w:r>
              <w:rPr>
                <w:rFonts w:hint="default" w:ascii="Times New Roman" w:hAnsi="Times New Roman" w:eastAsia="宋体" w:cs="Times New Roman"/>
                <w:color w:val="auto"/>
                <w:sz w:val="21"/>
                <w:szCs w:val="21"/>
                <w:highlight w:val="none"/>
              </w:rPr>
              <w:t>，土地消纳能力与粪污产生量相适应，种养平衡；</w:t>
            </w:r>
          </w:p>
          <w:p w14:paraId="292FABF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实现粪便的资源化综合利用，化害为利，变废为宝，符合相关要求</w:t>
            </w:r>
          </w:p>
        </w:tc>
      </w:tr>
      <w:tr w14:paraId="1A6F18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24" w:type="dxa"/>
            <w:tcBorders>
              <w:left w:val="single" w:color="auto" w:sz="4" w:space="0"/>
              <w:bottom w:val="single" w:color="auto" w:sz="4" w:space="0"/>
            </w:tcBorders>
            <w:vAlign w:val="center"/>
          </w:tcPr>
          <w:p w14:paraId="0C519B6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畜禽养殖业污染治理工程技术规范（HJ497</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2009）</w:t>
            </w:r>
          </w:p>
        </w:tc>
        <w:tc>
          <w:tcPr>
            <w:tcW w:w="3772" w:type="dxa"/>
            <w:tcBorders>
              <w:bottom w:val="single" w:color="auto" w:sz="4" w:space="0"/>
            </w:tcBorders>
            <w:vAlign w:val="center"/>
          </w:tcPr>
          <w:p w14:paraId="284E4F4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无害化处理后进行还田综合利用的，粪肥用量不能超过作物当年生长所需的养分量。在确定粪肥的最佳施用量时，应对土壤肥力和粪肥肥效进行测试评价，并符合当地环境容量的要求。同时应有一倍以上的土地用于轮作施肥，不得长期施肥于同一土地。</w:t>
            </w:r>
          </w:p>
        </w:tc>
        <w:tc>
          <w:tcPr>
            <w:tcW w:w="3307" w:type="dxa"/>
            <w:tcBorders>
              <w:bottom w:val="single" w:color="auto" w:sz="4" w:space="0"/>
              <w:right w:val="single" w:color="auto" w:sz="4" w:space="0"/>
            </w:tcBorders>
            <w:vAlign w:val="center"/>
          </w:tcPr>
          <w:p w14:paraId="70B1D7B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项目每半年还田一次，粪肥用量不超过作物当年生长所需的养分量，配套消纳土地</w:t>
            </w:r>
            <w:r>
              <w:rPr>
                <w:rFonts w:hint="default" w:ascii="Times New Roman" w:hAnsi="Times New Roman" w:eastAsia="宋体" w:cs="Times New Roman"/>
                <w:color w:val="auto"/>
                <w:sz w:val="21"/>
                <w:szCs w:val="21"/>
                <w:highlight w:val="none"/>
                <w:lang w:val="en-US" w:eastAsia="zh-CN"/>
              </w:rPr>
              <w:t>6250</w:t>
            </w:r>
            <w:r>
              <w:rPr>
                <w:rFonts w:hint="default" w:ascii="Times New Roman" w:hAnsi="Times New Roman" w:eastAsia="宋体" w:cs="Times New Roman"/>
                <w:color w:val="auto"/>
                <w:sz w:val="21"/>
                <w:szCs w:val="21"/>
                <w:highlight w:val="none"/>
                <w:lang w:eastAsia="zh-CN"/>
              </w:rPr>
              <w:t>亩</w:t>
            </w:r>
            <w:r>
              <w:rPr>
                <w:rFonts w:hint="default" w:ascii="Times New Roman" w:hAnsi="Times New Roman" w:eastAsia="宋体" w:cs="Times New Roman"/>
                <w:color w:val="auto"/>
                <w:sz w:val="21"/>
                <w:szCs w:val="21"/>
                <w:highlight w:val="none"/>
              </w:rPr>
              <w:t>，实现粪便的资源化综合利用，化害为利，变废为宝，符合相关要求</w:t>
            </w:r>
          </w:p>
        </w:tc>
      </w:tr>
    </w:tbl>
    <w:p w14:paraId="1444126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shd w:val="clear" w:color="auto" w:fill="FFFFFF"/>
        </w:rPr>
      </w:pPr>
      <w:r>
        <w:rPr>
          <w:rFonts w:hint="default" w:ascii="Times New Roman" w:hAnsi="Times New Roman" w:eastAsia="宋体" w:cs="Times New Roman"/>
          <w:color w:val="auto"/>
          <w:highlight w:val="none"/>
          <w:shd w:val="clear" w:color="auto" w:fill="FFFFFF"/>
        </w:rPr>
        <w:t>项目种养结合的养牛模式符合《</w:t>
      </w:r>
      <w:r>
        <w:rPr>
          <w:rFonts w:hint="default" w:ascii="Times New Roman" w:hAnsi="Times New Roman" w:eastAsia="宋体" w:cs="Times New Roman"/>
          <w:color w:val="auto"/>
          <w:highlight w:val="none"/>
        </w:rPr>
        <w:t>畜禽规模养殖污染防治条例</w:t>
      </w:r>
      <w:r>
        <w:rPr>
          <w:rFonts w:hint="default" w:ascii="Times New Roman" w:hAnsi="Times New Roman" w:eastAsia="宋体" w:cs="Times New Roman"/>
          <w:color w:val="auto"/>
          <w:highlight w:val="none"/>
          <w:shd w:val="clear" w:color="auto" w:fill="FFFFFF"/>
        </w:rPr>
        <w:t>》精神和要求，积极推进种养结合、种养平衡，发展养殖业＋种植业复合型产业模式，拉长产业链条，提高粪便等废弃物资源的综合利用水平，增加盈利点，提升产业综合效益。</w:t>
      </w:r>
    </w:p>
    <w:p w14:paraId="24691E33">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625" w:name="_Toc29042"/>
      <w:r>
        <w:rPr>
          <w:rFonts w:hint="default" w:ascii="Times New Roman" w:hAnsi="Times New Roman" w:eastAsia="宋体" w:cs="Times New Roman"/>
          <w:color w:val="auto"/>
          <w:highlight w:val="none"/>
        </w:rPr>
        <w:t>7.8.3粪污资源化工艺可行性分析</w:t>
      </w:r>
      <w:bookmarkEnd w:id="625"/>
    </w:p>
    <w:p w14:paraId="6CC2DA48">
      <w:pPr>
        <w:pStyle w:val="6"/>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7.8.3.1固体堆肥工艺可行分析</w:t>
      </w:r>
    </w:p>
    <w:p w14:paraId="7F61FF42">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中含有大量的有机质和氮等植物必需的营养物质，是很好的有机肥料，但其中的营养成分必须经微生物降解腐熟后才能被植物吸收利用。同时，还有病原微生物和寄生虫，如果不加处理直接施用鲜粪尿，则有机质在被土壤微生物降解过程中产生的热量、氨和硫化氢等物质会对植物根系产生不利，并有可能对环境造成恶臭和污染，因此必须经过无害化处理后才能施用。</w:t>
      </w:r>
    </w:p>
    <w:p w14:paraId="0CC840A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常见的固体粪便处理方法有堆肥法、干燥法、焚烧法等。由于好氧堆肥法</w:t>
      </w:r>
      <w:r>
        <w:rPr>
          <w:rFonts w:hint="default" w:ascii="Times New Roman" w:hAnsi="Times New Roman" w:eastAsia="宋体" w:cs="Times New Roman"/>
          <w:color w:val="auto"/>
          <w:highlight w:val="none"/>
          <w:lang w:eastAsia="zh-CN"/>
        </w:rPr>
        <w:t>与其他</w:t>
      </w:r>
      <w:r>
        <w:rPr>
          <w:rFonts w:hint="default" w:ascii="Times New Roman" w:hAnsi="Times New Roman" w:eastAsia="宋体" w:cs="Times New Roman"/>
          <w:color w:val="auto"/>
          <w:highlight w:val="none"/>
        </w:rPr>
        <w:t>无害化方法相比，具有省能源、低成本、发酵产物活性强、处理过程养分损失少等优点，并且也可达到去除臭味、灭菌的目的，处理的最终产物较干燥，易包装、施用，因此，对固体粪便采用好氧堆肥法处理是最佳的处置方式。</w:t>
      </w:r>
    </w:p>
    <w:p w14:paraId="31FB78D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根据农业部办公厅印发的《畜禽规模养殖场粪污资源化利用设施建设规范（试行）》（农办牧</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2018</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2号）“猪场堆肥设施发酵容积不小于0.002m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×发酵周期</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天</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×设计存栏量</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其他畜禽</w:t>
      </w:r>
      <w:r>
        <w:rPr>
          <w:rFonts w:hint="default" w:ascii="Times New Roman" w:hAnsi="Times New Roman" w:eastAsia="宋体" w:cs="Times New Roman"/>
          <w:color w:val="auto"/>
          <w:highlight w:val="none"/>
        </w:rPr>
        <w:t>按GB18596折算成猪的存栏量计算”。经折算，发酵周期</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0d，项目完成后，全场牛群存栏</w:t>
      </w:r>
      <w:r>
        <w:rPr>
          <w:rFonts w:hint="default" w:ascii="Times New Roman" w:hAnsi="Times New Roman" w:eastAsia="宋体" w:cs="Times New Roman"/>
          <w:color w:val="auto"/>
          <w:highlight w:val="none"/>
          <w:lang w:val="en-US" w:eastAsia="zh-CN"/>
        </w:rPr>
        <w:t>2500头</w:t>
      </w:r>
      <w:r>
        <w:rPr>
          <w:rFonts w:hint="default" w:ascii="Times New Roman" w:hAnsi="Times New Roman" w:eastAsia="宋体" w:cs="Times New Roman"/>
          <w:color w:val="auto"/>
          <w:highlight w:val="none"/>
        </w:rPr>
        <w:t>，堆肥设施发酵容积不小于</w:t>
      </w:r>
      <w:r>
        <w:rPr>
          <w:rFonts w:hint="default" w:ascii="Times New Roman" w:hAnsi="Times New Roman" w:eastAsia="宋体" w:cs="Times New Roman"/>
          <w:color w:val="auto"/>
          <w:highlight w:val="none"/>
          <w:lang w:val="en-US" w:eastAsia="zh-CN"/>
        </w:rPr>
        <w:t>300</w:t>
      </w:r>
      <w:r>
        <w:rPr>
          <w:rFonts w:hint="default" w:ascii="Times New Roman" w:hAnsi="Times New Roman" w:eastAsia="宋体" w:cs="Times New Roman"/>
          <w:color w:val="auto"/>
          <w:highlight w:val="none"/>
        </w:rPr>
        <w:t>0m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占地面积</w:t>
      </w:r>
      <w:r>
        <w:rPr>
          <w:rFonts w:hint="default" w:ascii="Times New Roman" w:hAnsi="Times New Roman" w:eastAsia="宋体" w:cs="Times New Roman"/>
          <w:color w:val="auto"/>
          <w:highlight w:val="none"/>
          <w:lang w:val="en-US" w:eastAsia="zh-CN"/>
        </w:rPr>
        <w:t>2700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，容积为</w:t>
      </w:r>
      <w:r>
        <w:rPr>
          <w:rFonts w:hint="default" w:ascii="Times New Roman" w:hAnsi="Times New Roman" w:eastAsia="宋体" w:cs="Times New Roman"/>
          <w:color w:val="auto"/>
          <w:highlight w:val="none"/>
          <w:lang w:val="en-US" w:eastAsia="zh-CN"/>
        </w:rPr>
        <w:t>3200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060BEA"/>
          <w:highlight w:val="none"/>
          <w:lang w:val="en-US" w:eastAsia="zh-CN"/>
        </w:rPr>
        <w:t>北侧2000m</w:t>
      </w:r>
      <w:r>
        <w:rPr>
          <w:rFonts w:hint="default" w:ascii="Times New Roman" w:hAnsi="Times New Roman" w:eastAsia="宋体" w:cs="Times New Roman"/>
          <w:color w:val="060BEA"/>
          <w:highlight w:val="none"/>
          <w:vertAlign w:val="superscript"/>
          <w:lang w:val="en-US" w:eastAsia="zh-CN"/>
        </w:rPr>
        <w:t>2</w:t>
      </w:r>
      <w:r>
        <w:rPr>
          <w:rFonts w:hint="default" w:ascii="Times New Roman" w:hAnsi="Times New Roman" w:eastAsia="宋体" w:cs="Times New Roman"/>
          <w:color w:val="060BEA"/>
          <w:highlight w:val="none"/>
          <w:lang w:val="en-US" w:eastAsia="zh-CN"/>
        </w:rPr>
        <w:t>为堆肥区，南侧700m</w:t>
      </w:r>
      <w:r>
        <w:rPr>
          <w:rFonts w:hint="default" w:ascii="Times New Roman" w:hAnsi="Times New Roman" w:eastAsia="宋体" w:cs="Times New Roman"/>
          <w:color w:val="060BEA"/>
          <w:highlight w:val="none"/>
          <w:vertAlign w:val="superscript"/>
          <w:lang w:val="en-US" w:eastAsia="zh-CN"/>
        </w:rPr>
        <w:t>2</w:t>
      </w:r>
      <w:r>
        <w:rPr>
          <w:rFonts w:hint="default" w:ascii="Times New Roman" w:hAnsi="Times New Roman" w:eastAsia="宋体" w:cs="Times New Roman"/>
          <w:color w:val="060BEA"/>
          <w:highlight w:val="none"/>
          <w:lang w:val="en-US" w:eastAsia="zh-CN"/>
        </w:rPr>
        <w:t>为储存区。</w:t>
      </w:r>
    </w:p>
    <w:p w14:paraId="63CB4C4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主要利用</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在存储阶段同时进行好氧发酵的过程。进行搅拌使其充分通风曝气供氧并进行好氧堆肥的机械翻堆，好氧发酵可对粪便的有机物进行分解，同时也杀灭粪便中的有害微生物，如有害细菌、虫卵等。</w:t>
      </w:r>
    </w:p>
    <w:p w14:paraId="1A37426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好氧堆肥主要为通气、调节pH值、好氧发酵（升温阶段、高温阶段、降温阶段）项目经过发酵60天的长期中高温发酵，粪便中绝大多数有机物被降解，粪便也达到腐熟的程度。经发酵降解腐熟的农肥进行还田的应符合</w:t>
      </w:r>
      <w:r>
        <w:rPr>
          <w:rFonts w:hint="default" w:ascii="Times New Roman" w:hAnsi="Times New Roman" w:eastAsia="宋体" w:cs="Times New Roman"/>
          <w:bCs/>
          <w:color w:val="auto"/>
          <w:highlight w:val="none"/>
        </w:rPr>
        <w:t>《畜禽养殖业污染物排放标准》（GB18596-2001）</w:t>
      </w:r>
      <w:r>
        <w:rPr>
          <w:rFonts w:hint="default" w:ascii="Times New Roman" w:hAnsi="Times New Roman" w:eastAsia="宋体" w:cs="Times New Roman"/>
          <w:color w:val="auto"/>
          <w:highlight w:val="none"/>
        </w:rPr>
        <w:t>中废渣无害化环境标准要求，见下表。</w:t>
      </w:r>
    </w:p>
    <w:p w14:paraId="59AE30FC">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表7.8-3畜禽养殖业废渣无害化环境标准</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842"/>
        <w:gridCol w:w="2841"/>
        <w:gridCol w:w="2594"/>
      </w:tblGrid>
      <w:tr w14:paraId="5C278E8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92" w:type="dxa"/>
            <w:tcBorders>
              <w:top w:val="single" w:color="auto" w:sz="4" w:space="0"/>
              <w:left w:val="single" w:color="auto" w:sz="4" w:space="0"/>
              <w:bottom w:val="single" w:color="auto" w:sz="4" w:space="0"/>
              <w:right w:val="single" w:color="auto" w:sz="4" w:space="0"/>
            </w:tcBorders>
            <w:vAlign w:val="center"/>
          </w:tcPr>
          <w:p w14:paraId="5AEFDCE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标准名称及编号</w:t>
            </w:r>
          </w:p>
        </w:tc>
        <w:tc>
          <w:tcPr>
            <w:tcW w:w="3091" w:type="dxa"/>
            <w:tcBorders>
              <w:top w:val="single" w:color="auto" w:sz="4" w:space="0"/>
              <w:left w:val="single" w:color="auto" w:sz="4" w:space="0"/>
              <w:bottom w:val="single" w:color="auto" w:sz="4" w:space="0"/>
              <w:right w:val="single" w:color="auto" w:sz="4" w:space="0"/>
            </w:tcBorders>
            <w:vAlign w:val="center"/>
          </w:tcPr>
          <w:p w14:paraId="37C076C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控制项目</w:t>
            </w:r>
          </w:p>
        </w:tc>
        <w:tc>
          <w:tcPr>
            <w:tcW w:w="2820" w:type="dxa"/>
            <w:tcBorders>
              <w:top w:val="single" w:color="auto" w:sz="4" w:space="0"/>
              <w:left w:val="single" w:color="auto" w:sz="4" w:space="0"/>
              <w:bottom w:val="single" w:color="auto" w:sz="4" w:space="0"/>
              <w:right w:val="single" w:color="auto" w:sz="4" w:space="0"/>
            </w:tcBorders>
            <w:vAlign w:val="center"/>
          </w:tcPr>
          <w:p w14:paraId="648CC63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指标</w:t>
            </w:r>
          </w:p>
        </w:tc>
      </w:tr>
      <w:tr w14:paraId="11AB5B2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92" w:type="dxa"/>
            <w:vMerge w:val="restart"/>
            <w:tcBorders>
              <w:top w:val="single" w:color="auto" w:sz="4" w:space="0"/>
              <w:left w:val="single" w:color="auto" w:sz="4" w:space="0"/>
              <w:bottom w:val="single" w:color="auto" w:sz="4" w:space="0"/>
              <w:right w:val="single" w:color="auto" w:sz="4" w:space="0"/>
            </w:tcBorders>
            <w:vAlign w:val="center"/>
          </w:tcPr>
          <w:p w14:paraId="7590360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《畜禽养殖业污染物排放标准》（GB18596-2001）</w:t>
            </w:r>
          </w:p>
        </w:tc>
        <w:tc>
          <w:tcPr>
            <w:tcW w:w="3091" w:type="dxa"/>
            <w:tcBorders>
              <w:top w:val="single" w:color="auto" w:sz="4" w:space="0"/>
              <w:left w:val="single" w:color="auto" w:sz="4" w:space="0"/>
              <w:bottom w:val="single" w:color="auto" w:sz="4" w:space="0"/>
              <w:right w:val="single" w:color="auto" w:sz="4" w:space="0"/>
            </w:tcBorders>
            <w:vAlign w:val="center"/>
          </w:tcPr>
          <w:p w14:paraId="71728B0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蛔虫卵</w:t>
            </w:r>
          </w:p>
        </w:tc>
        <w:tc>
          <w:tcPr>
            <w:tcW w:w="2820" w:type="dxa"/>
            <w:tcBorders>
              <w:top w:val="single" w:color="auto" w:sz="4" w:space="0"/>
              <w:left w:val="single" w:color="auto" w:sz="4" w:space="0"/>
              <w:bottom w:val="single" w:color="auto" w:sz="4" w:space="0"/>
              <w:right w:val="single" w:color="auto" w:sz="4" w:space="0"/>
            </w:tcBorders>
            <w:vAlign w:val="center"/>
          </w:tcPr>
          <w:p w14:paraId="1BC147D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死亡率≥95%</w:t>
            </w:r>
          </w:p>
        </w:tc>
      </w:tr>
      <w:tr w14:paraId="2F4368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92" w:type="dxa"/>
            <w:vMerge w:val="continue"/>
            <w:tcBorders>
              <w:top w:val="single" w:color="auto" w:sz="4" w:space="0"/>
              <w:left w:val="single" w:color="auto" w:sz="4" w:space="0"/>
              <w:bottom w:val="single" w:color="auto" w:sz="4" w:space="0"/>
              <w:right w:val="single" w:color="auto" w:sz="4" w:space="0"/>
            </w:tcBorders>
            <w:vAlign w:val="center"/>
          </w:tcPr>
          <w:p w14:paraId="64AA76A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3091" w:type="dxa"/>
            <w:tcBorders>
              <w:top w:val="single" w:color="auto" w:sz="4" w:space="0"/>
              <w:left w:val="single" w:color="auto" w:sz="4" w:space="0"/>
              <w:bottom w:val="single" w:color="auto" w:sz="4" w:space="0"/>
              <w:right w:val="single" w:color="auto" w:sz="4" w:space="0"/>
            </w:tcBorders>
            <w:vAlign w:val="center"/>
          </w:tcPr>
          <w:p w14:paraId="176E69A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粪大肠菌群数</w:t>
            </w:r>
          </w:p>
        </w:tc>
        <w:tc>
          <w:tcPr>
            <w:tcW w:w="2820" w:type="dxa"/>
            <w:tcBorders>
              <w:top w:val="single" w:color="auto" w:sz="4" w:space="0"/>
              <w:left w:val="single" w:color="auto" w:sz="4" w:space="0"/>
              <w:bottom w:val="single" w:color="auto" w:sz="4" w:space="0"/>
              <w:right w:val="single" w:color="auto" w:sz="4" w:space="0"/>
            </w:tcBorders>
            <w:vAlign w:val="center"/>
          </w:tcPr>
          <w:p w14:paraId="3AF2ACF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sz w:val="21"/>
                <w:szCs w:val="21"/>
                <w:highlight w:val="none"/>
                <w:vertAlign w:val="superscript"/>
              </w:rPr>
              <w:t>5</w:t>
            </w:r>
            <w:r>
              <w:rPr>
                <w:rFonts w:hint="default" w:ascii="Times New Roman" w:hAnsi="Times New Roman" w:eastAsia="宋体" w:cs="Times New Roman"/>
                <w:color w:val="auto"/>
                <w:sz w:val="21"/>
                <w:szCs w:val="21"/>
                <w:highlight w:val="none"/>
              </w:rPr>
              <w:t>个/kg</w:t>
            </w:r>
          </w:p>
        </w:tc>
      </w:tr>
    </w:tbl>
    <w:p w14:paraId="365FF17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综上所述，项目用于还田的农肥为发酵降解腐熟的</w:t>
      </w:r>
      <w:r>
        <w:rPr>
          <w:rFonts w:hint="default" w:ascii="Times New Roman" w:hAnsi="Times New Roman" w:eastAsia="宋体" w:cs="Times New Roman"/>
          <w:color w:val="auto"/>
          <w:highlight w:val="none"/>
          <w:lang w:eastAsia="zh-CN"/>
        </w:rPr>
        <w:t>有机肥</w:t>
      </w:r>
      <w:r>
        <w:rPr>
          <w:rFonts w:hint="default" w:ascii="Times New Roman" w:hAnsi="Times New Roman" w:eastAsia="宋体" w:cs="Times New Roman"/>
          <w:color w:val="auto"/>
          <w:highlight w:val="none"/>
        </w:rPr>
        <w:t>，从工艺及无害化的要求是项目采用堆肥工艺是可行的。</w:t>
      </w:r>
    </w:p>
    <w:p w14:paraId="34B78071">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FF0000"/>
          <w:sz w:val="24"/>
          <w:szCs w:val="24"/>
          <w:highlight w:val="none"/>
        </w:rPr>
      </w:pPr>
      <w:bookmarkStart w:id="626" w:name="_Toc6337"/>
      <w:r>
        <w:rPr>
          <w:rFonts w:hint="default" w:ascii="Times New Roman" w:hAnsi="Times New Roman" w:eastAsia="宋体" w:cs="Times New Roman"/>
          <w:color w:val="FF0000"/>
          <w:sz w:val="24"/>
          <w:szCs w:val="24"/>
          <w:highlight w:val="none"/>
        </w:rPr>
        <w:t>7.8.4还田利用可行性分析</w:t>
      </w:r>
      <w:bookmarkEnd w:id="626"/>
    </w:p>
    <w:p w14:paraId="3A9FF998">
      <w:pPr>
        <w:pageBreakBefore w:val="0"/>
        <w:kinsoku/>
        <w:wordWrap/>
        <w:bidi w:val="0"/>
        <w:snapToGrid w:val="0"/>
        <w:spacing w:line="360" w:lineRule="auto"/>
        <w:ind w:left="0" w:leftChars="0" w:right="0" w:rightChars="0" w:firstLine="480"/>
        <w:rPr>
          <w:rFonts w:hint="default" w:ascii="Times New Roman" w:hAnsi="Times New Roman" w:eastAsia="宋体" w:cs="Times New Roman"/>
          <w:snapToGrid w:val="0"/>
          <w:color w:val="FF0000"/>
          <w:kern w:val="0"/>
          <w:sz w:val="24"/>
          <w:szCs w:val="24"/>
          <w:highlight w:val="none"/>
        </w:rPr>
      </w:pPr>
      <w:r>
        <w:rPr>
          <w:rFonts w:hint="default" w:ascii="Times New Roman" w:hAnsi="Times New Roman" w:eastAsia="宋体" w:cs="Times New Roman"/>
          <w:snapToGrid w:val="0"/>
          <w:color w:val="FF0000"/>
          <w:kern w:val="0"/>
          <w:sz w:val="24"/>
          <w:szCs w:val="24"/>
          <w:highlight w:val="none"/>
        </w:rPr>
        <w:t>粪便作为农肥施用于农田，对于土壤来说，其机理类似于粪污土地处理系统，其净化机理包含了物理过滤、物理吸附、物理沉积、物理化学吸附、化学反应和化学沉淀、微生物对有机物的降解等过程，粪污在土地处理系统中的净化是一个综合净化过程。主要污染物的去除途径如下：</w:t>
      </w:r>
    </w:p>
    <w:p w14:paraId="631727A1">
      <w:pPr>
        <w:pageBreakBefore w:val="0"/>
        <w:kinsoku/>
        <w:wordWrap/>
        <w:bidi w:val="0"/>
        <w:snapToGrid w:val="0"/>
        <w:spacing w:line="360" w:lineRule="auto"/>
        <w:ind w:left="0" w:leftChars="0" w:right="0" w:rightChars="0" w:firstLine="480"/>
        <w:outlineLvl w:val="2"/>
        <w:rPr>
          <w:rFonts w:hint="default" w:ascii="Times New Roman" w:hAnsi="Times New Roman" w:eastAsia="宋体" w:cs="Times New Roman"/>
          <w:snapToGrid w:val="0"/>
          <w:color w:val="FF0000"/>
          <w:kern w:val="0"/>
          <w:sz w:val="24"/>
          <w:szCs w:val="24"/>
          <w:highlight w:val="none"/>
        </w:rPr>
      </w:pPr>
      <w:bookmarkStart w:id="627" w:name="_Toc512"/>
      <w:bookmarkStart w:id="628" w:name="_Toc471227811"/>
      <w:bookmarkStart w:id="629" w:name="_Toc8541"/>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lang w:val="en-US" w:eastAsia="zh-CN"/>
        </w:rPr>
        <w:t>1</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snapToGrid w:val="0"/>
          <w:color w:val="FF0000"/>
          <w:kern w:val="0"/>
          <w:sz w:val="24"/>
          <w:szCs w:val="24"/>
          <w:highlight w:val="none"/>
        </w:rPr>
        <w:t>BOD的去除</w:t>
      </w:r>
      <w:bookmarkEnd w:id="627"/>
      <w:bookmarkEnd w:id="628"/>
      <w:bookmarkEnd w:id="629"/>
    </w:p>
    <w:p w14:paraId="195A9F79">
      <w:pPr>
        <w:pageBreakBefore w:val="0"/>
        <w:kinsoku/>
        <w:wordWrap/>
        <w:bidi w:val="0"/>
        <w:snapToGrid w:val="0"/>
        <w:spacing w:line="360" w:lineRule="auto"/>
        <w:ind w:left="0" w:leftChars="0" w:right="0" w:rightChars="0" w:firstLine="480"/>
        <w:rPr>
          <w:rFonts w:hint="default" w:ascii="Times New Roman" w:hAnsi="Times New Roman" w:eastAsia="宋体" w:cs="Times New Roman"/>
          <w:snapToGrid w:val="0"/>
          <w:color w:val="FF0000"/>
          <w:kern w:val="0"/>
          <w:sz w:val="24"/>
          <w:szCs w:val="24"/>
          <w:highlight w:val="none"/>
        </w:rPr>
      </w:pPr>
      <w:r>
        <w:rPr>
          <w:rFonts w:hint="default" w:ascii="Times New Roman" w:hAnsi="Times New Roman" w:eastAsia="宋体" w:cs="Times New Roman"/>
          <w:snapToGrid w:val="0"/>
          <w:color w:val="FF0000"/>
          <w:kern w:val="0"/>
          <w:sz w:val="24"/>
          <w:szCs w:val="24"/>
          <w:highlight w:val="none"/>
        </w:rPr>
        <w:t>BOD大部分是在土壤表层土中去除的。土壤中含有大量的种类繁多的异养型微生物，它们能对被过滤、截留在土壤颗粒空隙间的悬浮有机物和溶解有机物进行生物降解，并合成微生物新细胞。当处理水的BOD负荷超过土壤微生物分解BOD的生物氧化能力时，会引起好氧状态或土壤堵塞。</w:t>
      </w:r>
    </w:p>
    <w:p w14:paraId="4B94FB98">
      <w:pPr>
        <w:pageBreakBefore w:val="0"/>
        <w:kinsoku/>
        <w:wordWrap/>
        <w:bidi w:val="0"/>
        <w:snapToGrid w:val="0"/>
        <w:spacing w:line="360" w:lineRule="auto"/>
        <w:ind w:left="0" w:leftChars="0" w:right="0" w:rightChars="0" w:firstLine="480"/>
        <w:outlineLvl w:val="2"/>
        <w:rPr>
          <w:rFonts w:hint="default" w:ascii="Times New Roman" w:hAnsi="Times New Roman" w:eastAsia="宋体" w:cs="Times New Roman"/>
          <w:snapToGrid w:val="0"/>
          <w:color w:val="FF0000"/>
          <w:kern w:val="0"/>
          <w:sz w:val="24"/>
          <w:szCs w:val="24"/>
          <w:highlight w:val="none"/>
        </w:rPr>
      </w:pPr>
      <w:bookmarkStart w:id="630" w:name="_Toc9892"/>
      <w:bookmarkStart w:id="631" w:name="_Toc471227812"/>
      <w:bookmarkStart w:id="632" w:name="_Toc30893"/>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lang w:val="en-US" w:eastAsia="zh-CN"/>
        </w:rPr>
        <w:t>2</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snapToGrid w:val="0"/>
          <w:color w:val="FF0000"/>
          <w:kern w:val="0"/>
          <w:sz w:val="24"/>
          <w:szCs w:val="24"/>
          <w:highlight w:val="none"/>
        </w:rPr>
        <w:t>磷和氮的去除</w:t>
      </w:r>
      <w:bookmarkEnd w:id="630"/>
      <w:bookmarkEnd w:id="631"/>
      <w:bookmarkEnd w:id="632"/>
    </w:p>
    <w:p w14:paraId="6A9DEEC5">
      <w:pPr>
        <w:pageBreakBefore w:val="0"/>
        <w:kinsoku/>
        <w:wordWrap/>
        <w:bidi w:val="0"/>
        <w:snapToGrid w:val="0"/>
        <w:spacing w:line="360" w:lineRule="auto"/>
        <w:ind w:left="0" w:leftChars="0" w:right="0" w:rightChars="0" w:firstLine="480"/>
        <w:rPr>
          <w:rFonts w:hint="default" w:ascii="Times New Roman" w:hAnsi="Times New Roman" w:eastAsia="宋体" w:cs="Times New Roman"/>
          <w:snapToGrid w:val="0"/>
          <w:color w:val="FF0000"/>
          <w:kern w:val="0"/>
          <w:sz w:val="24"/>
          <w:szCs w:val="24"/>
          <w:highlight w:val="none"/>
        </w:rPr>
      </w:pPr>
      <w:r>
        <w:rPr>
          <w:rFonts w:hint="default" w:ascii="Times New Roman" w:hAnsi="Times New Roman" w:eastAsia="宋体" w:cs="Times New Roman"/>
          <w:snapToGrid w:val="0"/>
          <w:color w:val="FF0000"/>
          <w:kern w:val="0"/>
          <w:sz w:val="24"/>
          <w:szCs w:val="24"/>
          <w:highlight w:val="none"/>
        </w:rPr>
        <w:t>在土地处理中，磷主要是通过植物吸收，化学反应和沉淀</w:t>
      </w:r>
      <w:r>
        <w:rPr>
          <w:rFonts w:hint="default" w:ascii="Times New Roman" w:hAnsi="Times New Roman" w:eastAsia="宋体" w:cs="Times New Roman"/>
          <w:snapToGrid w:val="0"/>
          <w:color w:val="FF0000"/>
          <w:kern w:val="0"/>
          <w:sz w:val="24"/>
          <w:szCs w:val="24"/>
          <w:highlight w:val="none"/>
          <w:lang w:eastAsia="zh-CN"/>
        </w:rPr>
        <w:t>（</w:t>
      </w:r>
      <w:r>
        <w:rPr>
          <w:rFonts w:hint="default" w:ascii="Times New Roman" w:hAnsi="Times New Roman" w:eastAsia="宋体" w:cs="Times New Roman"/>
          <w:snapToGrid w:val="0"/>
          <w:color w:val="FF0000"/>
          <w:kern w:val="0"/>
          <w:sz w:val="24"/>
          <w:szCs w:val="24"/>
          <w:highlight w:val="none"/>
        </w:rPr>
        <w:t>与土壤中的钙、铝、铁等离子形成难溶的磷酸盐</w:t>
      </w:r>
      <w:r>
        <w:rPr>
          <w:rFonts w:hint="default" w:ascii="Times New Roman" w:hAnsi="Times New Roman" w:eastAsia="宋体" w:cs="Times New Roman"/>
          <w:snapToGrid w:val="0"/>
          <w:color w:val="FF0000"/>
          <w:kern w:val="0"/>
          <w:sz w:val="24"/>
          <w:szCs w:val="24"/>
          <w:highlight w:val="none"/>
          <w:lang w:eastAsia="zh-CN"/>
        </w:rPr>
        <w:t>）</w:t>
      </w:r>
      <w:r>
        <w:rPr>
          <w:rFonts w:hint="default" w:ascii="Times New Roman" w:hAnsi="Times New Roman" w:eastAsia="宋体" w:cs="Times New Roman"/>
          <w:snapToGrid w:val="0"/>
          <w:color w:val="FF0000"/>
          <w:kern w:val="0"/>
          <w:sz w:val="24"/>
          <w:szCs w:val="24"/>
          <w:highlight w:val="none"/>
        </w:rPr>
        <w:t>，物理吸附和沉积</w:t>
      </w:r>
      <w:r>
        <w:rPr>
          <w:rFonts w:hint="default" w:ascii="Times New Roman" w:hAnsi="Times New Roman" w:eastAsia="宋体" w:cs="Times New Roman"/>
          <w:snapToGrid w:val="0"/>
          <w:color w:val="FF0000"/>
          <w:kern w:val="0"/>
          <w:sz w:val="24"/>
          <w:szCs w:val="24"/>
          <w:highlight w:val="none"/>
          <w:lang w:eastAsia="zh-CN"/>
        </w:rPr>
        <w:t>（</w:t>
      </w:r>
      <w:r>
        <w:rPr>
          <w:rFonts w:hint="default" w:ascii="Times New Roman" w:hAnsi="Times New Roman" w:eastAsia="宋体" w:cs="Times New Roman"/>
          <w:snapToGrid w:val="0"/>
          <w:color w:val="FF0000"/>
          <w:kern w:val="0"/>
          <w:sz w:val="24"/>
          <w:szCs w:val="24"/>
          <w:highlight w:val="none"/>
        </w:rPr>
        <w:t>土壤中的黏土矿物对磷酸盐的吸附和沉积</w:t>
      </w:r>
      <w:r>
        <w:rPr>
          <w:rFonts w:hint="default" w:ascii="Times New Roman" w:hAnsi="Times New Roman" w:eastAsia="宋体" w:cs="Times New Roman"/>
          <w:snapToGrid w:val="0"/>
          <w:color w:val="FF0000"/>
          <w:kern w:val="0"/>
          <w:sz w:val="24"/>
          <w:szCs w:val="24"/>
          <w:highlight w:val="none"/>
          <w:lang w:eastAsia="zh-CN"/>
        </w:rPr>
        <w:t>）</w:t>
      </w:r>
      <w:r>
        <w:rPr>
          <w:rFonts w:hint="default" w:ascii="Times New Roman" w:hAnsi="Times New Roman" w:eastAsia="宋体" w:cs="Times New Roman"/>
          <w:snapToGrid w:val="0"/>
          <w:color w:val="FF0000"/>
          <w:kern w:val="0"/>
          <w:sz w:val="24"/>
          <w:szCs w:val="24"/>
          <w:highlight w:val="none"/>
        </w:rPr>
        <w:t>，物理化学吸附</w:t>
      </w:r>
      <w:r>
        <w:rPr>
          <w:rFonts w:hint="default" w:ascii="Times New Roman" w:hAnsi="Times New Roman" w:eastAsia="宋体" w:cs="Times New Roman"/>
          <w:snapToGrid w:val="0"/>
          <w:color w:val="FF0000"/>
          <w:kern w:val="0"/>
          <w:sz w:val="24"/>
          <w:szCs w:val="24"/>
          <w:highlight w:val="none"/>
          <w:lang w:eastAsia="zh-CN"/>
        </w:rPr>
        <w:t>（</w:t>
      </w:r>
      <w:r>
        <w:rPr>
          <w:rFonts w:hint="default" w:ascii="Times New Roman" w:hAnsi="Times New Roman" w:eastAsia="宋体" w:cs="Times New Roman"/>
          <w:snapToGrid w:val="0"/>
          <w:color w:val="FF0000"/>
          <w:kern w:val="0"/>
          <w:sz w:val="24"/>
          <w:szCs w:val="24"/>
          <w:highlight w:val="none"/>
        </w:rPr>
        <w:t>离子交换、络合吸附</w:t>
      </w:r>
      <w:r>
        <w:rPr>
          <w:rFonts w:hint="default" w:ascii="Times New Roman" w:hAnsi="Times New Roman" w:eastAsia="宋体" w:cs="Times New Roman"/>
          <w:snapToGrid w:val="0"/>
          <w:color w:val="FF0000"/>
          <w:kern w:val="0"/>
          <w:sz w:val="24"/>
          <w:szCs w:val="24"/>
          <w:highlight w:val="none"/>
          <w:lang w:eastAsia="zh-CN"/>
        </w:rPr>
        <w:t>）</w:t>
      </w:r>
      <w:r>
        <w:rPr>
          <w:rFonts w:hint="default" w:ascii="Times New Roman" w:hAnsi="Times New Roman" w:eastAsia="宋体" w:cs="Times New Roman"/>
          <w:snapToGrid w:val="0"/>
          <w:color w:val="FF0000"/>
          <w:kern w:val="0"/>
          <w:sz w:val="24"/>
          <w:szCs w:val="24"/>
          <w:highlight w:val="none"/>
        </w:rPr>
        <w:t>等方式被去除。其去除效果受土壤结构、阳离子交换容量、铁铝氧化物和植物对磷的吸收等因素影响。氮主要是通过植物吸收，微生物脱氮</w:t>
      </w:r>
      <w:r>
        <w:rPr>
          <w:rFonts w:hint="default" w:ascii="Times New Roman" w:hAnsi="Times New Roman" w:eastAsia="宋体" w:cs="Times New Roman"/>
          <w:snapToGrid w:val="0"/>
          <w:color w:val="FF0000"/>
          <w:kern w:val="0"/>
          <w:sz w:val="24"/>
          <w:szCs w:val="24"/>
          <w:highlight w:val="none"/>
          <w:lang w:eastAsia="zh-CN"/>
        </w:rPr>
        <w:t>（</w:t>
      </w:r>
      <w:r>
        <w:rPr>
          <w:rFonts w:hint="default" w:ascii="Times New Roman" w:hAnsi="Times New Roman" w:eastAsia="宋体" w:cs="Times New Roman"/>
          <w:snapToGrid w:val="0"/>
          <w:color w:val="FF0000"/>
          <w:kern w:val="0"/>
          <w:sz w:val="24"/>
          <w:szCs w:val="24"/>
          <w:highlight w:val="none"/>
        </w:rPr>
        <w:t>氨化、硝化、反硝化</w:t>
      </w:r>
      <w:r>
        <w:rPr>
          <w:rFonts w:hint="default" w:ascii="Times New Roman" w:hAnsi="Times New Roman" w:eastAsia="宋体" w:cs="Times New Roman"/>
          <w:snapToGrid w:val="0"/>
          <w:color w:val="FF0000"/>
          <w:kern w:val="0"/>
          <w:sz w:val="24"/>
          <w:szCs w:val="24"/>
          <w:highlight w:val="none"/>
          <w:lang w:eastAsia="zh-CN"/>
        </w:rPr>
        <w:t>）</w:t>
      </w:r>
      <w:r>
        <w:rPr>
          <w:rFonts w:hint="default" w:ascii="Times New Roman" w:hAnsi="Times New Roman" w:eastAsia="宋体" w:cs="Times New Roman"/>
          <w:snapToGrid w:val="0"/>
          <w:color w:val="FF0000"/>
          <w:kern w:val="0"/>
          <w:sz w:val="24"/>
          <w:szCs w:val="24"/>
          <w:highlight w:val="none"/>
        </w:rPr>
        <w:t>，挥发、渗出</w:t>
      </w:r>
      <w:r>
        <w:rPr>
          <w:rFonts w:hint="default" w:ascii="Times New Roman" w:hAnsi="Times New Roman" w:eastAsia="宋体" w:cs="Times New Roman"/>
          <w:snapToGrid w:val="0"/>
          <w:color w:val="FF0000"/>
          <w:kern w:val="0"/>
          <w:sz w:val="24"/>
          <w:szCs w:val="24"/>
          <w:highlight w:val="none"/>
          <w:lang w:eastAsia="zh-CN"/>
        </w:rPr>
        <w:t>（</w:t>
      </w:r>
      <w:r>
        <w:rPr>
          <w:rFonts w:hint="default" w:ascii="Times New Roman" w:hAnsi="Times New Roman" w:eastAsia="宋体" w:cs="Times New Roman"/>
          <w:snapToGrid w:val="0"/>
          <w:color w:val="FF0000"/>
          <w:kern w:val="0"/>
          <w:sz w:val="24"/>
          <w:szCs w:val="24"/>
          <w:highlight w:val="none"/>
        </w:rPr>
        <w:t>氨在碱性条件下</w:t>
      </w:r>
      <w:r>
        <w:rPr>
          <w:rFonts w:hint="default" w:ascii="Times New Roman" w:hAnsi="Times New Roman" w:eastAsia="宋体" w:cs="Times New Roman"/>
          <w:snapToGrid w:val="0"/>
          <w:color w:val="FF0000"/>
          <w:kern w:val="0"/>
          <w:sz w:val="24"/>
          <w:szCs w:val="24"/>
          <w:highlight w:val="none"/>
          <w:lang w:eastAsia="zh-CN"/>
        </w:rPr>
        <w:t>溢出</w:t>
      </w:r>
      <w:r>
        <w:rPr>
          <w:rFonts w:hint="default" w:ascii="Times New Roman" w:hAnsi="Times New Roman" w:eastAsia="宋体" w:cs="Times New Roman"/>
          <w:snapToGrid w:val="0"/>
          <w:color w:val="FF0000"/>
          <w:kern w:val="0"/>
          <w:sz w:val="24"/>
          <w:szCs w:val="24"/>
          <w:highlight w:val="none"/>
        </w:rPr>
        <w:t>、硝酸盐的渗出</w:t>
      </w:r>
      <w:r>
        <w:rPr>
          <w:rFonts w:hint="default" w:ascii="Times New Roman" w:hAnsi="Times New Roman" w:eastAsia="宋体" w:cs="Times New Roman"/>
          <w:snapToGrid w:val="0"/>
          <w:color w:val="FF0000"/>
          <w:kern w:val="0"/>
          <w:sz w:val="24"/>
          <w:szCs w:val="24"/>
          <w:highlight w:val="none"/>
          <w:lang w:eastAsia="zh-CN"/>
        </w:rPr>
        <w:t>）</w:t>
      </w:r>
      <w:r>
        <w:rPr>
          <w:rFonts w:hint="default" w:ascii="Times New Roman" w:hAnsi="Times New Roman" w:eastAsia="宋体" w:cs="Times New Roman"/>
          <w:snapToGrid w:val="0"/>
          <w:color w:val="FF0000"/>
          <w:kern w:val="0"/>
          <w:sz w:val="24"/>
          <w:szCs w:val="24"/>
          <w:highlight w:val="none"/>
        </w:rPr>
        <w:t>等方式被去除。其去除率受作物的类型、生长期、对氮的吸收能力，以及土地处理系统的工艺等因素影响。</w:t>
      </w:r>
    </w:p>
    <w:p w14:paraId="5D52AA9C">
      <w:pPr>
        <w:pageBreakBefore w:val="0"/>
        <w:kinsoku/>
        <w:wordWrap/>
        <w:bidi w:val="0"/>
        <w:snapToGrid w:val="0"/>
        <w:spacing w:line="360" w:lineRule="auto"/>
        <w:ind w:left="0" w:leftChars="0" w:right="0" w:rightChars="0" w:firstLine="480"/>
        <w:outlineLvl w:val="2"/>
        <w:rPr>
          <w:rFonts w:hint="default" w:ascii="Times New Roman" w:hAnsi="Times New Roman" w:eastAsia="宋体" w:cs="Times New Roman"/>
          <w:snapToGrid w:val="0"/>
          <w:color w:val="FF0000"/>
          <w:kern w:val="0"/>
          <w:sz w:val="24"/>
          <w:szCs w:val="24"/>
          <w:highlight w:val="none"/>
        </w:rPr>
      </w:pPr>
      <w:bookmarkStart w:id="633" w:name="_Toc10606"/>
      <w:bookmarkStart w:id="634" w:name="_Toc6743"/>
      <w:bookmarkStart w:id="635" w:name="_Toc471227813"/>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lang w:val="en-US" w:eastAsia="zh-CN"/>
        </w:rPr>
        <w:t>3</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snapToGrid w:val="0"/>
          <w:color w:val="FF0000"/>
          <w:kern w:val="0"/>
          <w:sz w:val="24"/>
          <w:szCs w:val="24"/>
          <w:highlight w:val="none"/>
        </w:rPr>
        <w:t>病原体的去除</w:t>
      </w:r>
      <w:bookmarkEnd w:id="633"/>
      <w:bookmarkEnd w:id="634"/>
      <w:bookmarkEnd w:id="635"/>
    </w:p>
    <w:p w14:paraId="7A2673DF">
      <w:pPr>
        <w:pageBreakBefore w:val="0"/>
        <w:kinsoku/>
        <w:wordWrap/>
        <w:bidi w:val="0"/>
        <w:snapToGrid w:val="0"/>
        <w:spacing w:line="360" w:lineRule="auto"/>
        <w:ind w:left="0" w:leftChars="0" w:right="0" w:rightChars="0" w:firstLine="480"/>
        <w:rPr>
          <w:rFonts w:hint="default" w:ascii="Times New Roman" w:hAnsi="Times New Roman" w:eastAsia="宋体" w:cs="Times New Roman"/>
          <w:snapToGrid w:val="0"/>
          <w:color w:val="FF0000"/>
          <w:kern w:val="0"/>
          <w:sz w:val="24"/>
          <w:szCs w:val="24"/>
          <w:highlight w:val="none"/>
        </w:rPr>
      </w:pPr>
      <w:r>
        <w:rPr>
          <w:rFonts w:hint="default" w:ascii="Times New Roman" w:hAnsi="Times New Roman" w:eastAsia="宋体" w:cs="Times New Roman"/>
          <w:snapToGrid w:val="0"/>
          <w:color w:val="FF0000"/>
          <w:kern w:val="0"/>
          <w:sz w:val="24"/>
          <w:szCs w:val="24"/>
          <w:highlight w:val="none"/>
        </w:rPr>
        <w:t>农肥经土壤过滤后，水中大部分的病菌和病毒可被去除，去除率可达92</w:t>
      </w:r>
      <w:r>
        <w:rPr>
          <w:rFonts w:hint="default" w:ascii="Times New Roman" w:hAnsi="Times New Roman" w:eastAsia="宋体" w:cs="Times New Roman"/>
          <w:snapToGrid w:val="0"/>
          <w:color w:val="FF0000"/>
          <w:kern w:val="0"/>
          <w:sz w:val="24"/>
          <w:szCs w:val="24"/>
          <w:highlight w:val="none"/>
          <w:lang w:eastAsia="zh-CN"/>
        </w:rPr>
        <w:t>%</w:t>
      </w:r>
      <w:r>
        <w:rPr>
          <w:rFonts w:hint="default" w:ascii="Times New Roman" w:hAnsi="Times New Roman" w:eastAsia="宋体" w:cs="Times New Roman"/>
          <w:snapToGrid w:val="0"/>
          <w:color w:val="FF0000"/>
          <w:kern w:val="0"/>
          <w:sz w:val="24"/>
          <w:szCs w:val="24"/>
          <w:highlight w:val="none"/>
        </w:rPr>
        <w:t>～97</w:t>
      </w:r>
      <w:r>
        <w:rPr>
          <w:rFonts w:hint="default" w:ascii="Times New Roman" w:hAnsi="Times New Roman" w:eastAsia="宋体" w:cs="Times New Roman"/>
          <w:snapToGrid w:val="0"/>
          <w:color w:val="FF0000"/>
          <w:kern w:val="0"/>
          <w:sz w:val="24"/>
          <w:szCs w:val="24"/>
          <w:highlight w:val="none"/>
          <w:lang w:eastAsia="zh-CN"/>
        </w:rPr>
        <w:t>%</w:t>
      </w:r>
      <w:r>
        <w:rPr>
          <w:rFonts w:hint="default" w:ascii="Times New Roman" w:hAnsi="Times New Roman" w:eastAsia="宋体" w:cs="Times New Roman"/>
          <w:snapToGrid w:val="0"/>
          <w:color w:val="FF0000"/>
          <w:kern w:val="0"/>
          <w:sz w:val="24"/>
          <w:szCs w:val="24"/>
          <w:highlight w:val="none"/>
        </w:rPr>
        <w:t>。其去除率与选用的土地处理系统工艺有关，其中地表漫流的去除率略低，但若有较长的漫流距离和停留时间，也可达到较高的去除效率。</w:t>
      </w:r>
    </w:p>
    <w:p w14:paraId="3B381F05">
      <w:pPr>
        <w:pageBreakBefore w:val="0"/>
        <w:kinsoku/>
        <w:wordWrap/>
        <w:bidi w:val="0"/>
        <w:snapToGrid w:val="0"/>
        <w:spacing w:line="360" w:lineRule="auto"/>
        <w:ind w:left="0" w:leftChars="0" w:right="0" w:rightChars="0" w:firstLine="480"/>
        <w:rPr>
          <w:rFonts w:hint="default" w:ascii="Times New Roman" w:hAnsi="Times New Roman" w:eastAsia="宋体" w:cs="Times New Roman"/>
          <w:snapToGrid w:val="0"/>
          <w:color w:val="FF0000"/>
          <w:kern w:val="0"/>
          <w:sz w:val="24"/>
          <w:szCs w:val="24"/>
          <w:highlight w:val="none"/>
        </w:rPr>
      </w:pPr>
      <w:r>
        <w:rPr>
          <w:rFonts w:hint="default" w:ascii="Times New Roman" w:hAnsi="Times New Roman" w:eastAsia="宋体" w:cs="Times New Roman"/>
          <w:snapToGrid w:val="0"/>
          <w:color w:val="FF0000"/>
          <w:kern w:val="0"/>
          <w:sz w:val="24"/>
          <w:szCs w:val="24"/>
          <w:highlight w:val="none"/>
        </w:rPr>
        <w:t>农肥中的废水的在下渗过程中，通过土壤的过滤、吸附、离子交换、化学反应等作用，可使水质有所改善，因此越向下渗，水质将越好。因此只要粪便经好氧发酵处理后的农肥施用量适度，就不会造成土壤和地下水的污染。</w:t>
      </w:r>
    </w:p>
    <w:p w14:paraId="5A30DA6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经过发酵后的</w:t>
      </w:r>
      <w:r>
        <w:rPr>
          <w:rFonts w:hint="default" w:ascii="Times New Roman" w:hAnsi="Times New Roman" w:eastAsia="宋体" w:cs="Times New Roman"/>
          <w:color w:val="FF0000"/>
          <w:sz w:val="24"/>
          <w:szCs w:val="24"/>
          <w:highlight w:val="none"/>
          <w:lang w:eastAsia="zh-CN"/>
        </w:rPr>
        <w:t>有机肥</w:t>
      </w:r>
      <w:r>
        <w:rPr>
          <w:rFonts w:hint="default" w:ascii="Times New Roman" w:hAnsi="Times New Roman" w:eastAsia="宋体" w:cs="Times New Roman"/>
          <w:color w:val="FF0000"/>
          <w:sz w:val="24"/>
          <w:szCs w:val="24"/>
          <w:highlight w:val="none"/>
        </w:rPr>
        <w:t>，在还田前，需要进行以下几个工作：</w:t>
      </w:r>
    </w:p>
    <w:p w14:paraId="4AC52E0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lang w:val="en-US" w:eastAsia="zh-CN"/>
        </w:rPr>
        <w:t>1</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sz w:val="24"/>
          <w:szCs w:val="24"/>
          <w:highlight w:val="none"/>
        </w:rPr>
        <w:t>利用时必须对</w:t>
      </w:r>
      <w:r>
        <w:rPr>
          <w:rFonts w:hint="default" w:ascii="Times New Roman" w:hAnsi="Times New Roman" w:eastAsia="宋体" w:cs="Times New Roman"/>
          <w:color w:val="FF0000"/>
          <w:sz w:val="24"/>
          <w:szCs w:val="24"/>
          <w:highlight w:val="none"/>
          <w:lang w:eastAsia="zh-CN"/>
        </w:rPr>
        <w:t>有机肥</w:t>
      </w:r>
      <w:r>
        <w:rPr>
          <w:rFonts w:hint="default" w:ascii="Times New Roman" w:hAnsi="Times New Roman" w:eastAsia="宋体" w:cs="Times New Roman"/>
          <w:color w:val="FF0000"/>
          <w:sz w:val="24"/>
          <w:szCs w:val="24"/>
          <w:highlight w:val="none"/>
        </w:rPr>
        <w:t>成分进行科学的测定。满足《畜禽规模养殖污染防治条例》（第643号）有关畜禽粪便综合利用与治理相关要求及《畜禽养殖业污染物排放标准》（GB18596-2001）中表6畜禽养殖业废渣无害化环境标准关于无害化的要求后，进行还田，避免污染食物链。</w:t>
      </w:r>
    </w:p>
    <w:p w14:paraId="4E9BFC6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lang w:val="en-US" w:eastAsia="zh-CN"/>
        </w:rPr>
        <w:t>2</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sz w:val="24"/>
          <w:szCs w:val="24"/>
          <w:highlight w:val="none"/>
        </w:rPr>
        <w:t>对农肥</w:t>
      </w:r>
      <w:r>
        <w:rPr>
          <w:rFonts w:hint="default" w:ascii="Times New Roman" w:hAnsi="Times New Roman" w:eastAsia="宋体" w:cs="Times New Roman"/>
          <w:color w:val="FF0000"/>
          <w:sz w:val="24"/>
          <w:szCs w:val="24"/>
          <w:highlight w:val="none"/>
          <w:lang w:eastAsia="zh-CN"/>
        </w:rPr>
        <w:t>所含的</w:t>
      </w:r>
      <w:r>
        <w:rPr>
          <w:rFonts w:hint="default" w:ascii="Times New Roman" w:hAnsi="Times New Roman" w:eastAsia="宋体" w:cs="Times New Roman"/>
          <w:color w:val="FF0000"/>
          <w:sz w:val="24"/>
          <w:szCs w:val="24"/>
          <w:highlight w:val="none"/>
        </w:rPr>
        <w:t>物质进行检测。主要检测N、P、K、微量元素、有机物质以及</w:t>
      </w:r>
      <w:r>
        <w:rPr>
          <w:rFonts w:hint="default" w:ascii="Times New Roman" w:hAnsi="Times New Roman" w:eastAsia="宋体" w:cs="Times New Roman"/>
          <w:color w:val="FF0000"/>
          <w:sz w:val="24"/>
          <w:szCs w:val="24"/>
          <w:highlight w:val="none"/>
          <w:lang w:eastAsia="zh-CN"/>
        </w:rPr>
        <w:t>pH值</w:t>
      </w:r>
      <w:r>
        <w:rPr>
          <w:rFonts w:hint="default" w:ascii="Times New Roman" w:hAnsi="Times New Roman" w:eastAsia="宋体" w:cs="Times New Roman"/>
          <w:color w:val="FF0000"/>
          <w:sz w:val="24"/>
          <w:szCs w:val="24"/>
          <w:highlight w:val="none"/>
        </w:rPr>
        <w:t>等。</w:t>
      </w:r>
    </w:p>
    <w:p w14:paraId="45B342F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lang w:val="en-US" w:eastAsia="zh-CN"/>
        </w:rPr>
        <w:t>3</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sz w:val="24"/>
          <w:szCs w:val="24"/>
          <w:highlight w:val="none"/>
        </w:rPr>
        <w:t>对土壤进行土化检测，测定所含N、P、K、有机物的含量。</w:t>
      </w:r>
    </w:p>
    <w:p w14:paraId="798336B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0000"/>
          <w:sz w:val="24"/>
          <w:szCs w:val="24"/>
          <w:highlight w:val="none"/>
        </w:rPr>
      </w:pPr>
      <w:r>
        <w:rPr>
          <w:rFonts w:hint="default" w:ascii="Times New Roman" w:hAnsi="Times New Roman" w:eastAsia="宋体" w:cs="Times New Roman"/>
          <w:color w:val="FF0000"/>
          <w:sz w:val="24"/>
          <w:szCs w:val="24"/>
          <w:highlight w:val="none"/>
        </w:rPr>
        <w:t>通过以上措施，项目</w:t>
      </w:r>
      <w:r>
        <w:rPr>
          <w:rFonts w:hint="default" w:ascii="Times New Roman" w:hAnsi="Times New Roman" w:eastAsia="宋体" w:cs="Times New Roman"/>
          <w:color w:val="FF0000"/>
          <w:sz w:val="24"/>
          <w:szCs w:val="24"/>
          <w:highlight w:val="none"/>
          <w:lang w:eastAsia="zh-CN"/>
        </w:rPr>
        <w:t>有机肥</w:t>
      </w:r>
      <w:r>
        <w:rPr>
          <w:rFonts w:hint="default" w:ascii="Times New Roman" w:hAnsi="Times New Roman" w:eastAsia="宋体" w:cs="Times New Roman"/>
          <w:color w:val="FF0000"/>
          <w:sz w:val="24"/>
          <w:szCs w:val="24"/>
          <w:highlight w:val="none"/>
        </w:rPr>
        <w:t>资源化还田利用是可行的。</w:t>
      </w:r>
    </w:p>
    <w:p w14:paraId="6768E9F1">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FF0000"/>
          <w:highlight w:val="none"/>
        </w:rPr>
      </w:pPr>
      <w:bookmarkStart w:id="636" w:name="_Toc22884"/>
      <w:r>
        <w:rPr>
          <w:rFonts w:hint="default" w:ascii="Times New Roman" w:hAnsi="Times New Roman" w:eastAsia="宋体" w:cs="Times New Roman"/>
          <w:color w:val="FF0000"/>
          <w:highlight w:val="none"/>
        </w:rPr>
        <w:t>7.8.</w:t>
      </w:r>
      <w:r>
        <w:rPr>
          <w:rFonts w:hint="default" w:ascii="Times New Roman" w:hAnsi="Times New Roman" w:eastAsia="宋体" w:cs="Times New Roman"/>
          <w:color w:val="FF0000"/>
          <w:highlight w:val="none"/>
          <w:lang w:val="en-US" w:eastAsia="zh-CN"/>
        </w:rPr>
        <w:t>5</w:t>
      </w:r>
      <w:r>
        <w:rPr>
          <w:rFonts w:hint="default" w:ascii="Times New Roman" w:hAnsi="Times New Roman" w:eastAsia="宋体" w:cs="Times New Roman"/>
          <w:color w:val="FF0000"/>
          <w:highlight w:val="none"/>
        </w:rPr>
        <w:t>土地承载力分析</w:t>
      </w:r>
      <w:bookmarkEnd w:id="636"/>
    </w:p>
    <w:p w14:paraId="2552E98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rPr>
        <w:t>根据《畜禽规模养殖污染防治条例》第十八条规定：“</w:t>
      </w:r>
      <w:r>
        <w:rPr>
          <w:rFonts w:hint="default" w:ascii="Times New Roman" w:hAnsi="Times New Roman" w:eastAsia="宋体" w:cs="Times New Roman"/>
          <w:color w:val="FF0000"/>
          <w:szCs w:val="24"/>
          <w:highlight w:val="none"/>
        </w:rPr>
        <w:t>将畜禽粪便、污水、沼渣、沼液等用作肥料的，应当与土地的消纳能力相适应，并采取有效措施，消除可能引起传染病的微生物，防止污染环境和传播疫病</w:t>
      </w:r>
      <w:r>
        <w:rPr>
          <w:rFonts w:hint="default" w:ascii="Times New Roman" w:hAnsi="Times New Roman" w:eastAsia="宋体" w:cs="Times New Roman"/>
          <w:color w:val="FF0000"/>
          <w:highlight w:val="none"/>
        </w:rPr>
        <w:t>”</w:t>
      </w:r>
      <w:r>
        <w:rPr>
          <w:rFonts w:hint="default" w:ascii="Times New Roman" w:hAnsi="Times New Roman" w:eastAsia="宋体" w:cs="Times New Roman"/>
          <w:color w:val="FF0000"/>
          <w:szCs w:val="24"/>
          <w:highlight w:val="none"/>
        </w:rPr>
        <w:t>。项目产生的牛只粪便</w:t>
      </w:r>
      <w:r>
        <w:rPr>
          <w:rFonts w:hint="default" w:ascii="Times New Roman" w:hAnsi="Times New Roman" w:eastAsia="宋体" w:cs="Times New Roman"/>
          <w:color w:val="FF0000"/>
          <w:highlight w:val="none"/>
        </w:rPr>
        <w:t>经好氧降解无害化处理施于农田并不超过土地养分需求，不造成环境污染，即属于粪肥还田，而不是向环境排污。</w:t>
      </w:r>
    </w:p>
    <w:p w14:paraId="6CD673E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0000"/>
          <w:highlight w:val="none"/>
        </w:rPr>
      </w:pPr>
      <w:r>
        <w:rPr>
          <w:rFonts w:hint="default" w:ascii="Times New Roman" w:hAnsi="Times New Roman" w:eastAsia="宋体" w:cs="Times New Roman"/>
          <w:color w:val="FF0000"/>
          <w:highlight w:val="none"/>
        </w:rPr>
        <w:t>《畜禽养殖业污染防治技术规范》提出了原则性规定：畜禽养殖场的建设应坚持“农牧结合、种养平衡”的原则，根据本项目区域土地（包括与其他土地经营者签约承诺消纳本场区产生粪便污水的土地）对畜禽粪便的消纳能力，确定新建畜禽养殖场的养殖规模。对于无相应消纳土地的养殖场，必须配套建立具有相应加工（处理）能力的粪便污水处理设施或处理（处置）机制。</w:t>
      </w:r>
    </w:p>
    <w:p w14:paraId="332316E5">
      <w:pPr>
        <w:pageBreakBefore w:val="0"/>
        <w:kinsoku/>
        <w:wordWrap/>
        <w:bidi w:val="0"/>
        <w:snapToGrid w:val="0"/>
        <w:spacing w:line="360" w:lineRule="auto"/>
        <w:ind w:left="0" w:leftChars="0" w:right="0" w:rightChars="0" w:firstLine="480"/>
        <w:rPr>
          <w:rFonts w:hint="default" w:ascii="Times New Roman" w:hAnsi="Times New Roman" w:eastAsia="宋体" w:cs="Times New Roman"/>
          <w:snapToGrid w:val="0"/>
          <w:color w:val="FF0000"/>
          <w:kern w:val="0"/>
          <w:highlight w:val="none"/>
          <w:lang w:eastAsia="zh-CN"/>
        </w:rPr>
      </w:pPr>
      <w:r>
        <w:rPr>
          <w:rFonts w:hint="default" w:ascii="Times New Roman" w:hAnsi="Times New Roman" w:eastAsia="宋体" w:cs="Times New Roman"/>
          <w:color w:val="FF0000"/>
          <w:highlight w:val="none"/>
        </w:rPr>
        <w:t>综上，项目粪便经处理后达到《畜禽养殖业污染物排放标准》（GB18596-2001）及《畜禽粪便无害化处理技术规范》（GB／T36195-2018）要求后还田利用，同时消纳土地满足《内蒙古自治区畜禽养殖主要污染物减排工程项目建设技术指南（试行）》（内环发</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rPr>
        <w:t>2014</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rPr>
        <w:t>83号），消纳土地面积要求每头牛不少于1.25亩土地</w:t>
      </w:r>
      <w:bookmarkStart w:id="637" w:name="_Toc307561344"/>
      <w:bookmarkStart w:id="638" w:name="_Toc304537918"/>
      <w:bookmarkStart w:id="639" w:name="_Toc305308441"/>
      <w:bookmarkStart w:id="640" w:name="_Toc305323649"/>
      <w:bookmarkStart w:id="641" w:name="_Toc307566463"/>
      <w:bookmarkStart w:id="642" w:name="_Toc439090937"/>
      <w:bookmarkStart w:id="643" w:name="_Toc304736430"/>
      <w:bookmarkStart w:id="644" w:name="_Toc303002857"/>
      <w:bookmarkStart w:id="645" w:name="_Toc347090031"/>
      <w:r>
        <w:rPr>
          <w:rFonts w:hint="default" w:ascii="Times New Roman" w:hAnsi="Times New Roman" w:eastAsia="宋体" w:cs="Times New Roman"/>
          <w:color w:val="FF0000"/>
          <w:highlight w:val="none"/>
        </w:rPr>
        <w:t>的要求，项目配套消纳土地</w:t>
      </w:r>
      <w:r>
        <w:rPr>
          <w:rFonts w:hint="default" w:ascii="Times New Roman" w:hAnsi="Times New Roman" w:eastAsia="宋体" w:cs="Times New Roman"/>
          <w:color w:val="FF0000"/>
          <w:highlight w:val="none"/>
          <w:lang w:val="en-US" w:eastAsia="zh-CN"/>
        </w:rPr>
        <w:t>6250</w:t>
      </w:r>
      <w:r>
        <w:rPr>
          <w:rFonts w:hint="default" w:ascii="Times New Roman" w:hAnsi="Times New Roman" w:eastAsia="宋体" w:cs="Times New Roman"/>
          <w:color w:val="FF0000"/>
          <w:highlight w:val="none"/>
          <w:lang w:eastAsia="zh-CN"/>
        </w:rPr>
        <w:t>亩</w:t>
      </w:r>
      <w:r>
        <w:rPr>
          <w:rFonts w:hint="default" w:ascii="Times New Roman" w:hAnsi="Times New Roman" w:eastAsia="宋体" w:cs="Times New Roman"/>
          <w:color w:val="FF0000"/>
          <w:highlight w:val="none"/>
        </w:rPr>
        <w:t>。</w:t>
      </w:r>
      <w:r>
        <w:rPr>
          <w:rFonts w:hint="default" w:ascii="Times New Roman" w:hAnsi="Times New Roman" w:eastAsia="宋体" w:cs="Times New Roman"/>
          <w:color w:val="FF0000"/>
          <w:kern w:val="0"/>
          <w:highlight w:val="none"/>
        </w:rPr>
        <w:t>项目产生的粪便完全可以得以消纳，不会有超过农田负荷的情况出现，因此项目养殖粪便有机肥及液肥</w:t>
      </w:r>
      <w:r>
        <w:rPr>
          <w:rFonts w:hint="default" w:ascii="Times New Roman" w:hAnsi="Times New Roman" w:eastAsia="宋体" w:cs="Times New Roman"/>
          <w:snapToGrid w:val="0"/>
          <w:color w:val="FF0000"/>
          <w:kern w:val="0"/>
          <w:highlight w:val="none"/>
        </w:rPr>
        <w:t>作为肥料用于还田资源化利用的方案可行</w:t>
      </w:r>
      <w:r>
        <w:rPr>
          <w:rFonts w:hint="default" w:ascii="Times New Roman" w:hAnsi="Times New Roman" w:eastAsia="宋体" w:cs="Times New Roman"/>
          <w:snapToGrid w:val="0"/>
          <w:color w:val="FF0000"/>
          <w:kern w:val="0"/>
          <w:highlight w:val="none"/>
          <w:lang w:eastAsia="zh-CN"/>
        </w:rPr>
        <w:t>。</w:t>
      </w:r>
    </w:p>
    <w:bookmarkEnd w:id="637"/>
    <w:bookmarkEnd w:id="638"/>
    <w:bookmarkEnd w:id="639"/>
    <w:bookmarkEnd w:id="640"/>
    <w:bookmarkEnd w:id="641"/>
    <w:bookmarkEnd w:id="642"/>
    <w:bookmarkEnd w:id="643"/>
    <w:bookmarkEnd w:id="644"/>
    <w:bookmarkEnd w:id="645"/>
    <w:p w14:paraId="089902A5">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646" w:name="_Toc4083"/>
      <w:r>
        <w:rPr>
          <w:rFonts w:hint="default" w:ascii="Times New Roman" w:hAnsi="Times New Roman" w:eastAsia="宋体" w:cs="Times New Roman"/>
          <w:color w:val="auto"/>
          <w:highlight w:val="none"/>
        </w:rPr>
        <w:t>7.9运营期生态环境保护措施</w:t>
      </w:r>
      <w:bookmarkEnd w:id="646"/>
    </w:p>
    <w:p w14:paraId="2A6DA0A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营运期生态环境保护措施，主要为在</w:t>
      </w:r>
      <w:r>
        <w:rPr>
          <w:rFonts w:hint="default" w:ascii="Times New Roman" w:hAnsi="Times New Roman" w:eastAsia="宋体" w:cs="Times New Roman"/>
          <w:color w:val="auto"/>
          <w:highlight w:val="none"/>
          <w:lang w:eastAsia="zh-CN"/>
        </w:rPr>
        <w:t>养殖</w:t>
      </w:r>
      <w:r>
        <w:rPr>
          <w:rFonts w:hint="default" w:ascii="Times New Roman" w:hAnsi="Times New Roman" w:eastAsia="宋体" w:cs="Times New Roman"/>
          <w:color w:val="auto"/>
          <w:highlight w:val="none"/>
        </w:rPr>
        <w:t>场四周及场内道路两侧种植对</w:t>
      </w:r>
      <w:r>
        <w:rPr>
          <w:rFonts w:hint="default" w:ascii="Times New Roman" w:hAnsi="Times New Roman" w:eastAsia="宋体" w:cs="Times New Roman"/>
          <w:color w:val="auto"/>
          <w:highlight w:val="none"/>
          <w:lang w:eastAsia="zh-CN"/>
        </w:rPr>
        <w:t>氨、硫化氢气</w:t>
      </w:r>
      <w:r>
        <w:rPr>
          <w:rFonts w:hint="default" w:ascii="Times New Roman" w:hAnsi="Times New Roman" w:eastAsia="宋体" w:cs="Times New Roman"/>
          <w:color w:val="auto"/>
          <w:highlight w:val="none"/>
        </w:rPr>
        <w:t>等有害气体吸收能力较强的树木，如：杨树等乔木树种，以吸收有害气体，杀灭细菌，降低其在周围环境中的浓度。</w:t>
      </w:r>
    </w:p>
    <w:p w14:paraId="1FA0D96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绿色植物，特别是树木，对粉尘也有明显的阻挡、过滤和吸附作用。树木的枝冠能降低风速，使灰尘下降，叶子表面不平，还分泌</w:t>
      </w:r>
      <w:r>
        <w:rPr>
          <w:rFonts w:hint="default" w:ascii="Times New Roman" w:hAnsi="Times New Roman" w:eastAsia="宋体" w:cs="Times New Roman"/>
          <w:color w:val="auto"/>
          <w:highlight w:val="none"/>
          <w:lang w:eastAsia="zh-CN"/>
        </w:rPr>
        <w:t>黏性的油脂</w:t>
      </w:r>
      <w:r>
        <w:rPr>
          <w:rFonts w:hint="default" w:ascii="Times New Roman" w:hAnsi="Times New Roman" w:eastAsia="宋体" w:cs="Times New Roman"/>
          <w:color w:val="auto"/>
          <w:highlight w:val="none"/>
        </w:rPr>
        <w:t>和汁浆，能吸附空气中的尘埃。一般情况下，绿化树木能使降尘量减少</w:t>
      </w:r>
      <w:r>
        <w:rPr>
          <w:rFonts w:hint="default" w:ascii="Times New Roman" w:hAnsi="Times New Roman" w:eastAsia="宋体" w:cs="Times New Roman"/>
          <w:color w:val="auto"/>
          <w:highlight w:val="none"/>
          <w:lang w:eastAsia="zh-CN"/>
        </w:rPr>
        <w:t>23%-25%</w:t>
      </w:r>
      <w:r>
        <w:rPr>
          <w:rFonts w:hint="default" w:ascii="Times New Roman" w:hAnsi="Times New Roman" w:eastAsia="宋体" w:cs="Times New Roman"/>
          <w:color w:val="auto"/>
          <w:highlight w:val="none"/>
        </w:rPr>
        <w:t>；而飘尘量减少</w:t>
      </w:r>
      <w:r>
        <w:rPr>
          <w:rFonts w:hint="default" w:ascii="Times New Roman" w:hAnsi="Times New Roman" w:eastAsia="宋体" w:cs="Times New Roman"/>
          <w:color w:val="auto"/>
          <w:highlight w:val="none"/>
          <w:lang w:eastAsia="zh-CN"/>
        </w:rPr>
        <w:t>37%-60%</w:t>
      </w:r>
      <w:r>
        <w:rPr>
          <w:rFonts w:hint="default" w:ascii="Times New Roman" w:hAnsi="Times New Roman" w:eastAsia="宋体" w:cs="Times New Roman"/>
          <w:color w:val="auto"/>
          <w:highlight w:val="none"/>
        </w:rPr>
        <w:t>，落叶阔叶树比常绿阔叶树滞尘能力要强。</w:t>
      </w:r>
    </w:p>
    <w:p w14:paraId="7AAC2F8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因此，为了减噪和净化空气，减少异味，保护环境，应在园区根据不同地段的要求，合理搭配各种植物。在绿化的同时，充分发挥植物净化、防尘、隔噪等效应。例如废气污染源</w:t>
      </w:r>
      <w:r>
        <w:rPr>
          <w:rFonts w:hint="default" w:ascii="Times New Roman" w:hAnsi="Times New Roman" w:eastAsia="宋体" w:cs="Times New Roman"/>
          <w:color w:val="auto"/>
          <w:highlight w:val="none"/>
          <w:lang w:eastAsia="zh-CN"/>
        </w:rPr>
        <w:t>与其他</w:t>
      </w:r>
      <w:r>
        <w:rPr>
          <w:rFonts w:hint="default" w:ascii="Times New Roman" w:hAnsi="Times New Roman" w:eastAsia="宋体" w:cs="Times New Roman"/>
          <w:color w:val="auto"/>
          <w:highlight w:val="none"/>
        </w:rPr>
        <w:t>建筑物之间应设置高大阔叶乔木林带，并选择降尘、吸收效果好的树种；而在发生噪声的车间周围则应选择降噪效果明显的树种，设置较宽的防护林带。达到既发展生产，又改善和保护环境的目的。</w:t>
      </w:r>
    </w:p>
    <w:p w14:paraId="67CB6CF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牛场绿化对于吸收有害气体，补充新鲜空气，阻隔噪声，保护生态环境，改善工作环境，美化劳动环境，改善小气候等均有着十分重要的作用。项目建成后，场区内栽种适合当地耐寒的植物及树种，场区绿化面积约为</w:t>
      </w:r>
      <w:r>
        <w:rPr>
          <w:rFonts w:hint="default" w:ascii="Times New Roman" w:hAnsi="Times New Roman" w:eastAsia="宋体" w:cs="Times New Roman"/>
          <w:color w:val="auto"/>
          <w:highlight w:val="none"/>
          <w:lang w:val="en-US" w:eastAsia="zh-CN"/>
        </w:rPr>
        <w:t>10000</w:t>
      </w:r>
      <w:r>
        <w:rPr>
          <w:rFonts w:hint="default" w:ascii="Times New Roman" w:hAnsi="Times New Roman" w:eastAsia="宋体" w:cs="Times New Roman"/>
          <w:color w:val="auto"/>
          <w:highlight w:val="none"/>
        </w:rPr>
        <w:t>平方米。</w:t>
      </w:r>
    </w:p>
    <w:p w14:paraId="0713F13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①场区林带</w:t>
      </w:r>
    </w:p>
    <w:p w14:paraId="316636F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在场界周边种植乔木和灌木混合林带，并栽种刺笆。乔木类的大叶杨、早柳、钻天杨、榆树及常绿针叶树等；灌木类的河柳、紫穗槐、侧柏等起到防风阻沙等作用。</w:t>
      </w:r>
    </w:p>
    <w:p w14:paraId="56710E6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②绿化隔离带</w:t>
      </w:r>
    </w:p>
    <w:p w14:paraId="5F5853C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在各个分区之间设置绿化隔离带，一般可用杨树、榆树或灌木，以起到隔离作用；场址边缘地带种植适应当地的高大树种形成多层防护林带，建设单位规划沿牛场四周栽植模式为2米×2行模式，形成防护林。</w:t>
      </w:r>
    </w:p>
    <w:p w14:paraId="572C8F6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③道路绿化</w:t>
      </w:r>
    </w:p>
    <w:p w14:paraId="7BFAFB32">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主干道两侧用适合当地气候的槐树、榆树等四季常青树种，进行绿化。</w:t>
      </w:r>
    </w:p>
    <w:p w14:paraId="0803926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④管理中心绿化</w:t>
      </w:r>
    </w:p>
    <w:p w14:paraId="6156EAA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生活管理区及场区大门周围种花种草进行绿化，净化空气，美化环境。</w:t>
      </w:r>
    </w:p>
    <w:p w14:paraId="2BA4501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采取以上措施后，建设项目对区域生态环境影响很小</w:t>
      </w:r>
      <w:r>
        <w:rPr>
          <w:rFonts w:hint="default" w:ascii="Times New Roman" w:hAnsi="Times New Roman" w:eastAsia="宋体" w:cs="Times New Roman"/>
          <w:color w:val="auto"/>
          <w:highlight w:val="none"/>
          <w:lang w:val="en-US" w:eastAsia="zh-CN"/>
        </w:rPr>
        <w:t>。</w:t>
      </w:r>
    </w:p>
    <w:p w14:paraId="3FE733E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val="en-US" w:eastAsia="zh-CN"/>
        </w:rPr>
        <w:sectPr>
          <w:pgSz w:w="11906" w:h="16838"/>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26" w:charSpace="0"/>
        </w:sectPr>
      </w:pPr>
    </w:p>
    <w:p w14:paraId="2DD82AEC">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0" w:firstLineChars="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69504" behindDoc="0" locked="0" layoutInCell="1" allowOverlap="1">
                <wp:simplePos x="0" y="0"/>
                <wp:positionH relativeFrom="column">
                  <wp:posOffset>3796665</wp:posOffset>
                </wp:positionH>
                <wp:positionV relativeFrom="paragraph">
                  <wp:posOffset>13970</wp:posOffset>
                </wp:positionV>
                <wp:extent cx="1911985" cy="492125"/>
                <wp:effectExtent l="12700" t="12700" r="18415" b="352425"/>
                <wp:wrapNone/>
                <wp:docPr id="111" name="矩形标注 111"/>
                <wp:cNvGraphicFramePr/>
                <a:graphic xmlns:a="http://schemas.openxmlformats.org/drawingml/2006/main">
                  <a:graphicData uri="http://schemas.microsoft.com/office/word/2010/wordprocessingShape">
                    <wps:wsp>
                      <wps:cNvSpPr/>
                      <wps:spPr>
                        <a:xfrm>
                          <a:off x="0" y="0"/>
                          <a:ext cx="1911985" cy="492125"/>
                        </a:xfrm>
                        <a:prstGeom prst="wedgeRectCallout">
                          <a:avLst>
                            <a:gd name="adj1" fmla="val 22633"/>
                            <a:gd name="adj2" fmla="val 118258"/>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7EE76C">
                            <w:pPr>
                              <w:spacing w:line="240" w:lineRule="auto"/>
                              <w:ind w:left="0" w:leftChars="0" w:firstLine="0" w:firstLineChars="0"/>
                              <w:jc w:val="both"/>
                              <w:rPr>
                                <w:rFonts w:hint="eastAsia" w:eastAsia="宋体"/>
                                <w:color w:val="FF0000"/>
                                <w:sz w:val="21"/>
                                <w:szCs w:val="2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sz w:val="21"/>
                                <w:szCs w:val="2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生活区周围种植花草等进行绿化，净化空气，美化环境</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98.95pt;margin-top:1.1pt;height:38.75pt;width:150.55pt;z-index:251669504;v-text-anchor:middle;mso-width-relative:page;mso-height-relative:page;" filled="f" stroked="t" coordsize="21600,21600" o:gfxdata="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GoYRHHWAAAACAEAAA8AAAAAAAAAAQAgAAAAIgAAAGRycy9kb3ducmV2LnhtbFBLAQIU&#10;ABQAAAAIAIdO4kCG8iUkoAIAACcFAAAOAAAAAAAAAAEAIAAAACUBAABkcnMvZTJvRG9jLnhtbFBL&#10;BQYAAAAABgAGAFkBAAA3BgAAAAA=&#10;" adj="15689,36344">
                <v:fill on="f" focussize="0,0"/>
                <v:stroke weight="2pt" color="#00B050 [3204]" joinstyle="round"/>
                <v:imagedata o:title=""/>
                <o:lock v:ext="edit" aspectratio="f"/>
                <v:textbox>
                  <w:txbxContent>
                    <w:p w14:paraId="4F7EE76C">
                      <w:pPr>
                        <w:spacing w:line="240" w:lineRule="auto"/>
                        <w:ind w:left="0" w:leftChars="0" w:firstLine="0" w:firstLineChars="0"/>
                        <w:jc w:val="both"/>
                        <w:rPr>
                          <w:rFonts w:hint="eastAsia" w:eastAsia="宋体"/>
                          <w:color w:val="FF0000"/>
                          <w:sz w:val="21"/>
                          <w:szCs w:val="2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sz w:val="21"/>
                          <w:szCs w:val="2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生活区周围种植花草等进行绿化，净化空气，美化环境</w:t>
                      </w:r>
                    </w:p>
                  </w:txbxContent>
                </v:textbox>
              </v:shape>
            </w:pict>
          </mc:Fallback>
        </mc:AlternateContent>
      </w:r>
    </w:p>
    <w:p w14:paraId="4A9B54DA">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0" w:firstLineChars="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67456" behindDoc="0" locked="0" layoutInCell="1" allowOverlap="1">
                <wp:simplePos x="0" y="0"/>
                <wp:positionH relativeFrom="column">
                  <wp:posOffset>7649210</wp:posOffset>
                </wp:positionH>
                <wp:positionV relativeFrom="paragraph">
                  <wp:posOffset>1905</wp:posOffset>
                </wp:positionV>
                <wp:extent cx="865505" cy="1311275"/>
                <wp:effectExtent l="2103755" t="12700" r="21590" b="28575"/>
                <wp:wrapNone/>
                <wp:docPr id="109" name="矩形标注 109"/>
                <wp:cNvGraphicFramePr/>
                <a:graphic xmlns:a="http://schemas.openxmlformats.org/drawingml/2006/main">
                  <a:graphicData uri="http://schemas.microsoft.com/office/word/2010/wordprocessingShape">
                    <wps:wsp>
                      <wps:cNvSpPr/>
                      <wps:spPr>
                        <a:xfrm>
                          <a:off x="0" y="0"/>
                          <a:ext cx="865505" cy="1311275"/>
                        </a:xfrm>
                        <a:prstGeom prst="wedgeRectCallout">
                          <a:avLst>
                            <a:gd name="adj1" fmla="val -291599"/>
                            <a:gd name="adj2" fmla="val 23123"/>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CF43E6">
                            <w:pPr>
                              <w:spacing w:line="240" w:lineRule="auto"/>
                              <w:ind w:left="0" w:leftChars="0" w:firstLine="0" w:firstLineChars="0"/>
                              <w:jc w:val="both"/>
                              <w:rPr>
                                <w:rFonts w:hint="eastAsia" w:eastAsia="宋体"/>
                                <w:color w:val="FF0000"/>
                                <w:sz w:val="21"/>
                                <w:szCs w:val="2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sz w:val="21"/>
                                <w:szCs w:val="2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在各个分区之间种植适应当地的高大树种等进行绿化</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602.3pt;margin-top:0.15pt;height:103.25pt;width:68.15pt;z-index:251667456;v-text-anchor:middle;mso-width-relative:page;mso-height-relative:page;" filled="f" stroked="t" coordsize="21600,21600" o:gfxdata="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2kM6QtgAAAAKAQAADwAAAAAAAAABACAAAAAiAAAAZHJzL2Rvd25yZXYueG1s&#10;UEsBAhQAFAAAAAgAh07iQFiA10CjAgAAKAUAAA4AAAAAAAAAAQAgAAAAJwEAAGRycy9lMm9Eb2Mu&#10;eG1sUEsFBgAAAAAGAAYAWQEAADwGAAAAAA==&#10;" adj="-52185,15795">
                <v:fill on="f" focussize="0,0"/>
                <v:stroke weight="2pt" color="#00B050 [3204]" joinstyle="round"/>
                <v:imagedata o:title=""/>
                <o:lock v:ext="edit" aspectratio="f"/>
                <v:textbox>
                  <w:txbxContent>
                    <w:p w14:paraId="2ACF43E6">
                      <w:pPr>
                        <w:spacing w:line="240" w:lineRule="auto"/>
                        <w:ind w:left="0" w:leftChars="0" w:firstLine="0" w:firstLineChars="0"/>
                        <w:jc w:val="both"/>
                        <w:rPr>
                          <w:rFonts w:hint="eastAsia" w:eastAsia="宋体"/>
                          <w:color w:val="FF0000"/>
                          <w:sz w:val="21"/>
                          <w:szCs w:val="2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sz w:val="21"/>
                          <w:szCs w:val="2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在各个分区之间种植适应当地的高大树种等进行绿化</w:t>
                      </w:r>
                    </w:p>
                  </w:txbxContent>
                </v:textbox>
              </v:shape>
            </w:pict>
          </mc:Fallback>
        </mc:AlternateContent>
      </w:r>
    </w:p>
    <w:p w14:paraId="2C059CC3">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0" w:firstLineChars="0"/>
        <w:jc w:val="center"/>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68480" behindDoc="0" locked="0" layoutInCell="1" allowOverlap="1">
                <wp:simplePos x="0" y="0"/>
                <wp:positionH relativeFrom="column">
                  <wp:posOffset>5503545</wp:posOffset>
                </wp:positionH>
                <wp:positionV relativeFrom="paragraph">
                  <wp:posOffset>3345180</wp:posOffset>
                </wp:positionV>
                <wp:extent cx="1310640" cy="737235"/>
                <wp:effectExtent l="918210" t="12700" r="19050" b="31115"/>
                <wp:wrapNone/>
                <wp:docPr id="110" name="矩形标注 110"/>
                <wp:cNvGraphicFramePr/>
                <a:graphic xmlns:a="http://schemas.openxmlformats.org/drawingml/2006/main">
                  <a:graphicData uri="http://schemas.microsoft.com/office/word/2010/wordprocessingShape">
                    <wps:wsp>
                      <wps:cNvSpPr/>
                      <wps:spPr>
                        <a:xfrm>
                          <a:off x="0" y="0"/>
                          <a:ext cx="1310640" cy="737235"/>
                        </a:xfrm>
                        <a:prstGeom prst="wedgeRectCallout">
                          <a:avLst>
                            <a:gd name="adj1" fmla="val -119089"/>
                            <a:gd name="adj2" fmla="val -41817"/>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CE6A59">
                            <w:pPr>
                              <w:spacing w:line="240" w:lineRule="auto"/>
                              <w:ind w:left="0" w:leftChars="0" w:firstLine="0" w:firstLineChars="0"/>
                              <w:jc w:val="both"/>
                              <w:rPr>
                                <w:rFonts w:hint="eastAsia" w:eastAsia="宋体"/>
                                <w:color w:val="FF0000"/>
                                <w:sz w:val="21"/>
                                <w:szCs w:val="2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sz w:val="21"/>
                                <w:szCs w:val="2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主干道两侧种植适应当地的高大树种等进行绿化</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33.35pt;margin-top:263.4pt;height:58.05pt;width:103.2pt;z-index:251668480;v-text-anchor:middle;mso-width-relative:page;mso-height-relative:page;" filled="f" stroked="t" coordsize="21600,21600" o:gfxdata="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9fgkwNoAAAAMAQAADwAAAAAAAAABACAAAAAiAAAAZHJzL2Rvd25yZXYueG1s&#10;UEsBAhQAFAAAAAgAh07iQPSpl76hAgAAKQUAAA4AAAAAAAAAAQAgAAAAKQEAAGRycy9lMm9Eb2Mu&#10;eG1sUEsFBgAAAAAGAAYAWQEAADwGAAAAAA==&#10;" adj="-14923,1768">
                <v:fill on="f" focussize="0,0"/>
                <v:stroke weight="2pt" color="#00B050 [3204]" joinstyle="round"/>
                <v:imagedata o:title=""/>
                <o:lock v:ext="edit" aspectratio="f"/>
                <v:textbox>
                  <w:txbxContent>
                    <w:p w14:paraId="69CE6A59">
                      <w:pPr>
                        <w:spacing w:line="240" w:lineRule="auto"/>
                        <w:ind w:left="0" w:leftChars="0" w:firstLine="0" w:firstLineChars="0"/>
                        <w:jc w:val="both"/>
                        <w:rPr>
                          <w:rFonts w:hint="eastAsia" w:eastAsia="宋体"/>
                          <w:color w:val="FF0000"/>
                          <w:sz w:val="21"/>
                          <w:szCs w:val="2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sz w:val="21"/>
                          <w:szCs w:val="2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主干道两侧种植适应当地的高大树种等进行绿化</w:t>
                      </w:r>
                    </w:p>
                  </w:txbxContent>
                </v:textbox>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66432" behindDoc="0" locked="0" layoutInCell="1" allowOverlap="1">
                <wp:simplePos x="0" y="0"/>
                <wp:positionH relativeFrom="column">
                  <wp:posOffset>261620</wp:posOffset>
                </wp:positionH>
                <wp:positionV relativeFrom="paragraph">
                  <wp:posOffset>4145915</wp:posOffset>
                </wp:positionV>
                <wp:extent cx="1881505" cy="852170"/>
                <wp:effectExtent l="12700" t="723265" r="29845" b="24765"/>
                <wp:wrapNone/>
                <wp:docPr id="108" name="矩形标注 108"/>
                <wp:cNvGraphicFramePr/>
                <a:graphic xmlns:a="http://schemas.openxmlformats.org/drawingml/2006/main">
                  <a:graphicData uri="http://schemas.microsoft.com/office/word/2010/wordprocessingShape">
                    <wps:wsp>
                      <wps:cNvSpPr/>
                      <wps:spPr>
                        <a:xfrm>
                          <a:off x="2012950" y="2874010"/>
                          <a:ext cx="1881505" cy="852170"/>
                        </a:xfrm>
                        <a:prstGeom prst="wedgeRectCallout">
                          <a:avLst>
                            <a:gd name="adj1" fmla="val 36466"/>
                            <a:gd name="adj2" fmla="val -133383"/>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0DA60A">
                            <w:pPr>
                              <w:spacing w:line="240" w:lineRule="auto"/>
                              <w:ind w:left="0" w:leftChars="0" w:firstLine="0" w:firstLineChars="0"/>
                              <w:jc w:val="both"/>
                              <w:rPr>
                                <w:rFonts w:hint="eastAsia" w:eastAsia="宋体"/>
                                <w:color w:val="FF0000"/>
                                <w:sz w:val="21"/>
                                <w:szCs w:val="2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sz w:val="21"/>
                                <w:szCs w:val="2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在场界周边种植乔木和灌木混合林带，并栽种刺笆；场址边缘地带种植适应当地的高大树种形成多层防护林带</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0.6pt;margin-top:326.45pt;height:67.1pt;width:148.15pt;z-index:251666432;v-text-anchor:middle;mso-width-relative:page;mso-height-relative:page;" filled="f" stroked="t" coordsize="21600,21600" o:gfxdata="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J4GHIbaAAAACgEAAA8AAAAAAAAAAQAgAAAAIgAAAGRycy9k&#10;b3ducmV2LnhtbFBLAQIUABQAAAAIAIdO4kCxstobqwIAADQFAAAOAAAAAAAAAAEAIAAAACkBAABk&#10;cnMvZTJvRG9jLnhtbFBLBQYAAAAABgAGAFkBAABGBgAAAAA=&#10;" adj="18677,-18011">
                <v:fill on="f" focussize="0,0"/>
                <v:stroke weight="2pt" color="#00B050 [3204]" joinstyle="round"/>
                <v:imagedata o:title=""/>
                <o:lock v:ext="edit" aspectratio="f"/>
                <v:textbox>
                  <w:txbxContent>
                    <w:p w14:paraId="150DA60A">
                      <w:pPr>
                        <w:spacing w:line="240" w:lineRule="auto"/>
                        <w:ind w:left="0" w:leftChars="0" w:firstLine="0" w:firstLineChars="0"/>
                        <w:jc w:val="both"/>
                        <w:rPr>
                          <w:rFonts w:hint="eastAsia" w:eastAsia="宋体"/>
                          <w:color w:val="FF0000"/>
                          <w:sz w:val="21"/>
                          <w:szCs w:val="2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sz w:val="21"/>
                          <w:szCs w:val="2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在场界周边种植乔木和灌木混合林带，并栽种刺笆；场址边缘地带种植适应当地的高大树种形成多层防护林带</w:t>
                      </w:r>
                    </w:p>
                  </w:txbxContent>
                </v:textbox>
              </v:shape>
            </w:pict>
          </mc:Fallback>
        </mc:AlternateContent>
      </w:r>
      <w:r>
        <w:rPr>
          <w:rFonts w:hint="default" w:ascii="Times New Roman" w:hAnsi="Times New Roman" w:eastAsia="宋体" w:cs="Times New Roman"/>
          <w:color w:val="auto"/>
          <w:highlight w:val="none"/>
          <w:lang w:eastAsia="zh-CN"/>
        </w:rPr>
        <w:drawing>
          <wp:inline distT="0" distB="0" distL="114300" distR="114300">
            <wp:extent cx="7200265" cy="4326890"/>
            <wp:effectExtent l="0" t="0" r="635" b="16510"/>
            <wp:docPr id="32" name="图片 32" descr="168361552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683615521789"/>
                    <pic:cNvPicPr>
                      <a:picLocks noChangeAspect="1"/>
                    </pic:cNvPicPr>
                  </pic:nvPicPr>
                  <pic:blipFill>
                    <a:blip r:embed="rId29"/>
                    <a:stretch>
                      <a:fillRect/>
                    </a:stretch>
                  </pic:blipFill>
                  <pic:spPr>
                    <a:xfrm>
                      <a:off x="0" y="0"/>
                      <a:ext cx="7200265" cy="4326890"/>
                    </a:xfrm>
                    <a:prstGeom prst="rect">
                      <a:avLst/>
                    </a:prstGeom>
                  </pic:spPr>
                </pic:pic>
              </a:graphicData>
            </a:graphic>
          </wp:inline>
        </w:drawing>
      </w:r>
    </w:p>
    <w:p w14:paraId="5D02311A">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图7.9-1典型生态措施示意图</w:t>
      </w:r>
    </w:p>
    <w:p w14:paraId="4E280214">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b/>
          <w:bCs/>
          <w:color w:val="auto"/>
          <w:highlight w:val="none"/>
        </w:rPr>
        <w:sectPr>
          <w:pgSz w:w="16838" w:h="11906" w:orient="landscape"/>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26" w:charSpace="0"/>
        </w:sectPr>
      </w:pPr>
    </w:p>
    <w:p w14:paraId="076C6430">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647" w:name="_Toc494206378"/>
      <w:bookmarkStart w:id="648" w:name="_Toc530642995"/>
      <w:bookmarkStart w:id="649" w:name="_Toc2722"/>
      <w:r>
        <w:rPr>
          <w:rFonts w:hint="default" w:ascii="Times New Roman" w:hAnsi="Times New Roman" w:eastAsia="宋体" w:cs="Times New Roman"/>
          <w:color w:val="auto"/>
          <w:highlight w:val="none"/>
        </w:rPr>
        <w:t>7.</w:t>
      </w:r>
      <w:bookmarkEnd w:id="647"/>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rPr>
        <w:t>运营期污染防治对策和措施及环保投资汇总</w:t>
      </w:r>
      <w:bookmarkEnd w:id="648"/>
      <w:bookmarkEnd w:id="649"/>
    </w:p>
    <w:p w14:paraId="385256D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本项目所有污染源均</w:t>
      </w:r>
      <w:r>
        <w:rPr>
          <w:rFonts w:hint="default" w:ascii="Times New Roman" w:hAnsi="Times New Roman" w:eastAsia="宋体" w:cs="Times New Roman"/>
          <w:color w:val="auto"/>
          <w:highlight w:val="none"/>
          <w:lang w:eastAsia="zh-CN"/>
        </w:rPr>
        <w:t>采取有效</w:t>
      </w:r>
      <w:r>
        <w:rPr>
          <w:rFonts w:hint="default" w:ascii="Times New Roman" w:hAnsi="Times New Roman" w:eastAsia="宋体" w:cs="Times New Roman"/>
          <w:color w:val="auto"/>
          <w:highlight w:val="none"/>
        </w:rPr>
        <w:t>的污染防治措施。环保投资项目主要有废气治理、废水治理、场区防渗、噪声治理等。总投资</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lang w:eastAsia="zh-CN"/>
        </w:rPr>
        <w:t>000万元</w:t>
      </w:r>
      <w:r>
        <w:rPr>
          <w:rFonts w:hint="default" w:ascii="Times New Roman" w:hAnsi="Times New Roman" w:eastAsia="宋体" w:cs="Times New Roman"/>
          <w:color w:val="auto"/>
          <w:highlight w:val="none"/>
        </w:rPr>
        <w:t>，其中环保投资</w:t>
      </w:r>
      <w:r>
        <w:rPr>
          <w:rFonts w:hint="default" w:ascii="Times New Roman" w:hAnsi="Times New Roman" w:eastAsia="宋体" w:cs="Times New Roman"/>
          <w:color w:val="auto"/>
          <w:highlight w:val="none"/>
          <w:lang w:eastAsia="zh-CN"/>
        </w:rPr>
        <w:t>128.1</w:t>
      </w:r>
      <w:r>
        <w:rPr>
          <w:rFonts w:hint="default" w:ascii="Times New Roman" w:hAnsi="Times New Roman" w:eastAsia="宋体" w:cs="Times New Roman"/>
          <w:color w:val="auto"/>
          <w:highlight w:val="none"/>
        </w:rPr>
        <w:t>万元，占总投资比例为</w:t>
      </w:r>
      <w:r>
        <w:rPr>
          <w:rFonts w:hint="default" w:ascii="Times New Roman" w:hAnsi="Times New Roman" w:eastAsia="宋体" w:cs="Times New Roman"/>
          <w:color w:val="auto"/>
          <w:highlight w:val="none"/>
          <w:lang w:val="en-US" w:eastAsia="zh-CN"/>
        </w:rPr>
        <w:t>1.83</w:t>
      </w:r>
      <w:r>
        <w:rPr>
          <w:rFonts w:hint="default" w:ascii="Times New Roman" w:hAnsi="Times New Roman" w:eastAsia="宋体" w:cs="Times New Roman"/>
          <w:color w:val="auto"/>
          <w:highlight w:val="none"/>
        </w:rPr>
        <w:t>%，污染防治措施及环保投资见表7.1</w:t>
      </w:r>
      <w:r>
        <w:rPr>
          <w:rFonts w:hint="default"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eastAsia="zh-CN"/>
        </w:rPr>
        <w:t>。</w:t>
      </w:r>
    </w:p>
    <w:p w14:paraId="27DAEF7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p>
    <w:p w14:paraId="02C0179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p>
    <w:p w14:paraId="21F1678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sectPr>
          <w:pgSz w:w="11906" w:h="16838"/>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26" w:charSpace="0"/>
        </w:sectPr>
      </w:pPr>
    </w:p>
    <w:p w14:paraId="18A53860">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表7.1</w:t>
      </w:r>
      <w:r>
        <w:rPr>
          <w:rFonts w:hint="default"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rPr>
        <w:t>-1项目环境保护措施一览表</w:t>
      </w:r>
    </w:p>
    <w:tbl>
      <w:tblPr>
        <w:tblStyle w:val="40"/>
        <w:tblW w:w="1360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29"/>
        <w:gridCol w:w="1231"/>
        <w:gridCol w:w="1248"/>
        <w:gridCol w:w="6716"/>
        <w:gridCol w:w="2835"/>
        <w:gridCol w:w="1047"/>
      </w:tblGrid>
      <w:tr w14:paraId="163F99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9" w:type="dxa"/>
            <w:tcBorders>
              <w:top w:val="single" w:color="auto" w:sz="4" w:space="0"/>
              <w:left w:val="single" w:color="auto" w:sz="4" w:space="0"/>
              <w:bottom w:val="single" w:color="auto" w:sz="4" w:space="0"/>
              <w:right w:val="single" w:color="auto" w:sz="4" w:space="0"/>
            </w:tcBorders>
            <w:vAlign w:val="center"/>
          </w:tcPr>
          <w:p w14:paraId="5563E08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类型</w:t>
            </w:r>
          </w:p>
        </w:tc>
        <w:tc>
          <w:tcPr>
            <w:tcW w:w="1295" w:type="dxa"/>
            <w:tcBorders>
              <w:top w:val="single" w:color="auto" w:sz="4" w:space="0"/>
              <w:left w:val="single" w:color="auto" w:sz="4" w:space="0"/>
              <w:bottom w:val="single" w:color="auto" w:sz="4" w:space="0"/>
              <w:right w:val="single" w:color="auto" w:sz="4" w:space="0"/>
            </w:tcBorders>
            <w:vAlign w:val="center"/>
          </w:tcPr>
          <w:p w14:paraId="0C0248C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产污点</w:t>
            </w:r>
          </w:p>
        </w:tc>
        <w:tc>
          <w:tcPr>
            <w:tcW w:w="1313" w:type="dxa"/>
            <w:tcBorders>
              <w:top w:val="single" w:color="auto" w:sz="4" w:space="0"/>
              <w:left w:val="single" w:color="auto" w:sz="4" w:space="0"/>
              <w:bottom w:val="single" w:color="auto" w:sz="4" w:space="0"/>
              <w:right w:val="single" w:color="auto" w:sz="4" w:space="0"/>
            </w:tcBorders>
            <w:vAlign w:val="center"/>
          </w:tcPr>
          <w:p w14:paraId="202184F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7130" w:type="dxa"/>
            <w:tcBorders>
              <w:top w:val="single" w:color="auto" w:sz="4" w:space="0"/>
              <w:left w:val="single" w:color="auto" w:sz="4" w:space="0"/>
              <w:bottom w:val="single" w:color="auto" w:sz="4" w:space="0"/>
              <w:right w:val="single" w:color="auto" w:sz="4" w:space="0"/>
            </w:tcBorders>
            <w:vAlign w:val="center"/>
          </w:tcPr>
          <w:p w14:paraId="23D8454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治理措施</w:t>
            </w:r>
          </w:p>
        </w:tc>
        <w:tc>
          <w:tcPr>
            <w:tcW w:w="3002" w:type="dxa"/>
            <w:tcBorders>
              <w:top w:val="single" w:color="auto" w:sz="4" w:space="0"/>
              <w:left w:val="single" w:color="auto" w:sz="4" w:space="0"/>
              <w:bottom w:val="single" w:color="auto" w:sz="4" w:space="0"/>
              <w:right w:val="single" w:color="auto" w:sz="4" w:space="0"/>
            </w:tcBorders>
            <w:vAlign w:val="center"/>
          </w:tcPr>
          <w:p w14:paraId="3FDB73B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治理效果</w:t>
            </w:r>
          </w:p>
        </w:tc>
        <w:tc>
          <w:tcPr>
            <w:tcW w:w="1100" w:type="dxa"/>
            <w:tcBorders>
              <w:top w:val="single" w:color="auto" w:sz="4" w:space="0"/>
              <w:left w:val="single" w:color="auto" w:sz="4" w:space="0"/>
              <w:bottom w:val="single" w:color="auto" w:sz="4" w:space="0"/>
              <w:right w:val="single" w:color="auto" w:sz="4" w:space="0"/>
            </w:tcBorders>
            <w:vAlign w:val="center"/>
          </w:tcPr>
          <w:p w14:paraId="711AEEE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环保投资</w:t>
            </w:r>
          </w:p>
        </w:tc>
      </w:tr>
      <w:tr w14:paraId="1D5DBE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9" w:type="dxa"/>
            <w:vMerge w:val="restart"/>
            <w:tcBorders>
              <w:top w:val="single" w:color="auto" w:sz="4" w:space="0"/>
              <w:left w:val="single" w:color="auto" w:sz="4" w:space="0"/>
              <w:bottom w:val="single" w:color="auto" w:sz="4" w:space="0"/>
              <w:right w:val="single" w:color="auto" w:sz="4" w:space="0"/>
            </w:tcBorders>
            <w:vAlign w:val="center"/>
          </w:tcPr>
          <w:p w14:paraId="70A5F37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1295" w:type="dxa"/>
            <w:tcBorders>
              <w:top w:val="single" w:color="auto" w:sz="4" w:space="0"/>
              <w:left w:val="single" w:color="auto" w:sz="4" w:space="0"/>
              <w:bottom w:val="single" w:color="auto" w:sz="4" w:space="0"/>
              <w:right w:val="single" w:color="auto" w:sz="4" w:space="0"/>
            </w:tcBorders>
            <w:vAlign w:val="center"/>
          </w:tcPr>
          <w:p w14:paraId="646EAB5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牛舍及</w:t>
            </w:r>
            <w:r>
              <w:rPr>
                <w:rFonts w:hint="default" w:ascii="Times New Roman" w:hAnsi="Times New Roman" w:eastAsia="宋体" w:cs="Times New Roman"/>
                <w:color w:val="auto"/>
                <w:sz w:val="21"/>
                <w:szCs w:val="21"/>
                <w:highlight w:val="none"/>
              </w:rPr>
              <w:t>运动场</w:t>
            </w:r>
          </w:p>
        </w:tc>
        <w:tc>
          <w:tcPr>
            <w:tcW w:w="1313" w:type="dxa"/>
            <w:vMerge w:val="restart"/>
            <w:tcBorders>
              <w:top w:val="single" w:color="auto" w:sz="4" w:space="0"/>
              <w:left w:val="single" w:color="auto" w:sz="4" w:space="0"/>
              <w:bottom w:val="single" w:color="auto" w:sz="4" w:space="0"/>
              <w:right w:val="single" w:color="auto" w:sz="4" w:space="0"/>
            </w:tcBorders>
            <w:vAlign w:val="center"/>
          </w:tcPr>
          <w:p w14:paraId="3B5C697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w:t>
            </w:r>
          </w:p>
          <w:p w14:paraId="2521113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硫化氢</w:t>
            </w:r>
          </w:p>
          <w:p w14:paraId="3909DE3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臭气浓度</w:t>
            </w:r>
          </w:p>
        </w:tc>
        <w:tc>
          <w:tcPr>
            <w:tcW w:w="7130" w:type="dxa"/>
            <w:tcBorders>
              <w:top w:val="single" w:color="auto" w:sz="4" w:space="0"/>
              <w:left w:val="single" w:color="auto" w:sz="4" w:space="0"/>
              <w:bottom w:val="single" w:color="auto" w:sz="4" w:space="0"/>
              <w:right w:val="single" w:color="auto" w:sz="4" w:space="0"/>
            </w:tcBorders>
            <w:vAlign w:val="center"/>
          </w:tcPr>
          <w:p w14:paraId="711276F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通过日粮设计，</w:t>
            </w:r>
            <w:r>
              <w:rPr>
                <w:rFonts w:hint="default" w:ascii="Times New Roman" w:hAnsi="Times New Roman" w:eastAsia="宋体" w:cs="Times New Roman"/>
                <w:color w:val="auto"/>
                <w:sz w:val="21"/>
                <w:szCs w:val="21"/>
                <w:highlight w:val="none"/>
              </w:rPr>
              <w:t>饲料添加EM复合微生物制剂，</w:t>
            </w:r>
            <w:r>
              <w:rPr>
                <w:rFonts w:hint="default" w:ascii="Times New Roman" w:hAnsi="Times New Roman" w:eastAsia="宋体" w:cs="Times New Roman"/>
                <w:color w:val="auto"/>
                <w:kern w:val="0"/>
                <w:sz w:val="21"/>
                <w:szCs w:val="21"/>
                <w:highlight w:val="none"/>
              </w:rPr>
              <w:t>牛舍采用及时清理粪尿，加强牛舍通风（除冬季封闭保暖外，均为敞开式通风）</w:t>
            </w:r>
          </w:p>
        </w:tc>
        <w:tc>
          <w:tcPr>
            <w:tcW w:w="3002" w:type="dxa"/>
            <w:vMerge w:val="restart"/>
            <w:tcBorders>
              <w:top w:val="single" w:color="auto" w:sz="4" w:space="0"/>
              <w:left w:val="single" w:color="auto" w:sz="4" w:space="0"/>
              <w:bottom w:val="single" w:color="auto" w:sz="4" w:space="0"/>
              <w:right w:val="single" w:color="auto" w:sz="4" w:space="0"/>
            </w:tcBorders>
            <w:vAlign w:val="center"/>
          </w:tcPr>
          <w:p w14:paraId="162C123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氨和硫化氢执行</w:t>
            </w:r>
            <w:r>
              <w:rPr>
                <w:rFonts w:hint="default" w:ascii="Times New Roman" w:hAnsi="Times New Roman" w:eastAsia="宋体" w:cs="Times New Roman"/>
                <w:color w:val="auto"/>
                <w:sz w:val="21"/>
                <w:szCs w:val="21"/>
                <w:highlight w:val="none"/>
              </w:rPr>
              <w:t>《恶臭污染物排放标准》（GB14554-93）表1恶臭污染物厂界标准值中“二级、新扩改建”标准要求；</w:t>
            </w:r>
          </w:p>
          <w:p w14:paraId="3260626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臭气浓度执行</w:t>
            </w:r>
            <w:r>
              <w:rPr>
                <w:rFonts w:hint="default" w:ascii="Times New Roman" w:hAnsi="Times New Roman" w:eastAsia="宋体" w:cs="Times New Roman"/>
                <w:color w:val="auto"/>
                <w:sz w:val="21"/>
                <w:szCs w:val="21"/>
                <w:highlight w:val="none"/>
              </w:rPr>
              <w:t>《畜禽养殖业污染物排放标准》（GB18596-2001）表7集约化畜禽养殖业恶臭污染物排放标准</w:t>
            </w:r>
          </w:p>
        </w:tc>
        <w:tc>
          <w:tcPr>
            <w:tcW w:w="1100" w:type="dxa"/>
            <w:tcBorders>
              <w:top w:val="single" w:color="auto" w:sz="4" w:space="0"/>
              <w:left w:val="single" w:color="auto" w:sz="4" w:space="0"/>
              <w:bottom w:val="single" w:color="auto" w:sz="4" w:space="0"/>
              <w:right w:val="single" w:color="auto" w:sz="4" w:space="0"/>
            </w:tcBorders>
            <w:vAlign w:val="center"/>
          </w:tcPr>
          <w:p w14:paraId="03E3624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6</w:t>
            </w:r>
          </w:p>
        </w:tc>
      </w:tr>
      <w:tr w14:paraId="1B1EFCA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9" w:type="dxa"/>
            <w:vMerge w:val="continue"/>
            <w:tcBorders>
              <w:top w:val="single" w:color="auto" w:sz="4" w:space="0"/>
              <w:left w:val="single" w:color="auto" w:sz="4" w:space="0"/>
              <w:bottom w:val="single" w:color="auto" w:sz="4" w:space="0"/>
              <w:right w:val="single" w:color="auto" w:sz="4" w:space="0"/>
            </w:tcBorders>
            <w:vAlign w:val="center"/>
          </w:tcPr>
          <w:p w14:paraId="0B647C3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1295" w:type="dxa"/>
            <w:tcBorders>
              <w:top w:val="single" w:color="auto" w:sz="4" w:space="0"/>
              <w:left w:val="single" w:color="auto" w:sz="4" w:space="0"/>
              <w:bottom w:val="single" w:color="auto" w:sz="4" w:space="0"/>
              <w:right w:val="single" w:color="auto" w:sz="4" w:space="0"/>
            </w:tcBorders>
            <w:vAlign w:val="center"/>
          </w:tcPr>
          <w:p w14:paraId="7FC4696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粪污处理池</w:t>
            </w:r>
          </w:p>
        </w:tc>
        <w:tc>
          <w:tcPr>
            <w:tcW w:w="1313" w:type="dxa"/>
            <w:vMerge w:val="continue"/>
            <w:tcBorders>
              <w:top w:val="single" w:color="auto" w:sz="4" w:space="0"/>
              <w:left w:val="single" w:color="auto" w:sz="4" w:space="0"/>
              <w:bottom w:val="single" w:color="auto" w:sz="4" w:space="0"/>
              <w:right w:val="single" w:color="auto" w:sz="4" w:space="0"/>
            </w:tcBorders>
            <w:vAlign w:val="center"/>
          </w:tcPr>
          <w:p w14:paraId="62B2E1E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7130" w:type="dxa"/>
            <w:tcBorders>
              <w:top w:val="single" w:color="auto" w:sz="4" w:space="0"/>
              <w:left w:val="single" w:color="auto" w:sz="4" w:space="0"/>
              <w:bottom w:val="single" w:color="auto" w:sz="4" w:space="0"/>
              <w:right w:val="single" w:color="auto" w:sz="4" w:space="0"/>
            </w:tcBorders>
            <w:vAlign w:val="center"/>
          </w:tcPr>
          <w:p w14:paraId="739FECD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牛粪便</w:t>
            </w:r>
            <w:r>
              <w:rPr>
                <w:rFonts w:hint="default" w:ascii="Times New Roman" w:hAnsi="Times New Roman" w:eastAsia="宋体" w:cs="Times New Roman"/>
                <w:color w:val="auto"/>
                <w:sz w:val="21"/>
                <w:szCs w:val="21"/>
                <w:highlight w:val="none"/>
                <w:lang w:val="en-US" w:eastAsia="zh-CN"/>
              </w:rPr>
              <w:t>清运至</w:t>
            </w:r>
            <w:r>
              <w:rPr>
                <w:rFonts w:hint="default" w:ascii="Times New Roman" w:hAnsi="Times New Roman" w:eastAsia="宋体" w:cs="Times New Roman"/>
                <w:color w:val="auto"/>
                <w:sz w:val="21"/>
                <w:szCs w:val="21"/>
                <w:highlight w:val="none"/>
                <w:lang w:eastAsia="zh-CN"/>
              </w:rPr>
              <w:t>粪污处理池储存并堆肥，</w:t>
            </w:r>
            <w:r>
              <w:rPr>
                <w:rFonts w:hint="default" w:ascii="Times New Roman" w:hAnsi="Times New Roman" w:eastAsia="宋体" w:cs="Times New Roman"/>
                <w:color w:val="auto"/>
                <w:sz w:val="21"/>
                <w:szCs w:val="21"/>
                <w:highlight w:val="none"/>
                <w:lang w:val="en-US" w:eastAsia="zh-CN"/>
              </w:rPr>
              <w:t>采取</w:t>
            </w:r>
            <w:r>
              <w:rPr>
                <w:rFonts w:hint="default" w:ascii="Times New Roman" w:hAnsi="Times New Roman" w:eastAsia="宋体" w:cs="Times New Roman"/>
                <w:color w:val="auto"/>
                <w:kern w:val="0"/>
                <w:sz w:val="21"/>
                <w:szCs w:val="21"/>
                <w:highlight w:val="none"/>
              </w:rPr>
              <w:t>定期喷洒</w:t>
            </w:r>
            <w:r>
              <w:rPr>
                <w:rFonts w:hint="default" w:ascii="Times New Roman" w:hAnsi="Times New Roman" w:eastAsia="宋体" w:cs="Times New Roman"/>
                <w:color w:val="auto"/>
                <w:sz w:val="21"/>
                <w:szCs w:val="21"/>
                <w:highlight w:val="none"/>
              </w:rPr>
              <w:t>减少氨释放和保氮的复合菌剂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同时场区内加强绿化</w:t>
            </w:r>
          </w:p>
        </w:tc>
        <w:tc>
          <w:tcPr>
            <w:tcW w:w="3002" w:type="dxa"/>
            <w:vMerge w:val="continue"/>
            <w:tcBorders>
              <w:top w:val="single" w:color="auto" w:sz="4" w:space="0"/>
              <w:left w:val="single" w:color="auto" w:sz="4" w:space="0"/>
              <w:bottom w:val="single" w:color="auto" w:sz="4" w:space="0"/>
              <w:right w:val="single" w:color="auto" w:sz="4" w:space="0"/>
            </w:tcBorders>
            <w:vAlign w:val="center"/>
          </w:tcPr>
          <w:p w14:paraId="1385EC3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1100" w:type="dxa"/>
            <w:tcBorders>
              <w:top w:val="single" w:color="auto" w:sz="4" w:space="0"/>
              <w:left w:val="single" w:color="auto" w:sz="4" w:space="0"/>
              <w:bottom w:val="single" w:color="auto" w:sz="4" w:space="0"/>
              <w:right w:val="single" w:color="auto" w:sz="4" w:space="0"/>
            </w:tcBorders>
            <w:vAlign w:val="center"/>
          </w:tcPr>
          <w:p w14:paraId="12F6AFB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3</w:t>
            </w:r>
          </w:p>
        </w:tc>
      </w:tr>
      <w:tr w14:paraId="36CF15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9" w:type="dxa"/>
            <w:vMerge w:val="continue"/>
            <w:tcBorders>
              <w:top w:val="single" w:color="auto" w:sz="4" w:space="0"/>
              <w:left w:val="single" w:color="auto" w:sz="4" w:space="0"/>
              <w:bottom w:val="single" w:color="auto" w:sz="4" w:space="0"/>
              <w:right w:val="single" w:color="auto" w:sz="4" w:space="0"/>
            </w:tcBorders>
            <w:vAlign w:val="center"/>
          </w:tcPr>
          <w:p w14:paraId="04CDDC9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1295" w:type="dxa"/>
            <w:tcBorders>
              <w:top w:val="single" w:color="auto" w:sz="4" w:space="0"/>
              <w:left w:val="single" w:color="auto" w:sz="4" w:space="0"/>
              <w:bottom w:val="single" w:color="auto" w:sz="4" w:space="0"/>
              <w:right w:val="single" w:color="auto" w:sz="4" w:space="0"/>
            </w:tcBorders>
            <w:vAlign w:val="center"/>
          </w:tcPr>
          <w:p w14:paraId="3AE5359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TMR车间</w:t>
            </w:r>
          </w:p>
        </w:tc>
        <w:tc>
          <w:tcPr>
            <w:tcW w:w="1313" w:type="dxa"/>
            <w:tcBorders>
              <w:top w:val="single" w:color="auto" w:sz="4" w:space="0"/>
              <w:left w:val="single" w:color="auto" w:sz="4" w:space="0"/>
              <w:bottom w:val="single" w:color="auto" w:sz="4" w:space="0"/>
              <w:right w:val="single" w:color="auto" w:sz="4" w:space="0"/>
            </w:tcBorders>
            <w:vAlign w:val="center"/>
          </w:tcPr>
          <w:p w14:paraId="33A16C1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7130" w:type="dxa"/>
            <w:tcBorders>
              <w:top w:val="single" w:color="auto" w:sz="4" w:space="0"/>
              <w:left w:val="single" w:color="auto" w:sz="4" w:space="0"/>
              <w:bottom w:val="single" w:color="auto" w:sz="4" w:space="0"/>
              <w:right w:val="single" w:color="auto" w:sz="4" w:space="0"/>
            </w:tcBorders>
            <w:vAlign w:val="center"/>
          </w:tcPr>
          <w:p w14:paraId="6A1DCB0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全封闭TMR车间</w:t>
            </w:r>
          </w:p>
        </w:tc>
        <w:tc>
          <w:tcPr>
            <w:tcW w:w="3002" w:type="dxa"/>
            <w:tcBorders>
              <w:top w:val="single" w:color="auto" w:sz="4" w:space="0"/>
              <w:left w:val="single" w:color="auto" w:sz="4" w:space="0"/>
              <w:bottom w:val="single" w:color="auto" w:sz="4" w:space="0"/>
              <w:right w:val="single" w:color="auto" w:sz="4" w:space="0"/>
            </w:tcBorders>
            <w:vAlign w:val="center"/>
          </w:tcPr>
          <w:p w14:paraId="0A03AE3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《大气污染物综合排放标准》（GB16297-1996）表2新污染源大气污染物排放限值中无组织排放监控浓度限值</w:t>
            </w:r>
          </w:p>
        </w:tc>
        <w:tc>
          <w:tcPr>
            <w:tcW w:w="1100" w:type="dxa"/>
            <w:tcBorders>
              <w:top w:val="single" w:color="auto" w:sz="4" w:space="0"/>
              <w:left w:val="single" w:color="auto" w:sz="4" w:space="0"/>
              <w:bottom w:val="single" w:color="auto" w:sz="4" w:space="0"/>
              <w:right w:val="single" w:color="auto" w:sz="4" w:space="0"/>
            </w:tcBorders>
            <w:vAlign w:val="center"/>
          </w:tcPr>
          <w:p w14:paraId="6306D38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60BEA"/>
                <w:sz w:val="21"/>
                <w:szCs w:val="21"/>
                <w:highlight w:val="none"/>
                <w:lang w:val="en-US" w:eastAsia="zh-CN"/>
              </w:rPr>
              <w:t>1</w:t>
            </w:r>
            <w:r>
              <w:rPr>
                <w:rFonts w:hint="default" w:ascii="Times New Roman" w:hAnsi="Times New Roman" w:eastAsia="宋体" w:cs="Times New Roman"/>
                <w:color w:val="060BEA"/>
                <w:sz w:val="21"/>
                <w:szCs w:val="21"/>
                <w:highlight w:val="none"/>
                <w:lang w:val="en-US" w:eastAsia="zh-CN"/>
              </w:rPr>
              <w:t>5</w:t>
            </w:r>
          </w:p>
        </w:tc>
      </w:tr>
      <w:tr w14:paraId="51F5CAE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9" w:type="dxa"/>
            <w:vMerge w:val="restart"/>
            <w:tcBorders>
              <w:top w:val="single" w:color="auto" w:sz="4" w:space="0"/>
              <w:left w:val="single" w:color="auto" w:sz="4" w:space="0"/>
              <w:bottom w:val="single" w:color="auto" w:sz="4" w:space="0"/>
              <w:right w:val="single" w:color="auto" w:sz="4" w:space="0"/>
            </w:tcBorders>
            <w:vAlign w:val="center"/>
          </w:tcPr>
          <w:p w14:paraId="4D3FFB3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w:t>
            </w:r>
          </w:p>
        </w:tc>
        <w:tc>
          <w:tcPr>
            <w:tcW w:w="1295" w:type="dxa"/>
            <w:tcBorders>
              <w:top w:val="single" w:color="auto" w:sz="4" w:space="0"/>
              <w:left w:val="single" w:color="auto" w:sz="4" w:space="0"/>
              <w:bottom w:val="single" w:color="auto" w:sz="4" w:space="0"/>
              <w:right w:val="single" w:color="auto" w:sz="4" w:space="0"/>
            </w:tcBorders>
            <w:vAlign w:val="center"/>
          </w:tcPr>
          <w:p w14:paraId="0BC0DFF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生活污水</w:t>
            </w:r>
          </w:p>
        </w:tc>
        <w:tc>
          <w:tcPr>
            <w:tcW w:w="1313" w:type="dxa"/>
            <w:tcBorders>
              <w:top w:val="single" w:color="auto" w:sz="4" w:space="0"/>
              <w:left w:val="single" w:color="auto" w:sz="4" w:space="0"/>
              <w:bottom w:val="single" w:color="auto" w:sz="4" w:space="0"/>
              <w:right w:val="single" w:color="auto" w:sz="4" w:space="0"/>
            </w:tcBorders>
            <w:vAlign w:val="center"/>
          </w:tcPr>
          <w:p w14:paraId="0E5FB7F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r>
              <w:rPr>
                <w:rFonts w:hint="default" w:ascii="Times New Roman" w:hAnsi="Times New Roman" w:eastAsia="宋体" w:cs="Times New Roman"/>
                <w:color w:val="auto"/>
                <w:sz w:val="21"/>
                <w:szCs w:val="21"/>
                <w:highlight w:val="none"/>
                <w:vertAlign w:val="subscript"/>
              </w:rPr>
              <w:t>Cr</w:t>
            </w:r>
            <w:r>
              <w:rPr>
                <w:rFonts w:hint="default" w:ascii="Times New Roman" w:hAnsi="Times New Roman" w:eastAsia="宋体" w:cs="Times New Roman"/>
                <w:color w:val="auto"/>
                <w:sz w:val="21"/>
                <w:szCs w:val="21"/>
                <w:highlight w:val="none"/>
              </w:rPr>
              <w:t>、SS、NH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-N</w:t>
            </w:r>
          </w:p>
        </w:tc>
        <w:tc>
          <w:tcPr>
            <w:tcW w:w="7130" w:type="dxa"/>
            <w:tcBorders>
              <w:top w:val="single" w:color="auto" w:sz="4" w:space="0"/>
              <w:left w:val="single" w:color="auto" w:sz="4" w:space="0"/>
              <w:bottom w:val="single" w:color="auto" w:sz="4" w:space="0"/>
              <w:right w:val="single" w:color="auto" w:sz="4" w:space="0"/>
            </w:tcBorders>
            <w:vAlign w:val="center"/>
          </w:tcPr>
          <w:p w14:paraId="65CC6FD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经化粪池处理</w:t>
            </w:r>
            <w:r>
              <w:rPr>
                <w:rFonts w:hint="default" w:ascii="Times New Roman" w:hAnsi="Times New Roman" w:eastAsia="宋体" w:cs="Times New Roman"/>
                <w:color w:val="auto"/>
                <w:sz w:val="21"/>
                <w:szCs w:val="21"/>
                <w:highlight w:val="none"/>
              </w:rPr>
              <w:t>后，</w:t>
            </w:r>
            <w:r>
              <w:rPr>
                <w:rFonts w:hint="default" w:ascii="Times New Roman" w:hAnsi="Times New Roman" w:eastAsia="宋体" w:cs="Times New Roman"/>
                <w:color w:val="auto"/>
                <w:sz w:val="21"/>
                <w:szCs w:val="21"/>
                <w:highlight w:val="none"/>
                <w:lang w:eastAsia="zh-CN"/>
              </w:rPr>
              <w:t>定期由当地环卫部门清运处置</w:t>
            </w:r>
            <w:r>
              <w:rPr>
                <w:rFonts w:hint="default" w:ascii="Times New Roman" w:hAnsi="Times New Roman" w:eastAsia="宋体" w:cs="Times New Roman"/>
                <w:color w:val="auto"/>
                <w:sz w:val="21"/>
                <w:szCs w:val="21"/>
                <w:highlight w:val="none"/>
              </w:rPr>
              <w:t>。</w:t>
            </w:r>
          </w:p>
        </w:tc>
        <w:tc>
          <w:tcPr>
            <w:tcW w:w="3002" w:type="dxa"/>
            <w:tcBorders>
              <w:top w:val="single" w:color="auto" w:sz="4" w:space="0"/>
              <w:left w:val="single" w:color="auto" w:sz="4" w:space="0"/>
              <w:bottom w:val="single" w:color="auto" w:sz="4" w:space="0"/>
              <w:right w:val="single" w:color="auto" w:sz="4" w:space="0"/>
            </w:tcBorders>
            <w:vAlign w:val="center"/>
          </w:tcPr>
          <w:p w14:paraId="2204004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00" w:type="dxa"/>
            <w:tcBorders>
              <w:top w:val="single" w:color="auto" w:sz="4" w:space="0"/>
              <w:left w:val="single" w:color="auto" w:sz="4" w:space="0"/>
              <w:bottom w:val="single" w:color="auto" w:sz="4" w:space="0"/>
              <w:right w:val="single" w:color="auto" w:sz="4" w:space="0"/>
            </w:tcBorders>
            <w:vAlign w:val="center"/>
          </w:tcPr>
          <w:p w14:paraId="3F05656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w:t>
            </w:r>
          </w:p>
        </w:tc>
      </w:tr>
      <w:tr w14:paraId="2F30B38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9" w:type="dxa"/>
            <w:vMerge w:val="continue"/>
            <w:tcBorders>
              <w:top w:val="single" w:color="auto" w:sz="4" w:space="0"/>
              <w:left w:val="single" w:color="auto" w:sz="4" w:space="0"/>
              <w:bottom w:val="single" w:color="auto" w:sz="4" w:space="0"/>
              <w:right w:val="single" w:color="auto" w:sz="4" w:space="0"/>
            </w:tcBorders>
            <w:vAlign w:val="center"/>
          </w:tcPr>
          <w:p w14:paraId="13F9411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1295" w:type="dxa"/>
            <w:vMerge w:val="restart"/>
            <w:tcBorders>
              <w:top w:val="single" w:color="auto" w:sz="4" w:space="0"/>
              <w:left w:val="single" w:color="auto" w:sz="4" w:space="0"/>
              <w:bottom w:val="single" w:color="auto" w:sz="4" w:space="0"/>
              <w:right w:val="single" w:color="auto" w:sz="4" w:space="0"/>
            </w:tcBorders>
            <w:vAlign w:val="center"/>
          </w:tcPr>
          <w:p w14:paraId="402AA99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场区雨水</w:t>
            </w:r>
          </w:p>
        </w:tc>
        <w:tc>
          <w:tcPr>
            <w:tcW w:w="1313" w:type="dxa"/>
            <w:vMerge w:val="restart"/>
            <w:tcBorders>
              <w:top w:val="single" w:color="auto" w:sz="4" w:space="0"/>
              <w:left w:val="single" w:color="auto" w:sz="4" w:space="0"/>
              <w:bottom w:val="single" w:color="auto" w:sz="4" w:space="0"/>
              <w:right w:val="single" w:color="auto" w:sz="4" w:space="0"/>
            </w:tcBorders>
            <w:vAlign w:val="center"/>
          </w:tcPr>
          <w:p w14:paraId="09DAE14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130" w:type="dxa"/>
            <w:tcBorders>
              <w:top w:val="single" w:color="auto" w:sz="4" w:space="0"/>
              <w:left w:val="single" w:color="auto" w:sz="4" w:space="0"/>
              <w:bottom w:val="single" w:color="auto" w:sz="4" w:space="0"/>
              <w:right w:val="single" w:color="auto" w:sz="4" w:space="0"/>
            </w:tcBorders>
            <w:vAlign w:val="center"/>
          </w:tcPr>
          <w:p w14:paraId="14F40F6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牛舍屋面设置合适坡度并在屋檐设置导流槽，将雨水导出不排入运动场内，屋面雨水采用自流式排水，经过雨水管道排入场区排水沟排出。</w:t>
            </w:r>
          </w:p>
        </w:tc>
        <w:tc>
          <w:tcPr>
            <w:tcW w:w="3002" w:type="dxa"/>
            <w:vMerge w:val="restart"/>
            <w:tcBorders>
              <w:top w:val="single" w:color="auto" w:sz="4" w:space="0"/>
              <w:left w:val="single" w:color="auto" w:sz="4" w:space="0"/>
              <w:bottom w:val="single" w:color="auto" w:sz="4" w:space="0"/>
              <w:right w:val="single" w:color="auto" w:sz="4" w:space="0"/>
            </w:tcBorders>
            <w:vAlign w:val="center"/>
          </w:tcPr>
          <w:p w14:paraId="3D97DBB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p>
        </w:tc>
        <w:tc>
          <w:tcPr>
            <w:tcW w:w="1100" w:type="dxa"/>
            <w:tcBorders>
              <w:top w:val="single" w:color="auto" w:sz="4" w:space="0"/>
              <w:left w:val="single" w:color="auto" w:sz="4" w:space="0"/>
              <w:bottom w:val="single" w:color="auto" w:sz="4" w:space="0"/>
              <w:right w:val="single" w:color="auto" w:sz="4" w:space="0"/>
            </w:tcBorders>
            <w:vAlign w:val="center"/>
          </w:tcPr>
          <w:p w14:paraId="2E2BF76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w:t>
            </w:r>
          </w:p>
        </w:tc>
      </w:tr>
      <w:tr w14:paraId="71BD8C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9" w:type="dxa"/>
            <w:vMerge w:val="continue"/>
            <w:tcBorders>
              <w:top w:val="single" w:color="auto" w:sz="4" w:space="0"/>
              <w:left w:val="single" w:color="auto" w:sz="4" w:space="0"/>
              <w:bottom w:val="single" w:color="auto" w:sz="4" w:space="0"/>
              <w:right w:val="single" w:color="auto" w:sz="4" w:space="0"/>
            </w:tcBorders>
            <w:vAlign w:val="center"/>
          </w:tcPr>
          <w:p w14:paraId="5C64271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1295" w:type="dxa"/>
            <w:vMerge w:val="continue"/>
            <w:tcBorders>
              <w:top w:val="single" w:color="auto" w:sz="4" w:space="0"/>
              <w:left w:val="single" w:color="auto" w:sz="4" w:space="0"/>
              <w:bottom w:val="single" w:color="auto" w:sz="4" w:space="0"/>
              <w:right w:val="single" w:color="auto" w:sz="4" w:space="0"/>
            </w:tcBorders>
            <w:vAlign w:val="center"/>
          </w:tcPr>
          <w:p w14:paraId="3591321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1313" w:type="dxa"/>
            <w:vMerge w:val="continue"/>
            <w:tcBorders>
              <w:top w:val="single" w:color="auto" w:sz="4" w:space="0"/>
              <w:left w:val="single" w:color="auto" w:sz="4" w:space="0"/>
              <w:bottom w:val="single" w:color="auto" w:sz="4" w:space="0"/>
              <w:right w:val="single" w:color="auto" w:sz="4" w:space="0"/>
            </w:tcBorders>
            <w:vAlign w:val="center"/>
          </w:tcPr>
          <w:p w14:paraId="48ED025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7130" w:type="dxa"/>
            <w:tcBorders>
              <w:top w:val="single" w:color="auto" w:sz="4" w:space="0"/>
              <w:left w:val="single" w:color="auto" w:sz="4" w:space="0"/>
              <w:bottom w:val="single" w:color="auto" w:sz="4" w:space="0"/>
              <w:right w:val="single" w:color="auto" w:sz="4" w:space="0"/>
            </w:tcBorders>
            <w:vAlign w:val="center"/>
          </w:tcPr>
          <w:p w14:paraId="0870A69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运动场设置挡水坡道，防止雨水进入运动场</w:t>
            </w:r>
          </w:p>
        </w:tc>
        <w:tc>
          <w:tcPr>
            <w:tcW w:w="3002" w:type="dxa"/>
            <w:vMerge w:val="continue"/>
            <w:tcBorders>
              <w:top w:val="single" w:color="auto" w:sz="4" w:space="0"/>
              <w:left w:val="single" w:color="auto" w:sz="4" w:space="0"/>
              <w:bottom w:val="single" w:color="auto" w:sz="4" w:space="0"/>
              <w:right w:val="single" w:color="auto" w:sz="4" w:space="0"/>
            </w:tcBorders>
            <w:vAlign w:val="center"/>
          </w:tcPr>
          <w:p w14:paraId="5DD7786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1100" w:type="dxa"/>
            <w:tcBorders>
              <w:top w:val="single" w:color="auto" w:sz="4" w:space="0"/>
              <w:left w:val="single" w:color="auto" w:sz="4" w:space="0"/>
              <w:bottom w:val="single" w:color="auto" w:sz="4" w:space="0"/>
              <w:right w:val="single" w:color="auto" w:sz="4" w:space="0"/>
            </w:tcBorders>
            <w:vAlign w:val="center"/>
          </w:tcPr>
          <w:p w14:paraId="08EC420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w:t>
            </w:r>
          </w:p>
        </w:tc>
      </w:tr>
      <w:tr w14:paraId="2D27790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9" w:type="dxa"/>
            <w:vMerge w:val="continue"/>
            <w:tcBorders>
              <w:top w:val="single" w:color="auto" w:sz="4" w:space="0"/>
              <w:left w:val="single" w:color="auto" w:sz="4" w:space="0"/>
              <w:bottom w:val="single" w:color="auto" w:sz="4" w:space="0"/>
              <w:right w:val="single" w:color="auto" w:sz="4" w:space="0"/>
            </w:tcBorders>
            <w:vAlign w:val="center"/>
          </w:tcPr>
          <w:p w14:paraId="300EB9D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1295" w:type="dxa"/>
            <w:vMerge w:val="continue"/>
            <w:tcBorders>
              <w:top w:val="single" w:color="auto" w:sz="4" w:space="0"/>
              <w:left w:val="single" w:color="auto" w:sz="4" w:space="0"/>
              <w:bottom w:val="single" w:color="auto" w:sz="4" w:space="0"/>
              <w:right w:val="single" w:color="auto" w:sz="4" w:space="0"/>
            </w:tcBorders>
            <w:vAlign w:val="center"/>
          </w:tcPr>
          <w:p w14:paraId="3C1800E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1313" w:type="dxa"/>
            <w:vMerge w:val="continue"/>
            <w:tcBorders>
              <w:top w:val="single" w:color="auto" w:sz="4" w:space="0"/>
              <w:left w:val="single" w:color="auto" w:sz="4" w:space="0"/>
              <w:bottom w:val="single" w:color="auto" w:sz="4" w:space="0"/>
              <w:right w:val="single" w:color="auto" w:sz="4" w:space="0"/>
            </w:tcBorders>
            <w:vAlign w:val="center"/>
          </w:tcPr>
          <w:p w14:paraId="5296665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7130" w:type="dxa"/>
            <w:tcBorders>
              <w:top w:val="single" w:color="auto" w:sz="4" w:space="0"/>
              <w:left w:val="single" w:color="auto" w:sz="4" w:space="0"/>
              <w:bottom w:val="single" w:color="auto" w:sz="4" w:space="0"/>
              <w:right w:val="single" w:color="auto" w:sz="4" w:space="0"/>
            </w:tcBorders>
            <w:vAlign w:val="center"/>
          </w:tcPr>
          <w:p w14:paraId="796BE70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粪污处理池</w:t>
            </w:r>
            <w:r>
              <w:rPr>
                <w:rFonts w:hint="default" w:ascii="Times New Roman" w:hAnsi="Times New Roman" w:eastAsia="宋体" w:cs="Times New Roman"/>
                <w:color w:val="auto"/>
                <w:sz w:val="21"/>
                <w:szCs w:val="21"/>
                <w:highlight w:val="none"/>
              </w:rPr>
              <w:t>底部进行硬化防渗处理，四面设围墙墙高</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m，出入口处及四周建设导流槽</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防止</w:t>
            </w:r>
            <w:r>
              <w:rPr>
                <w:rFonts w:hint="default" w:ascii="Times New Roman" w:hAnsi="Times New Roman" w:eastAsia="宋体" w:cs="Times New Roman"/>
                <w:color w:val="auto"/>
                <w:sz w:val="21"/>
                <w:szCs w:val="21"/>
                <w:highlight w:val="none"/>
              </w:rPr>
              <w:t>因雨水进入造成外溢，形成二次污染</w:t>
            </w:r>
          </w:p>
        </w:tc>
        <w:tc>
          <w:tcPr>
            <w:tcW w:w="3002" w:type="dxa"/>
            <w:vMerge w:val="continue"/>
            <w:tcBorders>
              <w:top w:val="single" w:color="auto" w:sz="4" w:space="0"/>
              <w:left w:val="single" w:color="auto" w:sz="4" w:space="0"/>
              <w:bottom w:val="single" w:color="auto" w:sz="4" w:space="0"/>
              <w:right w:val="single" w:color="auto" w:sz="4" w:space="0"/>
            </w:tcBorders>
            <w:vAlign w:val="center"/>
          </w:tcPr>
          <w:p w14:paraId="0F7B848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1100" w:type="dxa"/>
            <w:tcBorders>
              <w:top w:val="single" w:color="auto" w:sz="4" w:space="0"/>
              <w:left w:val="single" w:color="auto" w:sz="4" w:space="0"/>
              <w:bottom w:val="single" w:color="auto" w:sz="4" w:space="0"/>
              <w:right w:val="single" w:color="auto" w:sz="4" w:space="0"/>
            </w:tcBorders>
            <w:vAlign w:val="center"/>
          </w:tcPr>
          <w:p w14:paraId="2303997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w:t>
            </w:r>
          </w:p>
        </w:tc>
      </w:tr>
      <w:tr w14:paraId="136B4F2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9" w:type="dxa"/>
            <w:vMerge w:val="restart"/>
            <w:tcBorders>
              <w:top w:val="single" w:color="auto" w:sz="4" w:space="0"/>
              <w:left w:val="single" w:color="auto" w:sz="4" w:space="0"/>
              <w:bottom w:val="single" w:color="auto" w:sz="4" w:space="0"/>
              <w:right w:val="single" w:color="auto" w:sz="4" w:space="0"/>
            </w:tcBorders>
            <w:vAlign w:val="center"/>
          </w:tcPr>
          <w:p w14:paraId="2B55754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w:t>
            </w:r>
          </w:p>
        </w:tc>
        <w:tc>
          <w:tcPr>
            <w:tcW w:w="1295" w:type="dxa"/>
            <w:tcBorders>
              <w:top w:val="single" w:color="auto" w:sz="4" w:space="0"/>
              <w:left w:val="single" w:color="auto" w:sz="4" w:space="0"/>
              <w:bottom w:val="single" w:color="auto" w:sz="4" w:space="0"/>
              <w:right w:val="single" w:color="auto" w:sz="4" w:space="0"/>
            </w:tcBorders>
            <w:vAlign w:val="center"/>
          </w:tcPr>
          <w:p w14:paraId="694AA1A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地下水监控井</w:t>
            </w:r>
          </w:p>
        </w:tc>
        <w:tc>
          <w:tcPr>
            <w:tcW w:w="1313" w:type="dxa"/>
            <w:tcBorders>
              <w:top w:val="single" w:color="auto" w:sz="4" w:space="0"/>
              <w:left w:val="single" w:color="auto" w:sz="4" w:space="0"/>
              <w:bottom w:val="single" w:color="auto" w:sz="4" w:space="0"/>
              <w:right w:val="single" w:color="auto" w:sz="4" w:space="0"/>
            </w:tcBorders>
            <w:vAlign w:val="center"/>
          </w:tcPr>
          <w:p w14:paraId="685A694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130" w:type="dxa"/>
            <w:tcBorders>
              <w:top w:val="single" w:color="auto" w:sz="4" w:space="0"/>
              <w:left w:val="single" w:color="auto" w:sz="4" w:space="0"/>
              <w:bottom w:val="single" w:color="auto" w:sz="4" w:space="0"/>
              <w:right w:val="single" w:color="auto" w:sz="4" w:space="0"/>
            </w:tcBorders>
            <w:vAlign w:val="center"/>
          </w:tcPr>
          <w:p w14:paraId="42312B5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lang w:eastAsia="zh-CN"/>
              </w:rPr>
              <w:t>厂区北侧</w:t>
            </w:r>
            <w:r>
              <w:rPr>
                <w:rFonts w:hint="default" w:ascii="Times New Roman" w:hAnsi="Times New Roman" w:eastAsia="宋体" w:cs="Times New Roman"/>
                <w:bCs/>
                <w:color w:val="auto"/>
                <w:sz w:val="21"/>
                <w:szCs w:val="21"/>
                <w:highlight w:val="none"/>
              </w:rPr>
              <w:t>设置地下水监控井1眼，设置</w:t>
            </w:r>
            <w:r>
              <w:rPr>
                <w:rFonts w:hint="default" w:ascii="Times New Roman" w:hAnsi="Times New Roman" w:eastAsia="宋体" w:cs="Times New Roman"/>
                <w:bCs/>
                <w:color w:val="auto"/>
                <w:sz w:val="21"/>
                <w:szCs w:val="21"/>
                <w:highlight w:val="none"/>
                <w:lang w:eastAsia="zh-CN"/>
              </w:rPr>
              <w:t>标识</w:t>
            </w:r>
            <w:r>
              <w:rPr>
                <w:rFonts w:hint="default" w:ascii="Times New Roman" w:hAnsi="Times New Roman" w:eastAsia="宋体" w:cs="Times New Roman"/>
                <w:bCs/>
                <w:color w:val="auto"/>
                <w:sz w:val="21"/>
                <w:szCs w:val="21"/>
                <w:highlight w:val="none"/>
              </w:rPr>
              <w:t>等</w:t>
            </w:r>
          </w:p>
        </w:tc>
        <w:tc>
          <w:tcPr>
            <w:tcW w:w="3002" w:type="dxa"/>
            <w:tcBorders>
              <w:top w:val="single" w:color="auto" w:sz="4" w:space="0"/>
              <w:left w:val="single" w:color="auto" w:sz="4" w:space="0"/>
              <w:bottom w:val="single" w:color="auto" w:sz="4" w:space="0"/>
              <w:right w:val="single" w:color="auto" w:sz="4" w:space="0"/>
            </w:tcBorders>
            <w:vAlign w:val="center"/>
          </w:tcPr>
          <w:p w14:paraId="285DD2E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《地下水质量标准》（GB/T14848-2017）中Ⅲ类标准</w:t>
            </w:r>
          </w:p>
        </w:tc>
        <w:tc>
          <w:tcPr>
            <w:tcW w:w="1100" w:type="dxa"/>
            <w:tcBorders>
              <w:top w:val="single" w:color="auto" w:sz="4" w:space="0"/>
              <w:left w:val="single" w:color="auto" w:sz="4" w:space="0"/>
              <w:bottom w:val="single" w:color="auto" w:sz="4" w:space="0"/>
              <w:right w:val="single" w:color="auto" w:sz="4" w:space="0"/>
            </w:tcBorders>
            <w:vAlign w:val="center"/>
          </w:tcPr>
          <w:p w14:paraId="2701F03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2</w:t>
            </w:r>
          </w:p>
        </w:tc>
      </w:tr>
      <w:tr w14:paraId="2997153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9" w:type="dxa"/>
            <w:vMerge w:val="continue"/>
            <w:tcBorders>
              <w:top w:val="single" w:color="auto" w:sz="4" w:space="0"/>
              <w:left w:val="single" w:color="auto" w:sz="4" w:space="0"/>
              <w:bottom w:val="single" w:color="auto" w:sz="4" w:space="0"/>
              <w:right w:val="single" w:color="auto" w:sz="4" w:space="0"/>
            </w:tcBorders>
            <w:vAlign w:val="center"/>
          </w:tcPr>
          <w:p w14:paraId="7487943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1295" w:type="dxa"/>
            <w:tcBorders>
              <w:top w:val="single" w:color="auto" w:sz="4" w:space="0"/>
              <w:left w:val="single" w:color="auto" w:sz="4" w:space="0"/>
              <w:bottom w:val="single" w:color="auto" w:sz="4" w:space="0"/>
              <w:right w:val="single" w:color="auto" w:sz="4" w:space="0"/>
            </w:tcBorders>
            <w:vAlign w:val="center"/>
          </w:tcPr>
          <w:p w14:paraId="0A6A7F0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工程防渗要求</w:t>
            </w:r>
          </w:p>
        </w:tc>
        <w:tc>
          <w:tcPr>
            <w:tcW w:w="1313" w:type="dxa"/>
            <w:tcBorders>
              <w:top w:val="single" w:color="auto" w:sz="4" w:space="0"/>
              <w:left w:val="single" w:color="auto" w:sz="4" w:space="0"/>
              <w:bottom w:val="single" w:color="auto" w:sz="4" w:space="0"/>
              <w:right w:val="single" w:color="auto" w:sz="4" w:space="0"/>
            </w:tcBorders>
            <w:vAlign w:val="center"/>
          </w:tcPr>
          <w:p w14:paraId="5C6B5ED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130" w:type="dxa"/>
            <w:tcBorders>
              <w:top w:val="single" w:color="auto" w:sz="4" w:space="0"/>
              <w:left w:val="single" w:color="auto" w:sz="4" w:space="0"/>
              <w:bottom w:val="single" w:color="auto" w:sz="4" w:space="0"/>
              <w:right w:val="single" w:color="auto" w:sz="4" w:space="0"/>
            </w:tcBorders>
            <w:vAlign w:val="center"/>
          </w:tcPr>
          <w:p w14:paraId="0EE621A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1、重点防渗区涉及</w:t>
            </w:r>
            <w:r>
              <w:rPr>
                <w:rFonts w:hint="default" w:ascii="Times New Roman" w:hAnsi="Times New Roman" w:eastAsia="宋体" w:cs="Times New Roman"/>
                <w:color w:val="auto"/>
                <w:sz w:val="21"/>
                <w:szCs w:val="21"/>
                <w:highlight w:val="none"/>
                <w:lang w:val="zh-CN"/>
              </w:rPr>
              <w:t>危废暂存间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kern w:val="2"/>
                <w:sz w:val="21"/>
                <w:szCs w:val="21"/>
                <w:highlight w:val="none"/>
                <w:lang w:val="en-US" w:eastAsia="zh-CN" w:bidi="ar-SA"/>
              </w:rPr>
              <w:t>冷藏间</w:t>
            </w:r>
            <w:r>
              <w:rPr>
                <w:rFonts w:hint="default" w:ascii="Times New Roman" w:hAnsi="Times New Roman" w:eastAsia="宋体" w:cs="Times New Roman"/>
                <w:color w:val="auto"/>
                <w:sz w:val="21"/>
                <w:szCs w:val="21"/>
                <w:highlight w:val="none"/>
              </w:rPr>
              <w:t>渗透系数要求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sz w:val="21"/>
                <w:szCs w:val="21"/>
                <w:highlight w:val="none"/>
                <w:vertAlign w:val="superscript"/>
              </w:rPr>
              <w:t>-10</w:t>
            </w:r>
            <w:r>
              <w:rPr>
                <w:rFonts w:hint="default" w:ascii="Times New Roman" w:hAnsi="Times New Roman" w:eastAsia="宋体" w:cs="Times New Roman"/>
                <w:color w:val="auto"/>
                <w:sz w:val="21"/>
                <w:szCs w:val="21"/>
                <w:highlight w:val="none"/>
              </w:rPr>
              <w:t>cm/s；</w:t>
            </w:r>
          </w:p>
          <w:p w14:paraId="69F476B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2、一般防渗区：</w:t>
            </w:r>
          </w:p>
          <w:p w14:paraId="1D7E015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1）对</w:t>
            </w:r>
            <w:r>
              <w:rPr>
                <w:rFonts w:hint="default" w:ascii="Times New Roman" w:hAnsi="Times New Roman" w:eastAsia="宋体" w:cs="Times New Roman"/>
                <w:color w:val="auto"/>
                <w:sz w:val="21"/>
                <w:szCs w:val="21"/>
                <w:highlight w:val="none"/>
                <w:lang w:eastAsia="zh-CN"/>
              </w:rPr>
              <w:t>粪污处理池</w:t>
            </w:r>
            <w:r>
              <w:rPr>
                <w:rFonts w:hint="default" w:ascii="Times New Roman" w:hAnsi="Times New Roman" w:eastAsia="宋体" w:cs="Times New Roman"/>
                <w:color w:val="auto"/>
                <w:sz w:val="21"/>
                <w:szCs w:val="21"/>
                <w:highlight w:val="none"/>
              </w:rPr>
              <w:t>底部基础防渗具体做法为：防渗层为敷设不小于2mm的高密度聚氯乙烯（HDPE）人工防渗膜，膜上、膜下设置“长丝无纺土工布”保护层，并铺设不小于100mm的混凝土保护层，或其他材料可满足渗透系数≤10</w:t>
            </w:r>
            <w:r>
              <w:rPr>
                <w:rFonts w:hint="default" w:ascii="Times New Roman" w:hAnsi="Times New Roman" w:eastAsia="宋体" w:cs="Times New Roman"/>
                <w:color w:val="auto"/>
                <w:sz w:val="21"/>
                <w:szCs w:val="21"/>
                <w:highlight w:val="none"/>
                <w:vertAlign w:val="superscript"/>
              </w:rPr>
              <w:t>-7</w:t>
            </w:r>
            <w:r>
              <w:rPr>
                <w:rFonts w:hint="default" w:ascii="Times New Roman" w:hAnsi="Times New Roman" w:eastAsia="宋体" w:cs="Times New Roman"/>
                <w:color w:val="auto"/>
                <w:sz w:val="21"/>
                <w:szCs w:val="21"/>
                <w:highlight w:val="none"/>
              </w:rPr>
              <w:t>cm/s。</w:t>
            </w:r>
          </w:p>
          <w:p w14:paraId="6844610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2）对</w:t>
            </w:r>
            <w:r>
              <w:rPr>
                <w:rFonts w:hint="default" w:ascii="Times New Roman" w:hAnsi="Times New Roman" w:eastAsia="宋体" w:cs="Times New Roman"/>
                <w:color w:val="auto"/>
                <w:sz w:val="21"/>
                <w:szCs w:val="21"/>
                <w:highlight w:val="none"/>
                <w:lang w:eastAsia="zh-CN"/>
              </w:rPr>
              <w:t>化粪池</w:t>
            </w:r>
            <w:r>
              <w:rPr>
                <w:rFonts w:hint="default" w:ascii="Times New Roman" w:hAnsi="Times New Roman" w:eastAsia="宋体" w:cs="Times New Roman"/>
                <w:color w:val="auto"/>
                <w:sz w:val="21"/>
                <w:szCs w:val="21"/>
                <w:highlight w:val="none"/>
              </w:rPr>
              <w:t>采取以下防渗措施：</w:t>
            </w:r>
          </w:p>
          <w:p w14:paraId="3CBD571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池底及坡道采用粘土找平，底部素土夯实，夯实层以上设20mm厚1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3水泥砂浆找平层，防渗层为敷设不小于2mm的高密度聚氯乙烯（HDPE）人工防渗膜，膜上、膜下设置“长丝无纺土工布”保护层，并铺设不小于100mm的混凝土保护层，或其他材料可满足渗透系数≤10</w:t>
            </w:r>
            <w:r>
              <w:rPr>
                <w:rFonts w:hint="default" w:ascii="Times New Roman" w:hAnsi="Times New Roman" w:eastAsia="宋体" w:cs="Times New Roman"/>
                <w:color w:val="auto"/>
                <w:sz w:val="21"/>
                <w:szCs w:val="21"/>
                <w:highlight w:val="none"/>
                <w:vertAlign w:val="superscript"/>
              </w:rPr>
              <w:t>-7</w:t>
            </w:r>
            <w:r>
              <w:rPr>
                <w:rFonts w:hint="default" w:ascii="Times New Roman" w:hAnsi="Times New Roman" w:eastAsia="宋体" w:cs="Times New Roman"/>
                <w:color w:val="auto"/>
                <w:sz w:val="21"/>
                <w:szCs w:val="21"/>
                <w:highlight w:val="none"/>
              </w:rPr>
              <w:t>cm/s。</w:t>
            </w:r>
          </w:p>
          <w:p w14:paraId="10E7297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both"/>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3、对于</w:t>
            </w:r>
            <w:r>
              <w:rPr>
                <w:rFonts w:hint="default" w:ascii="Times New Roman" w:hAnsi="Times New Roman" w:eastAsia="宋体" w:cs="Times New Roman"/>
                <w:color w:val="auto"/>
                <w:sz w:val="21"/>
                <w:szCs w:val="21"/>
                <w:highlight w:val="none"/>
                <w:lang w:eastAsia="zh-CN"/>
              </w:rPr>
              <w:t>草棚</w:t>
            </w:r>
            <w:r>
              <w:rPr>
                <w:rFonts w:hint="default" w:ascii="Times New Roman" w:hAnsi="Times New Roman" w:eastAsia="宋体" w:cs="Times New Roman"/>
                <w:color w:val="auto"/>
                <w:sz w:val="21"/>
                <w:szCs w:val="21"/>
                <w:highlight w:val="none"/>
              </w:rPr>
              <w:t>、TMR车间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消毒室、</w:t>
            </w:r>
            <w:r>
              <w:rPr>
                <w:rFonts w:hint="default" w:ascii="Times New Roman" w:hAnsi="Times New Roman" w:eastAsia="宋体" w:cs="Times New Roman"/>
                <w:color w:val="auto"/>
                <w:sz w:val="21"/>
                <w:szCs w:val="21"/>
                <w:highlight w:val="none"/>
                <w:lang w:eastAsia="zh-CN"/>
              </w:rPr>
              <w:t>青贮平台</w:t>
            </w:r>
            <w:r>
              <w:rPr>
                <w:rFonts w:hint="default" w:ascii="Times New Roman" w:hAnsi="Times New Roman" w:eastAsia="宋体" w:cs="Times New Roman"/>
                <w:color w:val="auto"/>
                <w:sz w:val="21"/>
                <w:szCs w:val="21"/>
                <w:highlight w:val="none"/>
              </w:rPr>
              <w:t>、场区道路等生产区，铺设防渗混凝土地面进行防渗。</w:t>
            </w:r>
          </w:p>
        </w:tc>
        <w:tc>
          <w:tcPr>
            <w:tcW w:w="3002" w:type="dxa"/>
            <w:tcBorders>
              <w:top w:val="single" w:color="auto" w:sz="4" w:space="0"/>
              <w:left w:val="single" w:color="auto" w:sz="4" w:space="0"/>
              <w:bottom w:val="single" w:color="auto" w:sz="4" w:space="0"/>
              <w:right w:val="single" w:color="auto" w:sz="4" w:space="0"/>
            </w:tcBorders>
            <w:vAlign w:val="center"/>
          </w:tcPr>
          <w:p w14:paraId="6ECFBA1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《畜禽养殖业污染物排放</w:t>
            </w:r>
            <w:r>
              <w:rPr>
                <w:rFonts w:hint="default" w:ascii="Times New Roman" w:hAnsi="Times New Roman" w:eastAsia="宋体" w:cs="Times New Roman"/>
                <w:color w:val="auto"/>
                <w:sz w:val="21"/>
                <w:szCs w:val="21"/>
                <w:highlight w:val="none"/>
                <w:lang w:eastAsia="zh-CN"/>
              </w:rPr>
              <w:t>标准</w:t>
            </w:r>
            <w:r>
              <w:rPr>
                <w:rFonts w:hint="default" w:ascii="Times New Roman" w:hAnsi="Times New Roman" w:eastAsia="宋体" w:cs="Times New Roman"/>
                <w:color w:val="auto"/>
                <w:sz w:val="21"/>
                <w:szCs w:val="21"/>
                <w:highlight w:val="none"/>
              </w:rPr>
              <w:t>（GB18596-2001）》，</w:t>
            </w:r>
            <w:r>
              <w:rPr>
                <w:rFonts w:hint="default" w:ascii="Times New Roman" w:hAnsi="Times New Roman" w:eastAsia="宋体" w:cs="Times New Roman"/>
                <w:color w:val="FF0000"/>
                <w:sz w:val="21"/>
                <w:szCs w:val="21"/>
                <w:highlight w:val="none"/>
              </w:rPr>
              <w:t>《危险废物贮存污染控制标准》（</w:t>
            </w:r>
            <w:r>
              <w:rPr>
                <w:rFonts w:hint="default" w:ascii="Times New Roman" w:hAnsi="Times New Roman" w:eastAsia="宋体" w:cs="Times New Roman"/>
                <w:color w:val="FF0000"/>
                <w:sz w:val="21"/>
                <w:szCs w:val="21"/>
                <w:highlight w:val="none"/>
                <w:lang w:eastAsia="zh-CN"/>
              </w:rPr>
              <w:t>GB18597-2023</w:t>
            </w:r>
            <w:r>
              <w:rPr>
                <w:rFonts w:hint="default" w:ascii="Times New Roman" w:hAnsi="Times New Roman" w:eastAsia="宋体" w:cs="Times New Roman"/>
                <w:color w:val="FF0000"/>
                <w:sz w:val="21"/>
                <w:szCs w:val="21"/>
                <w:highlight w:val="none"/>
              </w:rPr>
              <w:t>）</w:t>
            </w:r>
          </w:p>
          <w:p w14:paraId="720C493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参照《一般工业固体废物贮存和填埋污染控制标准》（GB18599-2020）</w:t>
            </w:r>
          </w:p>
        </w:tc>
        <w:tc>
          <w:tcPr>
            <w:tcW w:w="1100" w:type="dxa"/>
            <w:tcBorders>
              <w:top w:val="single" w:color="auto" w:sz="4" w:space="0"/>
              <w:left w:val="single" w:color="auto" w:sz="4" w:space="0"/>
              <w:bottom w:val="single" w:color="auto" w:sz="4" w:space="0"/>
              <w:right w:val="single" w:color="auto" w:sz="4" w:space="0"/>
            </w:tcBorders>
            <w:vAlign w:val="center"/>
          </w:tcPr>
          <w:p w14:paraId="34A0C6F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25</w:t>
            </w:r>
          </w:p>
        </w:tc>
      </w:tr>
      <w:tr w14:paraId="13BC70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9" w:type="dxa"/>
            <w:vMerge w:val="restart"/>
            <w:tcBorders>
              <w:top w:val="single" w:color="auto" w:sz="4" w:space="0"/>
              <w:left w:val="single" w:color="auto" w:sz="4" w:space="0"/>
              <w:bottom w:val="single" w:color="auto" w:sz="4" w:space="0"/>
              <w:right w:val="single" w:color="auto" w:sz="4" w:space="0"/>
            </w:tcBorders>
            <w:vAlign w:val="center"/>
          </w:tcPr>
          <w:p w14:paraId="28CB020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固体废物</w:t>
            </w:r>
          </w:p>
        </w:tc>
        <w:tc>
          <w:tcPr>
            <w:tcW w:w="1295" w:type="dxa"/>
            <w:tcBorders>
              <w:top w:val="single" w:color="auto" w:sz="4" w:space="0"/>
              <w:left w:val="single" w:color="auto" w:sz="4" w:space="0"/>
              <w:bottom w:val="single" w:color="auto" w:sz="4" w:space="0"/>
              <w:right w:val="single" w:color="auto" w:sz="4" w:space="0"/>
            </w:tcBorders>
            <w:vAlign w:val="center"/>
          </w:tcPr>
          <w:p w14:paraId="737AA3D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zh-CN"/>
              </w:rPr>
              <w:t>医疗垃圾</w:t>
            </w:r>
          </w:p>
        </w:tc>
        <w:tc>
          <w:tcPr>
            <w:tcW w:w="1313" w:type="dxa"/>
            <w:tcBorders>
              <w:top w:val="single" w:color="auto" w:sz="4" w:space="0"/>
              <w:left w:val="single" w:color="auto" w:sz="4" w:space="0"/>
              <w:bottom w:val="single" w:color="auto" w:sz="4" w:space="0"/>
              <w:right w:val="single" w:color="auto" w:sz="4" w:space="0"/>
            </w:tcBorders>
            <w:vAlign w:val="center"/>
          </w:tcPr>
          <w:p w14:paraId="0F4B17C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130" w:type="dxa"/>
            <w:tcBorders>
              <w:top w:val="single" w:color="auto" w:sz="4" w:space="0"/>
              <w:left w:val="single" w:color="auto" w:sz="4" w:space="0"/>
              <w:bottom w:val="single" w:color="auto" w:sz="4" w:space="0"/>
              <w:right w:val="single" w:color="auto" w:sz="4" w:space="0"/>
            </w:tcBorders>
            <w:vAlign w:val="center"/>
          </w:tcPr>
          <w:p w14:paraId="2CF9D4F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w:t>
            </w:r>
            <w:r>
              <w:rPr>
                <w:rFonts w:hint="default" w:ascii="Times New Roman" w:hAnsi="Times New Roman" w:eastAsia="宋体" w:cs="Times New Roman"/>
                <w:color w:val="auto"/>
                <w:sz w:val="21"/>
                <w:szCs w:val="21"/>
                <w:highlight w:val="none"/>
                <w:lang w:eastAsia="zh-CN"/>
              </w:rPr>
              <w:t>危废暂存间</w:t>
            </w:r>
            <w:r>
              <w:rPr>
                <w:rFonts w:hint="default" w:ascii="Times New Roman" w:hAnsi="Times New Roman" w:eastAsia="宋体" w:cs="Times New Roman"/>
                <w:color w:val="auto"/>
                <w:sz w:val="21"/>
                <w:szCs w:val="21"/>
                <w:highlight w:val="none"/>
              </w:rPr>
              <w:t>1座，建筑面积10m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，暂存运营过程产生的</w:t>
            </w:r>
            <w:r>
              <w:rPr>
                <w:rFonts w:hint="default" w:ascii="Times New Roman" w:hAnsi="Times New Roman" w:eastAsia="宋体" w:cs="Times New Roman"/>
                <w:color w:val="auto"/>
                <w:sz w:val="21"/>
                <w:szCs w:val="21"/>
                <w:highlight w:val="none"/>
                <w:lang w:eastAsia="zh-CN"/>
              </w:rPr>
              <w:t>医疗垃圾</w:t>
            </w:r>
            <w:r>
              <w:rPr>
                <w:rFonts w:hint="default" w:ascii="Times New Roman" w:hAnsi="Times New Roman" w:eastAsia="宋体" w:cs="Times New Roman"/>
                <w:color w:val="auto"/>
                <w:sz w:val="21"/>
                <w:szCs w:val="21"/>
                <w:highlight w:val="none"/>
              </w:rPr>
              <w:t>，暂存</w:t>
            </w:r>
            <w:r>
              <w:rPr>
                <w:rFonts w:hint="default" w:ascii="Times New Roman" w:hAnsi="Times New Roman" w:eastAsia="宋体" w:cs="Times New Roman"/>
                <w:color w:val="auto"/>
                <w:sz w:val="21"/>
                <w:szCs w:val="21"/>
                <w:highlight w:val="none"/>
                <w:lang w:eastAsia="zh-CN"/>
              </w:rPr>
              <w:t>定期由有资质单位处置</w:t>
            </w:r>
            <w:r>
              <w:rPr>
                <w:rFonts w:hint="default" w:ascii="Times New Roman" w:hAnsi="Times New Roman" w:eastAsia="宋体" w:cs="Times New Roman"/>
                <w:color w:val="auto"/>
                <w:sz w:val="21"/>
                <w:szCs w:val="21"/>
                <w:highlight w:val="none"/>
              </w:rPr>
              <w:t>；</w:t>
            </w:r>
          </w:p>
          <w:p w14:paraId="2F10DC5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1）贮存场所地面须</w:t>
            </w:r>
            <w:r>
              <w:rPr>
                <w:rFonts w:hint="default" w:ascii="Times New Roman" w:hAnsi="Times New Roman" w:eastAsia="宋体" w:cs="Times New Roman"/>
                <w:color w:val="auto"/>
                <w:sz w:val="21"/>
                <w:szCs w:val="21"/>
                <w:highlight w:val="none"/>
                <w:lang w:eastAsia="zh-CN"/>
              </w:rPr>
              <w:t>做</w:t>
            </w:r>
            <w:r>
              <w:rPr>
                <w:rFonts w:hint="default" w:ascii="Times New Roman" w:hAnsi="Times New Roman" w:eastAsia="宋体" w:cs="Times New Roman"/>
                <w:color w:val="auto"/>
                <w:sz w:val="21"/>
                <w:szCs w:val="21"/>
                <w:highlight w:val="none"/>
              </w:rPr>
              <w:t>硬化处理，以混凝土、砖</w:t>
            </w:r>
            <w:r>
              <w:rPr>
                <w:rFonts w:hint="default" w:ascii="Times New Roman" w:hAnsi="Times New Roman" w:eastAsia="宋体" w:cs="Times New Roman"/>
                <w:color w:val="auto"/>
                <w:sz w:val="21"/>
                <w:szCs w:val="21"/>
                <w:highlight w:val="none"/>
                <w:lang w:eastAsia="zh-CN"/>
              </w:rPr>
              <w:t>，或</w:t>
            </w:r>
            <w:r>
              <w:rPr>
                <w:rFonts w:hint="default" w:ascii="Times New Roman" w:hAnsi="Times New Roman" w:eastAsia="宋体" w:cs="Times New Roman"/>
                <w:color w:val="auto"/>
                <w:sz w:val="21"/>
                <w:szCs w:val="21"/>
                <w:highlight w:val="none"/>
              </w:rPr>
              <w:t>经过防止腐化处理的钢材料进行建设，地面敷设2mm厚HDPE膜进行防渗处理，以防止渗漏和腐蚀。存放液体性危险废物的贮存场所必须设计导流槽和收集井。场所需要密闭且有通风口。</w:t>
            </w:r>
          </w:p>
          <w:p w14:paraId="0830508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2）危废暂存间的地面与裙脚要用坚固、防渗的材料建造，建筑材料必须与危险废物相容。</w:t>
            </w:r>
          </w:p>
        </w:tc>
        <w:tc>
          <w:tcPr>
            <w:tcW w:w="3002" w:type="dxa"/>
            <w:tcBorders>
              <w:top w:val="single" w:color="auto" w:sz="4" w:space="0"/>
              <w:left w:val="single" w:color="auto" w:sz="4" w:space="0"/>
              <w:bottom w:val="single" w:color="auto" w:sz="4" w:space="0"/>
              <w:right w:val="single" w:color="auto" w:sz="4" w:space="0"/>
            </w:tcBorders>
            <w:vAlign w:val="center"/>
          </w:tcPr>
          <w:p w14:paraId="61B1F86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FF0000"/>
                <w:sz w:val="21"/>
                <w:szCs w:val="21"/>
                <w:highlight w:val="none"/>
              </w:rPr>
              <w:t>《危险废物贮存污染控制标准》（</w:t>
            </w:r>
            <w:r>
              <w:rPr>
                <w:rFonts w:hint="default" w:ascii="Times New Roman" w:hAnsi="Times New Roman" w:eastAsia="宋体" w:cs="Times New Roman"/>
                <w:color w:val="FF0000"/>
                <w:sz w:val="21"/>
                <w:szCs w:val="21"/>
                <w:highlight w:val="none"/>
                <w:lang w:eastAsia="zh-CN"/>
              </w:rPr>
              <w:t>GB18597-2023</w:t>
            </w:r>
            <w:r>
              <w:rPr>
                <w:rFonts w:hint="default" w:ascii="Times New Roman" w:hAnsi="Times New Roman" w:eastAsia="宋体" w:cs="Times New Roman"/>
                <w:color w:val="FF0000"/>
                <w:sz w:val="21"/>
                <w:szCs w:val="21"/>
                <w:highlight w:val="none"/>
              </w:rPr>
              <w:t>）</w:t>
            </w:r>
          </w:p>
        </w:tc>
        <w:tc>
          <w:tcPr>
            <w:tcW w:w="1100" w:type="dxa"/>
            <w:tcBorders>
              <w:top w:val="single" w:color="auto" w:sz="4" w:space="0"/>
              <w:left w:val="single" w:color="auto" w:sz="4" w:space="0"/>
              <w:bottom w:val="single" w:color="auto" w:sz="4" w:space="0"/>
              <w:right w:val="single" w:color="auto" w:sz="4" w:space="0"/>
            </w:tcBorders>
            <w:vAlign w:val="center"/>
          </w:tcPr>
          <w:p w14:paraId="077152E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5</w:t>
            </w:r>
          </w:p>
        </w:tc>
      </w:tr>
      <w:tr w14:paraId="0EF4D19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9" w:type="dxa"/>
            <w:vMerge w:val="continue"/>
            <w:tcBorders>
              <w:top w:val="single" w:color="auto" w:sz="4" w:space="0"/>
              <w:left w:val="single" w:color="auto" w:sz="4" w:space="0"/>
              <w:bottom w:val="single" w:color="auto" w:sz="4" w:space="0"/>
              <w:right w:val="single" w:color="auto" w:sz="4" w:space="0"/>
            </w:tcBorders>
            <w:vAlign w:val="center"/>
          </w:tcPr>
          <w:p w14:paraId="0683C13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1295" w:type="dxa"/>
            <w:tcBorders>
              <w:top w:val="single" w:color="auto" w:sz="4" w:space="0"/>
              <w:left w:val="single" w:color="auto" w:sz="4" w:space="0"/>
              <w:bottom w:val="single" w:color="auto" w:sz="4" w:space="0"/>
              <w:right w:val="single" w:color="auto" w:sz="4" w:space="0"/>
            </w:tcBorders>
            <w:vAlign w:val="center"/>
          </w:tcPr>
          <w:p w14:paraId="329F355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病死牛</w:t>
            </w:r>
          </w:p>
        </w:tc>
        <w:tc>
          <w:tcPr>
            <w:tcW w:w="1313" w:type="dxa"/>
            <w:tcBorders>
              <w:top w:val="single" w:color="auto" w:sz="4" w:space="0"/>
              <w:left w:val="single" w:color="auto" w:sz="4" w:space="0"/>
              <w:bottom w:val="single" w:color="auto" w:sz="4" w:space="0"/>
              <w:right w:val="single" w:color="auto" w:sz="4" w:space="0"/>
            </w:tcBorders>
            <w:vAlign w:val="center"/>
          </w:tcPr>
          <w:p w14:paraId="65AE492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130" w:type="dxa"/>
            <w:tcBorders>
              <w:top w:val="single" w:color="auto" w:sz="4" w:space="0"/>
              <w:left w:val="single" w:color="auto" w:sz="4" w:space="0"/>
              <w:bottom w:val="single" w:color="auto" w:sz="4" w:space="0"/>
              <w:right w:val="single" w:color="auto" w:sz="4" w:space="0"/>
            </w:tcBorders>
            <w:vAlign w:val="center"/>
          </w:tcPr>
          <w:p w14:paraId="2566DA2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暂存于冷藏间，交由巴彦淖尔市绿之源生物技术发展有限公司进行无害化处理。</w:t>
            </w:r>
          </w:p>
        </w:tc>
        <w:tc>
          <w:tcPr>
            <w:tcW w:w="3002" w:type="dxa"/>
            <w:tcBorders>
              <w:top w:val="single" w:color="auto" w:sz="4" w:space="0"/>
              <w:left w:val="single" w:color="auto" w:sz="4" w:space="0"/>
              <w:bottom w:val="single" w:color="auto" w:sz="4" w:space="0"/>
              <w:right w:val="single" w:color="auto" w:sz="4" w:space="0"/>
            </w:tcBorders>
            <w:vAlign w:val="center"/>
          </w:tcPr>
          <w:p w14:paraId="6BD2370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《畜禽养殖业污染治理工程技术规范》（HJ497-2009）、《畜禽养殖业污染防治技术规范》（HJ/T81-2001）、《病死及病害动物无害化处理技术规范》（农医发</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2017</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25号）</w:t>
            </w:r>
          </w:p>
        </w:tc>
        <w:tc>
          <w:tcPr>
            <w:tcW w:w="1100" w:type="dxa"/>
            <w:tcBorders>
              <w:top w:val="single" w:color="auto" w:sz="4" w:space="0"/>
              <w:left w:val="single" w:color="auto" w:sz="4" w:space="0"/>
              <w:bottom w:val="single" w:color="auto" w:sz="4" w:space="0"/>
              <w:right w:val="single" w:color="auto" w:sz="4" w:space="0"/>
            </w:tcBorders>
            <w:vAlign w:val="center"/>
          </w:tcPr>
          <w:p w14:paraId="3A24244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r>
      <w:tr w14:paraId="42B3FE7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9" w:type="dxa"/>
            <w:vMerge w:val="continue"/>
            <w:tcBorders>
              <w:top w:val="single" w:color="auto" w:sz="4" w:space="0"/>
              <w:left w:val="single" w:color="auto" w:sz="4" w:space="0"/>
              <w:bottom w:val="single" w:color="auto" w:sz="4" w:space="0"/>
              <w:right w:val="single" w:color="auto" w:sz="4" w:space="0"/>
            </w:tcBorders>
            <w:vAlign w:val="center"/>
          </w:tcPr>
          <w:p w14:paraId="338CDBA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1295" w:type="dxa"/>
            <w:tcBorders>
              <w:top w:val="single" w:color="auto" w:sz="4" w:space="0"/>
              <w:left w:val="single" w:color="auto" w:sz="4" w:space="0"/>
              <w:bottom w:val="single" w:color="auto" w:sz="4" w:space="0"/>
              <w:right w:val="single" w:color="auto" w:sz="4" w:space="0"/>
            </w:tcBorders>
            <w:vAlign w:val="center"/>
          </w:tcPr>
          <w:p w14:paraId="15E094B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牛粪便</w:t>
            </w:r>
          </w:p>
        </w:tc>
        <w:tc>
          <w:tcPr>
            <w:tcW w:w="1313" w:type="dxa"/>
            <w:tcBorders>
              <w:top w:val="single" w:color="auto" w:sz="4" w:space="0"/>
              <w:left w:val="single" w:color="auto" w:sz="4" w:space="0"/>
              <w:bottom w:val="single" w:color="auto" w:sz="4" w:space="0"/>
              <w:right w:val="single" w:color="auto" w:sz="4" w:space="0"/>
            </w:tcBorders>
            <w:vAlign w:val="center"/>
          </w:tcPr>
          <w:p w14:paraId="3BCFB58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130" w:type="dxa"/>
            <w:tcBorders>
              <w:top w:val="single" w:color="auto" w:sz="4" w:space="0"/>
              <w:left w:val="single" w:color="auto" w:sz="4" w:space="0"/>
              <w:bottom w:val="single" w:color="auto" w:sz="4" w:space="0"/>
              <w:right w:val="single" w:color="auto" w:sz="4" w:space="0"/>
            </w:tcBorders>
            <w:vAlign w:val="center"/>
          </w:tcPr>
          <w:p w14:paraId="4DDCA5B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日产日清，</w:t>
            </w:r>
            <w:r>
              <w:rPr>
                <w:rFonts w:hint="default" w:ascii="Times New Roman" w:hAnsi="Times New Roman" w:eastAsia="宋体" w:cs="Times New Roman"/>
                <w:color w:val="auto"/>
                <w:sz w:val="21"/>
                <w:szCs w:val="21"/>
                <w:highlight w:val="none"/>
                <w:lang w:eastAsia="zh-CN"/>
              </w:rPr>
              <w:t>粪污处理池</w:t>
            </w:r>
            <w:r>
              <w:rPr>
                <w:rFonts w:hint="default" w:ascii="Times New Roman" w:hAnsi="Times New Roman" w:eastAsia="宋体" w:cs="Times New Roman"/>
                <w:color w:val="auto"/>
                <w:sz w:val="21"/>
                <w:szCs w:val="21"/>
                <w:highlight w:val="none"/>
              </w:rPr>
              <w:t>收集经堆肥发酵后，用于还田利用；</w:t>
            </w:r>
          </w:p>
        </w:tc>
        <w:tc>
          <w:tcPr>
            <w:tcW w:w="3002" w:type="dxa"/>
            <w:tcBorders>
              <w:top w:val="single" w:color="auto" w:sz="4" w:space="0"/>
              <w:left w:val="single" w:color="auto" w:sz="4" w:space="0"/>
              <w:bottom w:val="single" w:color="auto" w:sz="4" w:space="0"/>
              <w:right w:val="single" w:color="auto" w:sz="4" w:space="0"/>
            </w:tcBorders>
            <w:vAlign w:val="center"/>
          </w:tcPr>
          <w:p w14:paraId="628B2C4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资源化利用，满足《畜禽养殖业污染物排放标准》（GB18596-2001）</w:t>
            </w:r>
          </w:p>
        </w:tc>
        <w:tc>
          <w:tcPr>
            <w:tcW w:w="1100" w:type="dxa"/>
            <w:tcBorders>
              <w:top w:val="single" w:color="auto" w:sz="4" w:space="0"/>
              <w:left w:val="single" w:color="auto" w:sz="4" w:space="0"/>
              <w:bottom w:val="single" w:color="auto" w:sz="4" w:space="0"/>
              <w:right w:val="single" w:color="auto" w:sz="4" w:space="0"/>
            </w:tcBorders>
            <w:vAlign w:val="center"/>
          </w:tcPr>
          <w:p w14:paraId="7A83706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r>
      <w:tr w14:paraId="4E1F2C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9" w:type="dxa"/>
            <w:vMerge w:val="continue"/>
            <w:tcBorders>
              <w:top w:val="single" w:color="auto" w:sz="4" w:space="0"/>
              <w:left w:val="single" w:color="auto" w:sz="4" w:space="0"/>
              <w:bottom w:val="single" w:color="auto" w:sz="4" w:space="0"/>
              <w:right w:val="single" w:color="auto" w:sz="4" w:space="0"/>
            </w:tcBorders>
            <w:vAlign w:val="center"/>
          </w:tcPr>
          <w:p w14:paraId="5D50767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1295" w:type="dxa"/>
            <w:tcBorders>
              <w:top w:val="single" w:color="auto" w:sz="4" w:space="0"/>
              <w:left w:val="single" w:color="auto" w:sz="4" w:space="0"/>
              <w:bottom w:val="single" w:color="auto" w:sz="4" w:space="0"/>
              <w:right w:val="single" w:color="auto" w:sz="4" w:space="0"/>
            </w:tcBorders>
            <w:vAlign w:val="center"/>
          </w:tcPr>
          <w:p w14:paraId="76CC7D9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人员</w:t>
            </w:r>
          </w:p>
        </w:tc>
        <w:tc>
          <w:tcPr>
            <w:tcW w:w="1313" w:type="dxa"/>
            <w:tcBorders>
              <w:top w:val="single" w:color="auto" w:sz="4" w:space="0"/>
              <w:left w:val="single" w:color="auto" w:sz="4" w:space="0"/>
              <w:bottom w:val="single" w:color="auto" w:sz="4" w:space="0"/>
              <w:right w:val="single" w:color="auto" w:sz="4" w:space="0"/>
            </w:tcBorders>
            <w:vAlign w:val="center"/>
          </w:tcPr>
          <w:p w14:paraId="30DCB16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生活垃圾</w:t>
            </w:r>
          </w:p>
        </w:tc>
        <w:tc>
          <w:tcPr>
            <w:tcW w:w="7130" w:type="dxa"/>
            <w:tcBorders>
              <w:top w:val="single" w:color="auto" w:sz="4" w:space="0"/>
              <w:left w:val="single" w:color="auto" w:sz="4" w:space="0"/>
              <w:bottom w:val="single" w:color="auto" w:sz="4" w:space="0"/>
              <w:right w:val="single" w:color="auto" w:sz="4" w:space="0"/>
            </w:tcBorders>
            <w:vAlign w:val="center"/>
          </w:tcPr>
          <w:p w14:paraId="50717BF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场区设置垃圾桶分类收集，</w:t>
            </w:r>
            <w:r>
              <w:rPr>
                <w:rFonts w:hint="default" w:ascii="Times New Roman" w:hAnsi="Times New Roman" w:eastAsia="宋体" w:cs="Times New Roman"/>
                <w:color w:val="auto"/>
                <w:sz w:val="21"/>
                <w:szCs w:val="21"/>
                <w:highlight w:val="none"/>
                <w:lang w:bidi="zh-CN"/>
              </w:rPr>
              <w:t>清运到环卫部门指定的地点集中处理</w:t>
            </w:r>
          </w:p>
        </w:tc>
        <w:tc>
          <w:tcPr>
            <w:tcW w:w="3002" w:type="dxa"/>
            <w:tcBorders>
              <w:top w:val="single" w:color="auto" w:sz="4" w:space="0"/>
              <w:left w:val="single" w:color="auto" w:sz="4" w:space="0"/>
              <w:bottom w:val="single" w:color="auto" w:sz="4" w:space="0"/>
              <w:right w:val="single" w:color="auto" w:sz="4" w:space="0"/>
            </w:tcBorders>
            <w:vAlign w:val="center"/>
          </w:tcPr>
          <w:p w14:paraId="7B0CEC2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00" w:type="dxa"/>
            <w:tcBorders>
              <w:top w:val="single" w:color="auto" w:sz="4" w:space="0"/>
              <w:left w:val="single" w:color="auto" w:sz="4" w:space="0"/>
              <w:bottom w:val="single" w:color="auto" w:sz="4" w:space="0"/>
              <w:right w:val="single" w:color="auto" w:sz="4" w:space="0"/>
            </w:tcBorders>
            <w:vAlign w:val="center"/>
          </w:tcPr>
          <w:p w14:paraId="0CF8F18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0.1</w:t>
            </w:r>
          </w:p>
        </w:tc>
      </w:tr>
      <w:tr w14:paraId="1E722F8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9" w:type="dxa"/>
            <w:tcBorders>
              <w:top w:val="single" w:color="auto" w:sz="4" w:space="0"/>
              <w:left w:val="single" w:color="auto" w:sz="4" w:space="0"/>
              <w:bottom w:val="single" w:color="auto" w:sz="4" w:space="0"/>
              <w:right w:val="single" w:color="auto" w:sz="4" w:space="0"/>
            </w:tcBorders>
            <w:vAlign w:val="center"/>
          </w:tcPr>
          <w:p w14:paraId="69FE5EE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1295" w:type="dxa"/>
            <w:tcBorders>
              <w:top w:val="single" w:color="auto" w:sz="4" w:space="0"/>
              <w:left w:val="single" w:color="auto" w:sz="4" w:space="0"/>
              <w:bottom w:val="single" w:color="auto" w:sz="4" w:space="0"/>
              <w:right w:val="single" w:color="auto" w:sz="4" w:space="0"/>
            </w:tcBorders>
            <w:vAlign w:val="center"/>
          </w:tcPr>
          <w:p w14:paraId="7024CDF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风机和泵类</w:t>
            </w:r>
          </w:p>
        </w:tc>
        <w:tc>
          <w:tcPr>
            <w:tcW w:w="1313" w:type="dxa"/>
            <w:tcBorders>
              <w:top w:val="single" w:color="auto" w:sz="4" w:space="0"/>
              <w:left w:val="single" w:color="auto" w:sz="4" w:space="0"/>
              <w:bottom w:val="single" w:color="auto" w:sz="4" w:space="0"/>
              <w:right w:val="single" w:color="auto" w:sz="4" w:space="0"/>
            </w:tcBorders>
            <w:vAlign w:val="center"/>
          </w:tcPr>
          <w:p w14:paraId="4EAFAA5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GB"/>
              </w:rPr>
              <w:t>噪声</w:t>
            </w:r>
          </w:p>
        </w:tc>
        <w:tc>
          <w:tcPr>
            <w:tcW w:w="7130" w:type="dxa"/>
            <w:tcBorders>
              <w:top w:val="single" w:color="auto" w:sz="4" w:space="0"/>
              <w:left w:val="single" w:color="auto" w:sz="4" w:space="0"/>
              <w:bottom w:val="single" w:color="auto" w:sz="4" w:space="0"/>
              <w:right w:val="single" w:color="auto" w:sz="4" w:space="0"/>
            </w:tcBorders>
            <w:vAlign w:val="center"/>
          </w:tcPr>
          <w:p w14:paraId="11C3554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基础减振、全封闭TMR车间等措施</w:t>
            </w:r>
          </w:p>
        </w:tc>
        <w:tc>
          <w:tcPr>
            <w:tcW w:w="3002" w:type="dxa"/>
            <w:tcBorders>
              <w:top w:val="single" w:color="auto" w:sz="4" w:space="0"/>
              <w:left w:val="single" w:color="auto" w:sz="4" w:space="0"/>
              <w:bottom w:val="single" w:color="auto" w:sz="4" w:space="0"/>
              <w:right w:val="single" w:color="auto" w:sz="4" w:space="0"/>
            </w:tcBorders>
            <w:vAlign w:val="center"/>
          </w:tcPr>
          <w:p w14:paraId="2C01DEE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FFC000"/>
                <w:sz w:val="21"/>
                <w:szCs w:val="21"/>
                <w:highlight w:val="none"/>
              </w:rPr>
              <w:t>《工业企业厂界环境噪声排放标准》（GB12348-2008）</w:t>
            </w:r>
            <w:r>
              <w:rPr>
                <w:rFonts w:hint="default" w:ascii="Times New Roman" w:hAnsi="Times New Roman" w:eastAsia="宋体" w:cs="Times New Roman"/>
                <w:color w:val="FFC000"/>
                <w:sz w:val="21"/>
                <w:szCs w:val="21"/>
                <w:highlight w:val="none"/>
                <w:lang w:eastAsia="zh-CN"/>
              </w:rPr>
              <w:t>表</w:t>
            </w:r>
            <w:r>
              <w:rPr>
                <w:rFonts w:hint="default" w:ascii="Times New Roman" w:hAnsi="Times New Roman" w:eastAsia="宋体" w:cs="Times New Roman"/>
                <w:color w:val="FFC000"/>
                <w:sz w:val="21"/>
                <w:szCs w:val="21"/>
                <w:highlight w:val="none"/>
                <w:lang w:val="en-US" w:eastAsia="zh-CN"/>
              </w:rPr>
              <w:t>1工业企业厂界环境噪声排放限值中</w:t>
            </w:r>
            <w:r>
              <w:rPr>
                <w:rFonts w:hint="default" w:ascii="Times New Roman" w:hAnsi="Times New Roman" w:eastAsia="宋体" w:cs="Times New Roman"/>
                <w:color w:val="FFC000"/>
                <w:sz w:val="21"/>
                <w:szCs w:val="21"/>
                <w:highlight w:val="none"/>
                <w:lang w:val="en-US" w:eastAsia="zh-CN"/>
              </w:rPr>
              <w:t>1</w:t>
            </w:r>
            <w:r>
              <w:rPr>
                <w:rFonts w:hint="default" w:ascii="Times New Roman" w:hAnsi="Times New Roman" w:eastAsia="宋体" w:cs="Times New Roman"/>
                <w:color w:val="FFC000"/>
                <w:sz w:val="21"/>
                <w:szCs w:val="21"/>
                <w:highlight w:val="none"/>
                <w:lang w:val="en-US" w:eastAsia="zh-CN"/>
              </w:rPr>
              <w:t>类功能区排放限值</w:t>
            </w:r>
          </w:p>
        </w:tc>
        <w:tc>
          <w:tcPr>
            <w:tcW w:w="1100" w:type="dxa"/>
            <w:tcBorders>
              <w:top w:val="single" w:color="auto" w:sz="4" w:space="0"/>
              <w:left w:val="single" w:color="auto" w:sz="4" w:space="0"/>
              <w:bottom w:val="single" w:color="auto" w:sz="4" w:space="0"/>
              <w:right w:val="single" w:color="auto" w:sz="4" w:space="0"/>
            </w:tcBorders>
            <w:vAlign w:val="center"/>
          </w:tcPr>
          <w:p w14:paraId="4B1B32B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2</w:t>
            </w:r>
          </w:p>
        </w:tc>
      </w:tr>
      <w:tr w14:paraId="3CCFEC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49" w:type="dxa"/>
            <w:tcBorders>
              <w:top w:val="single" w:color="auto" w:sz="4" w:space="0"/>
              <w:left w:val="single" w:color="auto" w:sz="4" w:space="0"/>
              <w:bottom w:val="single" w:color="auto" w:sz="4" w:space="0"/>
              <w:right w:val="single" w:color="auto" w:sz="4" w:space="0"/>
            </w:tcBorders>
            <w:vAlign w:val="center"/>
          </w:tcPr>
          <w:p w14:paraId="563DFE0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绿化</w:t>
            </w:r>
          </w:p>
        </w:tc>
        <w:tc>
          <w:tcPr>
            <w:tcW w:w="2608" w:type="dxa"/>
            <w:gridSpan w:val="2"/>
            <w:tcBorders>
              <w:top w:val="single" w:color="auto" w:sz="4" w:space="0"/>
              <w:left w:val="single" w:color="auto" w:sz="4" w:space="0"/>
              <w:bottom w:val="single" w:color="auto" w:sz="4" w:space="0"/>
              <w:right w:val="single" w:color="auto" w:sz="4" w:space="0"/>
            </w:tcBorders>
            <w:vAlign w:val="center"/>
          </w:tcPr>
          <w:p w14:paraId="511C617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绿化工程</w:t>
            </w:r>
          </w:p>
        </w:tc>
        <w:tc>
          <w:tcPr>
            <w:tcW w:w="7130" w:type="dxa"/>
            <w:tcBorders>
              <w:top w:val="single" w:color="auto" w:sz="4" w:space="0"/>
              <w:left w:val="single" w:color="auto" w:sz="4" w:space="0"/>
              <w:bottom w:val="single" w:color="auto" w:sz="4" w:space="0"/>
              <w:right w:val="single" w:color="auto" w:sz="4" w:space="0"/>
            </w:tcBorders>
            <w:vAlign w:val="center"/>
          </w:tcPr>
          <w:p w14:paraId="6BA362C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在场区四周、建筑物及道路两侧要种植乔灌相间的常青树，尤其应对牛场进行重点绿化，选择适宜的树种和草本植物，结合地区气候条件进行绿化美化工作环境，绿化面积为</w:t>
            </w:r>
            <w:r>
              <w:rPr>
                <w:rFonts w:hint="default" w:ascii="Times New Roman" w:hAnsi="Times New Roman" w:eastAsia="宋体" w:cs="Times New Roman"/>
                <w:color w:val="auto"/>
                <w:sz w:val="21"/>
                <w:szCs w:val="21"/>
                <w:highlight w:val="none"/>
                <w:lang w:eastAsia="zh-CN"/>
              </w:rPr>
              <w:t>10000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w:t>
            </w:r>
          </w:p>
        </w:tc>
        <w:tc>
          <w:tcPr>
            <w:tcW w:w="3002" w:type="dxa"/>
            <w:tcBorders>
              <w:top w:val="single" w:color="auto" w:sz="4" w:space="0"/>
              <w:left w:val="single" w:color="auto" w:sz="4" w:space="0"/>
              <w:bottom w:val="single" w:color="auto" w:sz="4" w:space="0"/>
              <w:right w:val="single" w:color="auto" w:sz="4" w:space="0"/>
            </w:tcBorders>
            <w:vAlign w:val="center"/>
          </w:tcPr>
          <w:p w14:paraId="2C22482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00" w:type="dxa"/>
            <w:tcBorders>
              <w:top w:val="single" w:color="auto" w:sz="4" w:space="0"/>
              <w:left w:val="single" w:color="auto" w:sz="4" w:space="0"/>
              <w:bottom w:val="single" w:color="auto" w:sz="4" w:space="0"/>
              <w:right w:val="single" w:color="auto" w:sz="4" w:space="0"/>
            </w:tcBorders>
            <w:vAlign w:val="center"/>
          </w:tcPr>
          <w:p w14:paraId="44ED3BF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r>
      <w:tr w14:paraId="17BBDB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287" w:type="dxa"/>
            <w:gridSpan w:val="4"/>
            <w:tcBorders>
              <w:top w:val="single" w:color="auto" w:sz="4" w:space="0"/>
              <w:left w:val="single" w:color="auto" w:sz="4" w:space="0"/>
              <w:bottom w:val="single" w:color="auto" w:sz="4" w:space="0"/>
              <w:right w:val="single" w:color="auto" w:sz="4" w:space="0"/>
            </w:tcBorders>
            <w:vAlign w:val="center"/>
          </w:tcPr>
          <w:p w14:paraId="0B3178E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合计</w:t>
            </w:r>
          </w:p>
        </w:tc>
        <w:tc>
          <w:tcPr>
            <w:tcW w:w="3002" w:type="dxa"/>
            <w:tcBorders>
              <w:top w:val="single" w:color="auto" w:sz="4" w:space="0"/>
              <w:left w:val="single" w:color="auto" w:sz="4" w:space="0"/>
              <w:bottom w:val="single" w:color="auto" w:sz="4" w:space="0"/>
              <w:right w:val="single" w:color="auto" w:sz="4" w:space="0"/>
            </w:tcBorders>
            <w:vAlign w:val="center"/>
          </w:tcPr>
          <w:p w14:paraId="461A3B9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p>
        </w:tc>
        <w:tc>
          <w:tcPr>
            <w:tcW w:w="1100" w:type="dxa"/>
            <w:tcBorders>
              <w:top w:val="single" w:color="auto" w:sz="4" w:space="0"/>
              <w:left w:val="single" w:color="auto" w:sz="4" w:space="0"/>
              <w:bottom w:val="single" w:color="auto" w:sz="4" w:space="0"/>
              <w:right w:val="single" w:color="auto" w:sz="4" w:space="0"/>
            </w:tcBorders>
            <w:vAlign w:val="center"/>
          </w:tcPr>
          <w:p w14:paraId="59BA244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128.1</w:t>
            </w:r>
          </w:p>
        </w:tc>
      </w:tr>
    </w:tbl>
    <w:p w14:paraId="6F7B06E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p>
    <w:p w14:paraId="31CA61A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p>
    <w:p w14:paraId="10D48E71">
      <w:pPr>
        <w:pStyle w:val="2"/>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sectPr>
          <w:pgSz w:w="16838" w:h="11906" w:orient="landscape"/>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26" w:charSpace="0"/>
        </w:sectPr>
      </w:pPr>
    </w:p>
    <w:p w14:paraId="6FB3F92B">
      <w:pPr>
        <w:pStyle w:val="2"/>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bookmarkStart w:id="650" w:name="_Toc10859"/>
      <w:r>
        <w:rPr>
          <w:rFonts w:hint="default" w:ascii="Times New Roman" w:hAnsi="Times New Roman" w:eastAsia="宋体" w:cs="Times New Roman"/>
          <w:color w:val="auto"/>
          <w:highlight w:val="none"/>
        </w:rPr>
        <w:t>8环境影响经济损益分析</w:t>
      </w:r>
      <w:bookmarkEnd w:id="547"/>
      <w:bookmarkEnd w:id="650"/>
    </w:p>
    <w:p w14:paraId="25AFA85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环境经济损益分析主要任务是估算建设项目需要投入的环保投资和所能收到的环境保护效果。因此，在环境经济损益分析中，除需计算用于控制污染所需投资和费用外，还要同时核算可能收到的环境与经济实效。</w:t>
      </w:r>
    </w:p>
    <w:p w14:paraId="202446C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然而，经济效益比较直观，很容易用货币直接计算，而污染影响带来的损失一般是间接的，很难用货币直接计算。因此，目前环境影响经济定量化分析难度较大，本项目环境经济损益采用定性与半定量相结合的方法进行讨论。</w:t>
      </w:r>
    </w:p>
    <w:p w14:paraId="3403A565">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651" w:name="_Toc6846"/>
      <w:bookmarkStart w:id="652" w:name="_Toc494206391"/>
      <w:bookmarkStart w:id="653" w:name="_Toc487188665"/>
      <w:bookmarkStart w:id="654" w:name="_Toc523322384"/>
      <w:r>
        <w:rPr>
          <w:rFonts w:hint="default" w:ascii="Times New Roman" w:hAnsi="Times New Roman" w:eastAsia="宋体" w:cs="Times New Roman"/>
          <w:color w:val="auto"/>
          <w:highlight w:val="none"/>
        </w:rPr>
        <w:t>8.1经济效益分析</w:t>
      </w:r>
      <w:bookmarkEnd w:id="651"/>
      <w:bookmarkEnd w:id="652"/>
      <w:bookmarkEnd w:id="653"/>
      <w:bookmarkEnd w:id="654"/>
    </w:p>
    <w:p w14:paraId="24C9D83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项目总投资</w:t>
      </w:r>
      <w:r>
        <w:rPr>
          <w:rFonts w:hint="default" w:ascii="Times New Roman" w:hAnsi="Times New Roman" w:eastAsia="宋体" w:cs="Times New Roman"/>
          <w:color w:val="auto"/>
          <w:highlight w:val="none"/>
          <w:lang w:val="en-US" w:eastAsia="zh-CN"/>
        </w:rPr>
        <w:t>7000万元</w:t>
      </w:r>
      <w:r>
        <w:rPr>
          <w:rFonts w:hint="default" w:ascii="Times New Roman" w:hAnsi="Times New Roman" w:eastAsia="宋体" w:cs="Times New Roman"/>
          <w:color w:val="auto"/>
          <w:highlight w:val="none"/>
        </w:rPr>
        <w:t>，资金来源企业自筹。项目的投产运营，经济效益主要通过产品销售获得。根据项目可研，项目年运行成本及利润估算见表8.1-1。</w:t>
      </w:r>
    </w:p>
    <w:p w14:paraId="4F1068AF">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表8.1-1运行成本及利润估算表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68"/>
        <w:gridCol w:w="5149"/>
        <w:gridCol w:w="2260"/>
      </w:tblGrid>
      <w:tr w14:paraId="6890931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930" w:type="dxa"/>
            <w:tcBorders>
              <w:top w:val="single" w:color="auto" w:sz="4" w:space="0"/>
              <w:left w:val="single" w:color="auto" w:sz="4" w:space="0"/>
              <w:bottom w:val="single" w:color="auto" w:sz="4" w:space="0"/>
              <w:right w:val="single" w:color="auto" w:sz="4" w:space="0"/>
            </w:tcBorders>
            <w:vAlign w:val="center"/>
          </w:tcPr>
          <w:p w14:paraId="550D802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序号</w:t>
            </w:r>
          </w:p>
        </w:tc>
        <w:tc>
          <w:tcPr>
            <w:tcW w:w="5619" w:type="dxa"/>
            <w:tcBorders>
              <w:top w:val="single" w:color="auto" w:sz="4" w:space="0"/>
              <w:left w:val="single" w:color="auto" w:sz="4" w:space="0"/>
              <w:bottom w:val="single" w:color="auto" w:sz="4" w:space="0"/>
              <w:right w:val="single" w:color="auto" w:sz="4" w:space="0"/>
            </w:tcBorders>
            <w:vAlign w:val="center"/>
          </w:tcPr>
          <w:p w14:paraId="06346F7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项目</w:t>
            </w:r>
          </w:p>
        </w:tc>
        <w:tc>
          <w:tcPr>
            <w:tcW w:w="2454" w:type="dxa"/>
            <w:tcBorders>
              <w:top w:val="single" w:color="auto" w:sz="4" w:space="0"/>
              <w:left w:val="single" w:color="auto" w:sz="4" w:space="0"/>
              <w:bottom w:val="single" w:color="auto" w:sz="4" w:space="0"/>
              <w:right w:val="single" w:color="auto" w:sz="4" w:space="0"/>
            </w:tcBorders>
            <w:vAlign w:val="center"/>
          </w:tcPr>
          <w:p w14:paraId="4CAA04C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单位（万元/年）</w:t>
            </w:r>
          </w:p>
        </w:tc>
      </w:tr>
      <w:tr w14:paraId="50A654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30" w:type="dxa"/>
            <w:tcBorders>
              <w:top w:val="single" w:color="auto" w:sz="4" w:space="0"/>
              <w:left w:val="single" w:color="auto" w:sz="4" w:space="0"/>
              <w:bottom w:val="single" w:color="auto" w:sz="4" w:space="0"/>
              <w:right w:val="single" w:color="auto" w:sz="4" w:space="0"/>
            </w:tcBorders>
            <w:vAlign w:val="center"/>
          </w:tcPr>
          <w:p w14:paraId="0501D58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1</w:t>
            </w:r>
          </w:p>
        </w:tc>
        <w:tc>
          <w:tcPr>
            <w:tcW w:w="5619" w:type="dxa"/>
            <w:tcBorders>
              <w:top w:val="single" w:color="auto" w:sz="4" w:space="0"/>
              <w:left w:val="single" w:color="auto" w:sz="4" w:space="0"/>
              <w:bottom w:val="single" w:color="auto" w:sz="4" w:space="0"/>
              <w:right w:val="single" w:color="auto" w:sz="4" w:space="0"/>
            </w:tcBorders>
            <w:vAlign w:val="center"/>
          </w:tcPr>
          <w:p w14:paraId="468DC8B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总投资</w:t>
            </w:r>
          </w:p>
        </w:tc>
        <w:tc>
          <w:tcPr>
            <w:tcW w:w="2454" w:type="dxa"/>
            <w:tcBorders>
              <w:top w:val="single" w:color="auto" w:sz="4" w:space="0"/>
              <w:left w:val="single" w:color="auto" w:sz="4" w:space="0"/>
              <w:bottom w:val="single" w:color="auto" w:sz="4" w:space="0"/>
              <w:right w:val="single" w:color="auto" w:sz="4" w:space="0"/>
            </w:tcBorders>
            <w:vAlign w:val="center"/>
          </w:tcPr>
          <w:p w14:paraId="3AEC645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lang w:val="en-US" w:eastAsia="zh-CN"/>
              </w:rPr>
              <w:t>7000</w:t>
            </w:r>
          </w:p>
        </w:tc>
      </w:tr>
      <w:tr w14:paraId="59934D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30" w:type="dxa"/>
            <w:tcBorders>
              <w:top w:val="single" w:color="auto" w:sz="4" w:space="0"/>
              <w:left w:val="single" w:color="auto" w:sz="4" w:space="0"/>
              <w:bottom w:val="single" w:color="auto" w:sz="4" w:space="0"/>
              <w:right w:val="single" w:color="auto" w:sz="4" w:space="0"/>
            </w:tcBorders>
            <w:vAlign w:val="center"/>
          </w:tcPr>
          <w:p w14:paraId="11649A2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2</w:t>
            </w:r>
          </w:p>
        </w:tc>
        <w:tc>
          <w:tcPr>
            <w:tcW w:w="5619" w:type="dxa"/>
            <w:tcBorders>
              <w:top w:val="single" w:color="auto" w:sz="4" w:space="0"/>
              <w:left w:val="single" w:color="auto" w:sz="4" w:space="0"/>
              <w:bottom w:val="single" w:color="auto" w:sz="4" w:space="0"/>
              <w:right w:val="single" w:color="auto" w:sz="4" w:space="0"/>
            </w:tcBorders>
            <w:vAlign w:val="center"/>
          </w:tcPr>
          <w:p w14:paraId="7D5DD86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总成本费用</w:t>
            </w:r>
          </w:p>
        </w:tc>
        <w:tc>
          <w:tcPr>
            <w:tcW w:w="2454" w:type="dxa"/>
            <w:tcBorders>
              <w:top w:val="single" w:color="auto" w:sz="4" w:space="0"/>
              <w:left w:val="single" w:color="auto" w:sz="4" w:space="0"/>
              <w:bottom w:val="single" w:color="auto" w:sz="4" w:space="0"/>
              <w:right w:val="single" w:color="auto" w:sz="4" w:space="0"/>
            </w:tcBorders>
            <w:vAlign w:val="center"/>
          </w:tcPr>
          <w:p w14:paraId="7D4E40D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lang w:val="en-US" w:eastAsia="zh-CN"/>
              </w:rPr>
            </w:pPr>
            <w:r>
              <w:rPr>
                <w:rFonts w:hint="default" w:ascii="Times New Roman" w:hAnsi="Times New Roman" w:eastAsia="宋体" w:cs="Times New Roman"/>
                <w:color w:val="auto"/>
                <w:sz w:val="21"/>
                <w:szCs w:val="20"/>
                <w:highlight w:val="none"/>
                <w:lang w:val="en-US" w:eastAsia="zh-CN"/>
              </w:rPr>
              <w:t>2646</w:t>
            </w:r>
          </w:p>
        </w:tc>
      </w:tr>
      <w:tr w14:paraId="7895ED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30" w:type="dxa"/>
            <w:tcBorders>
              <w:top w:val="single" w:color="auto" w:sz="4" w:space="0"/>
              <w:left w:val="single" w:color="auto" w:sz="4" w:space="0"/>
              <w:bottom w:val="single" w:color="auto" w:sz="4" w:space="0"/>
              <w:right w:val="single" w:color="auto" w:sz="4" w:space="0"/>
            </w:tcBorders>
            <w:vAlign w:val="center"/>
          </w:tcPr>
          <w:p w14:paraId="7A54B87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3</w:t>
            </w:r>
          </w:p>
        </w:tc>
        <w:tc>
          <w:tcPr>
            <w:tcW w:w="5619" w:type="dxa"/>
            <w:tcBorders>
              <w:top w:val="single" w:color="auto" w:sz="4" w:space="0"/>
              <w:left w:val="single" w:color="auto" w:sz="4" w:space="0"/>
              <w:bottom w:val="single" w:color="auto" w:sz="4" w:space="0"/>
              <w:right w:val="single" w:color="auto" w:sz="4" w:space="0"/>
            </w:tcBorders>
            <w:vAlign w:val="center"/>
          </w:tcPr>
          <w:p w14:paraId="2B0F2D8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年销售收入</w:t>
            </w:r>
          </w:p>
        </w:tc>
        <w:tc>
          <w:tcPr>
            <w:tcW w:w="2454" w:type="dxa"/>
            <w:tcBorders>
              <w:top w:val="single" w:color="auto" w:sz="4" w:space="0"/>
              <w:left w:val="single" w:color="auto" w:sz="4" w:space="0"/>
              <w:bottom w:val="single" w:color="auto" w:sz="4" w:space="0"/>
              <w:right w:val="single" w:color="auto" w:sz="4" w:space="0"/>
            </w:tcBorders>
            <w:vAlign w:val="center"/>
          </w:tcPr>
          <w:p w14:paraId="1D9EB49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lang w:val="en-US" w:eastAsia="zh-CN"/>
              </w:rPr>
            </w:pPr>
            <w:r>
              <w:rPr>
                <w:rFonts w:hint="default" w:ascii="Times New Roman" w:hAnsi="Times New Roman" w:eastAsia="宋体" w:cs="Times New Roman"/>
                <w:color w:val="auto"/>
                <w:sz w:val="21"/>
                <w:szCs w:val="20"/>
                <w:highlight w:val="none"/>
                <w:lang w:val="en-US" w:eastAsia="zh-CN"/>
              </w:rPr>
              <w:t>3891.1</w:t>
            </w:r>
          </w:p>
        </w:tc>
      </w:tr>
      <w:tr w14:paraId="33A037E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30" w:type="dxa"/>
            <w:tcBorders>
              <w:top w:val="single" w:color="auto" w:sz="4" w:space="0"/>
              <w:left w:val="single" w:color="auto" w:sz="4" w:space="0"/>
              <w:bottom w:val="single" w:color="auto" w:sz="4" w:space="0"/>
              <w:right w:val="single" w:color="auto" w:sz="4" w:space="0"/>
            </w:tcBorders>
            <w:vAlign w:val="center"/>
          </w:tcPr>
          <w:p w14:paraId="01739B8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4</w:t>
            </w:r>
          </w:p>
        </w:tc>
        <w:tc>
          <w:tcPr>
            <w:tcW w:w="5619" w:type="dxa"/>
            <w:tcBorders>
              <w:top w:val="single" w:color="auto" w:sz="4" w:space="0"/>
              <w:left w:val="single" w:color="auto" w:sz="4" w:space="0"/>
              <w:bottom w:val="single" w:color="auto" w:sz="4" w:space="0"/>
              <w:right w:val="single" w:color="auto" w:sz="4" w:space="0"/>
            </w:tcBorders>
            <w:vAlign w:val="center"/>
          </w:tcPr>
          <w:p w14:paraId="2BAA891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0"/>
                <w:highlight w:val="none"/>
              </w:rPr>
              <w:t>年均利润总额</w:t>
            </w:r>
          </w:p>
        </w:tc>
        <w:tc>
          <w:tcPr>
            <w:tcW w:w="2454" w:type="dxa"/>
            <w:tcBorders>
              <w:top w:val="single" w:color="auto" w:sz="4" w:space="0"/>
              <w:left w:val="single" w:color="auto" w:sz="4" w:space="0"/>
              <w:bottom w:val="single" w:color="auto" w:sz="4" w:space="0"/>
              <w:right w:val="single" w:color="auto" w:sz="4" w:space="0"/>
            </w:tcBorders>
            <w:vAlign w:val="center"/>
          </w:tcPr>
          <w:p w14:paraId="54018E9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sz w:val="21"/>
                <w:szCs w:val="20"/>
                <w:highlight w:val="none"/>
                <w:lang w:val="en-US" w:eastAsia="zh-CN"/>
              </w:rPr>
            </w:pPr>
            <w:r>
              <w:rPr>
                <w:rFonts w:hint="default" w:ascii="Times New Roman" w:hAnsi="Times New Roman" w:eastAsia="宋体" w:cs="Times New Roman"/>
                <w:color w:val="auto"/>
                <w:sz w:val="21"/>
                <w:szCs w:val="20"/>
                <w:highlight w:val="none"/>
                <w:lang w:val="en-US" w:eastAsia="zh-CN"/>
              </w:rPr>
              <w:t>1884.5</w:t>
            </w:r>
          </w:p>
        </w:tc>
      </w:tr>
    </w:tbl>
    <w:p w14:paraId="351BD2B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从表8.1-1可见，本项目财务生存能力良好，工程财务指标较好，具有较强的清偿能力和抗风险能力，因而从经济方面考虑本项目可行。</w:t>
      </w:r>
    </w:p>
    <w:p w14:paraId="7D54A944">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655" w:name="_Toc494206392"/>
      <w:bookmarkStart w:id="656" w:name="_Toc523322385"/>
      <w:bookmarkStart w:id="657" w:name="_Toc487188666"/>
      <w:bookmarkStart w:id="658" w:name="_Toc7468"/>
      <w:r>
        <w:rPr>
          <w:rFonts w:hint="default" w:ascii="Times New Roman" w:hAnsi="Times New Roman" w:eastAsia="宋体" w:cs="Times New Roman"/>
          <w:color w:val="auto"/>
          <w:highlight w:val="none"/>
        </w:rPr>
        <w:t>8.2社会效益分析</w:t>
      </w:r>
      <w:bookmarkEnd w:id="655"/>
      <w:bookmarkEnd w:id="656"/>
      <w:bookmarkEnd w:id="657"/>
      <w:bookmarkEnd w:id="658"/>
    </w:p>
    <w:p w14:paraId="368E331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本项目建成投产后，不仅可以增加国家和地方财税收入，同时可以增加新的就业岗位，带动相关产业的发展，增加间接的就业机会，对促进区域经济和社会发展具有重要意义。</w:t>
      </w:r>
    </w:p>
    <w:p w14:paraId="0C88CE2E">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659" w:name="_Toc523322386"/>
      <w:bookmarkStart w:id="660" w:name="_Toc494206393"/>
      <w:bookmarkStart w:id="661" w:name="_Toc5216"/>
      <w:bookmarkStart w:id="662" w:name="_Toc487188667"/>
      <w:r>
        <w:rPr>
          <w:rFonts w:hint="default" w:ascii="Times New Roman" w:hAnsi="Times New Roman" w:eastAsia="宋体" w:cs="Times New Roman"/>
          <w:color w:val="auto"/>
          <w:highlight w:val="none"/>
        </w:rPr>
        <w:t>8.3环境效益分析</w:t>
      </w:r>
      <w:bookmarkEnd w:id="659"/>
      <w:bookmarkEnd w:id="660"/>
      <w:bookmarkEnd w:id="661"/>
      <w:bookmarkEnd w:id="662"/>
    </w:p>
    <w:p w14:paraId="3B527B13">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663" w:name="_Toc494206394"/>
      <w:bookmarkStart w:id="664" w:name="_Toc523322387"/>
      <w:bookmarkStart w:id="665" w:name="_Toc2366"/>
      <w:bookmarkStart w:id="666" w:name="_Toc487188668"/>
      <w:r>
        <w:rPr>
          <w:rFonts w:hint="default" w:ascii="Times New Roman" w:hAnsi="Times New Roman" w:eastAsia="宋体" w:cs="Times New Roman"/>
          <w:color w:val="auto"/>
          <w:highlight w:val="none"/>
        </w:rPr>
        <w:t>8.3.1环保投资费用</w:t>
      </w:r>
      <w:bookmarkEnd w:id="663"/>
      <w:bookmarkEnd w:id="664"/>
      <w:bookmarkEnd w:id="665"/>
      <w:bookmarkEnd w:id="666"/>
    </w:p>
    <w:p w14:paraId="284E1DC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环保投资主要包括废气处理工程、地下水防治工程、噪声处理工程</w:t>
      </w:r>
      <w:r>
        <w:rPr>
          <w:rFonts w:hint="default" w:ascii="Times New Roman" w:hAnsi="Times New Roman" w:eastAsia="宋体" w:cs="Times New Roman"/>
          <w:color w:val="auto"/>
          <w:highlight w:val="none"/>
          <w:lang w:eastAsia="zh-CN"/>
        </w:rPr>
        <w:t>和其他</w:t>
      </w:r>
      <w:r>
        <w:rPr>
          <w:rFonts w:hint="default" w:ascii="Times New Roman" w:hAnsi="Times New Roman" w:eastAsia="宋体" w:cs="Times New Roman"/>
          <w:color w:val="auto"/>
          <w:highlight w:val="none"/>
        </w:rPr>
        <w:t>不可预见费用等。本工程总投资</w:t>
      </w:r>
      <w:r>
        <w:rPr>
          <w:rFonts w:hint="default" w:ascii="Times New Roman" w:hAnsi="Times New Roman" w:eastAsia="宋体" w:cs="Times New Roman"/>
          <w:color w:val="auto"/>
          <w:highlight w:val="none"/>
          <w:lang w:val="en-US" w:eastAsia="zh-CN"/>
        </w:rPr>
        <w:t>7000万元</w:t>
      </w:r>
      <w:r>
        <w:rPr>
          <w:rFonts w:hint="default" w:ascii="Times New Roman" w:hAnsi="Times New Roman" w:eastAsia="宋体" w:cs="Times New Roman"/>
          <w:color w:val="auto"/>
          <w:highlight w:val="none"/>
        </w:rPr>
        <w:t>，其中环保投资</w:t>
      </w:r>
      <w:r>
        <w:rPr>
          <w:rFonts w:hint="default" w:ascii="Times New Roman" w:hAnsi="Times New Roman" w:eastAsia="宋体" w:cs="Times New Roman"/>
          <w:color w:val="auto"/>
          <w:highlight w:val="none"/>
          <w:lang w:eastAsia="zh-CN"/>
        </w:rPr>
        <w:t>128.1</w:t>
      </w:r>
      <w:r>
        <w:rPr>
          <w:rFonts w:hint="default" w:ascii="Times New Roman" w:hAnsi="Times New Roman" w:eastAsia="宋体" w:cs="Times New Roman"/>
          <w:color w:val="auto"/>
          <w:highlight w:val="none"/>
        </w:rPr>
        <w:t>万元，占总投资比例为</w:t>
      </w:r>
      <w:r>
        <w:rPr>
          <w:rFonts w:hint="default" w:ascii="Times New Roman" w:hAnsi="Times New Roman" w:eastAsia="宋体" w:cs="Times New Roman"/>
          <w:color w:val="auto"/>
          <w:highlight w:val="none"/>
          <w:lang w:val="en-US" w:eastAsia="zh-CN"/>
        </w:rPr>
        <w:t>1.83</w:t>
      </w:r>
      <w:r>
        <w:rPr>
          <w:rFonts w:hint="default" w:ascii="Times New Roman" w:hAnsi="Times New Roman" w:eastAsia="宋体" w:cs="Times New Roman"/>
          <w:color w:val="auto"/>
          <w:highlight w:val="none"/>
        </w:rPr>
        <w:t>%，投资分配情况见下表。</w:t>
      </w:r>
    </w:p>
    <w:p w14:paraId="342E4E53">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667" w:name="_Toc22886"/>
      <w:bookmarkStart w:id="668" w:name="_Toc487188669"/>
      <w:bookmarkStart w:id="669" w:name="_Toc494206395"/>
      <w:bookmarkStart w:id="670" w:name="_Toc523322388"/>
      <w:r>
        <w:rPr>
          <w:rFonts w:hint="default" w:ascii="Times New Roman" w:hAnsi="Times New Roman" w:eastAsia="宋体" w:cs="Times New Roman"/>
          <w:color w:val="auto"/>
          <w:highlight w:val="none"/>
        </w:rPr>
        <w:t>8.3.2环保设施运行费用</w:t>
      </w:r>
      <w:bookmarkEnd w:id="667"/>
      <w:bookmarkEnd w:id="668"/>
      <w:bookmarkEnd w:id="669"/>
      <w:bookmarkEnd w:id="670"/>
    </w:p>
    <w:p w14:paraId="1E2A9A9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（1）设备运行费用</w:t>
      </w:r>
    </w:p>
    <w:p w14:paraId="745B941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1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环保设施折旧费C1</w:t>
      </w:r>
    </w:p>
    <w:p w14:paraId="3F62072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本项目环保设施投资折旧费由下式计算：</w:t>
      </w:r>
    </w:p>
    <w:p w14:paraId="7C513979">
      <w:pPr>
        <w:pageBreakBefore w:val="0"/>
        <w:kinsoku/>
        <w:wordWrap/>
        <w:bidi w:val="0"/>
        <w:snapToGrid w:val="0"/>
        <w:spacing w:line="360" w:lineRule="auto"/>
        <w:ind w:left="0" w:leftChars="0" w:right="0" w:rightChars="0"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C1=a×C0/n</w:t>
      </w:r>
    </w:p>
    <w:p w14:paraId="0824C452">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p>
    <w:p w14:paraId="3F7449C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a——固定资产形成率，取环保投资的85%；</w:t>
      </w:r>
    </w:p>
    <w:p w14:paraId="2492FAB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C0——环保总投资（万元）</w:t>
      </w:r>
    </w:p>
    <w:p w14:paraId="06CD4DB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n——折旧年限，取10年</w:t>
      </w:r>
    </w:p>
    <w:p w14:paraId="56AA2DB2">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环保设施投资折旧费计算结果为</w:t>
      </w:r>
      <w:r>
        <w:rPr>
          <w:rFonts w:hint="default" w:ascii="Times New Roman" w:hAnsi="Times New Roman" w:eastAsia="宋体" w:cs="Times New Roman"/>
          <w:color w:val="auto"/>
          <w:highlight w:val="none"/>
          <w:lang w:val="en-US" w:eastAsia="zh-CN"/>
        </w:rPr>
        <w:t>16.4</w:t>
      </w:r>
      <w:r>
        <w:rPr>
          <w:rFonts w:hint="default" w:ascii="Times New Roman" w:hAnsi="Times New Roman" w:eastAsia="宋体" w:cs="Times New Roman"/>
          <w:color w:val="auto"/>
          <w:highlight w:val="none"/>
        </w:rPr>
        <w:t>万元/年。</w:t>
      </w:r>
    </w:p>
    <w:p w14:paraId="6EA3B50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2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环保设施运行费用C2</w:t>
      </w:r>
    </w:p>
    <w:p w14:paraId="01165BC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参照国内外企业环保设施运行费的相关资料，环保设施的年运行得用可按环保投资的5%计算。</w:t>
      </w:r>
    </w:p>
    <w:p w14:paraId="6D17CC8E">
      <w:pPr>
        <w:pageBreakBefore w:val="0"/>
        <w:kinsoku/>
        <w:wordWrap/>
        <w:bidi w:val="0"/>
        <w:snapToGrid w:val="0"/>
        <w:spacing w:line="360" w:lineRule="auto"/>
        <w:ind w:left="0" w:leftChars="0" w:right="0" w:rightChars="0"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C2=C0×5%=</w:t>
      </w:r>
      <w:r>
        <w:rPr>
          <w:rFonts w:hint="default" w:ascii="Times New Roman" w:hAnsi="Times New Roman" w:eastAsia="宋体" w:cs="Times New Roman"/>
          <w:color w:val="auto"/>
          <w:highlight w:val="none"/>
          <w:lang w:val="en-US" w:eastAsia="zh-CN"/>
        </w:rPr>
        <w:t>9.7</w:t>
      </w:r>
      <w:r>
        <w:rPr>
          <w:rFonts w:hint="default" w:ascii="Times New Roman" w:hAnsi="Times New Roman" w:eastAsia="宋体" w:cs="Times New Roman"/>
          <w:color w:val="auto"/>
          <w:highlight w:val="none"/>
        </w:rPr>
        <w:t>（万元/年）</w:t>
      </w:r>
    </w:p>
    <w:p w14:paraId="2F67C302">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环保管理费用C3</w:t>
      </w:r>
    </w:p>
    <w:p w14:paraId="7DC1C75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环保管理费用包括管理部门的办公费、检测费、技术咨询、学术交流和科研等费用，按环保投资的1.0%计算。</w:t>
      </w:r>
    </w:p>
    <w:p w14:paraId="07391EDB">
      <w:pPr>
        <w:pageBreakBefore w:val="0"/>
        <w:kinsoku/>
        <w:wordWrap/>
        <w:bidi w:val="0"/>
        <w:snapToGrid w:val="0"/>
        <w:spacing w:line="360" w:lineRule="auto"/>
        <w:ind w:left="0" w:leftChars="0" w:right="0" w:rightChars="0"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C3=C0×1.0%=</w:t>
      </w:r>
      <w:r>
        <w:rPr>
          <w:rFonts w:hint="default" w:ascii="Times New Roman" w:hAnsi="Times New Roman" w:eastAsia="宋体" w:cs="Times New Roman"/>
          <w:color w:val="auto"/>
          <w:highlight w:val="none"/>
          <w:lang w:val="en-US" w:eastAsia="zh-CN"/>
        </w:rPr>
        <w:t>1.9</w:t>
      </w:r>
      <w:r>
        <w:rPr>
          <w:rFonts w:hint="default" w:ascii="Times New Roman" w:hAnsi="Times New Roman" w:eastAsia="宋体" w:cs="Times New Roman"/>
          <w:color w:val="auto"/>
          <w:highlight w:val="none"/>
        </w:rPr>
        <w:t>（万元/年）</w:t>
      </w:r>
    </w:p>
    <w:p w14:paraId="1C6421E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4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④</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环保设施经营支出C</w:t>
      </w:r>
    </w:p>
    <w:p w14:paraId="2D2ABF5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环保设施经营支出费用为折旧费、运行费和管理费之和，即：</w:t>
      </w:r>
    </w:p>
    <w:p w14:paraId="0471A8C7">
      <w:pPr>
        <w:pageBreakBefore w:val="0"/>
        <w:kinsoku/>
        <w:wordWrap/>
        <w:bidi w:val="0"/>
        <w:snapToGrid w:val="0"/>
        <w:spacing w:line="360" w:lineRule="auto"/>
        <w:ind w:left="0" w:leftChars="0" w:right="0" w:rightChars="0"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C=C1+C2+C3=</w:t>
      </w:r>
      <w:r>
        <w:rPr>
          <w:rFonts w:hint="default" w:ascii="Times New Roman" w:hAnsi="Times New Roman" w:eastAsia="宋体" w:cs="Times New Roman"/>
          <w:color w:val="auto"/>
          <w:highlight w:val="none"/>
          <w:lang w:val="en-US" w:eastAsia="zh-CN"/>
        </w:rPr>
        <w:t>28</w:t>
      </w:r>
      <w:r>
        <w:rPr>
          <w:rFonts w:hint="default" w:ascii="Times New Roman" w:hAnsi="Times New Roman" w:eastAsia="宋体" w:cs="Times New Roman"/>
          <w:color w:val="auto"/>
          <w:highlight w:val="none"/>
        </w:rPr>
        <w:t>（万元/年）</w:t>
      </w:r>
    </w:p>
    <w:p w14:paraId="63B8ADA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项目完成后，环保投资</w:t>
      </w:r>
      <w:r>
        <w:rPr>
          <w:rFonts w:hint="default" w:ascii="Times New Roman" w:hAnsi="Times New Roman" w:eastAsia="宋体" w:cs="Times New Roman"/>
          <w:color w:val="auto"/>
          <w:highlight w:val="none"/>
          <w:lang w:eastAsia="zh-CN"/>
        </w:rPr>
        <w:t>128.1</w:t>
      </w:r>
      <w:r>
        <w:rPr>
          <w:rFonts w:hint="default" w:ascii="Times New Roman" w:hAnsi="Times New Roman" w:eastAsia="宋体" w:cs="Times New Roman"/>
          <w:color w:val="auto"/>
          <w:highlight w:val="none"/>
        </w:rPr>
        <w:t>万元，各项治理措施的运行每年还需投入经营费用（即负效益）</w:t>
      </w:r>
      <w:r>
        <w:rPr>
          <w:rFonts w:hint="default" w:ascii="Times New Roman" w:hAnsi="Times New Roman" w:eastAsia="宋体" w:cs="Times New Roman"/>
          <w:color w:val="auto"/>
          <w:highlight w:val="none"/>
          <w:lang w:val="en-US" w:eastAsia="zh-CN"/>
        </w:rPr>
        <w:t>28</w:t>
      </w:r>
      <w:r>
        <w:rPr>
          <w:rFonts w:hint="default" w:ascii="Times New Roman" w:hAnsi="Times New Roman" w:eastAsia="宋体" w:cs="Times New Roman"/>
          <w:color w:val="auto"/>
          <w:highlight w:val="none"/>
        </w:rPr>
        <w:t>万元。</w:t>
      </w:r>
    </w:p>
    <w:p w14:paraId="666FBCA2">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671" w:name="_Toc25110"/>
      <w:bookmarkStart w:id="672" w:name="_Toc523322389"/>
      <w:r>
        <w:rPr>
          <w:rFonts w:hint="default" w:ascii="Times New Roman" w:hAnsi="Times New Roman" w:eastAsia="宋体" w:cs="Times New Roman"/>
          <w:color w:val="auto"/>
          <w:highlight w:val="none"/>
        </w:rPr>
        <w:t>8.3.3环保效益估算</w:t>
      </w:r>
      <w:bookmarkEnd w:id="671"/>
      <w:bookmarkEnd w:id="672"/>
    </w:p>
    <w:p w14:paraId="6A25F97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环保效益即环保设施的环境经济效益，包括直接经济效益和间接经济效益。</w:t>
      </w:r>
    </w:p>
    <w:p w14:paraId="7DAA5764">
      <w:pPr>
        <w:pageBreakBefore w:val="0"/>
        <w:kinsoku/>
        <w:wordWrap/>
        <w:bidi w:val="0"/>
        <w:snapToGrid w:val="0"/>
        <w:spacing w:line="360" w:lineRule="auto"/>
        <w:ind w:left="0" w:leftChars="0" w:right="0" w:rightChars="0" w:firstLine="480"/>
        <w:outlineLvl w:val="2"/>
        <w:rPr>
          <w:rFonts w:hint="default" w:ascii="Times New Roman" w:hAnsi="Times New Roman" w:eastAsia="宋体" w:cs="Times New Roman"/>
          <w:color w:val="auto"/>
          <w:highlight w:val="none"/>
        </w:rPr>
      </w:pPr>
      <w:bookmarkStart w:id="673" w:name="_Toc19545"/>
      <w:bookmarkStart w:id="674" w:name="_Toc3133"/>
      <w:r>
        <w:rPr>
          <w:rFonts w:hint="default" w:ascii="Times New Roman" w:hAnsi="Times New Roman" w:eastAsia="宋体" w:cs="Times New Roman"/>
          <w:color w:val="auto"/>
          <w:highlight w:val="none"/>
        </w:rPr>
        <w:t>（1）直接经济效益</w:t>
      </w:r>
      <w:bookmarkEnd w:id="673"/>
      <w:bookmarkEnd w:id="674"/>
    </w:p>
    <w:p w14:paraId="029AD89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直接经济效益是指实施污染治理措施后，循环利用及回收资源所产生的经济效益。对拟建项目而言，生产过程中的废水进行了循环利用，既节约能源，又减少了污染物的排放。类比同类项目，资源能源循环利用后产生的直接经济效益约为2</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0万元。</w:t>
      </w:r>
    </w:p>
    <w:p w14:paraId="66B9A6A3">
      <w:pPr>
        <w:pageBreakBefore w:val="0"/>
        <w:kinsoku/>
        <w:wordWrap/>
        <w:bidi w:val="0"/>
        <w:snapToGrid w:val="0"/>
        <w:spacing w:line="360" w:lineRule="auto"/>
        <w:ind w:left="0" w:leftChars="0" w:right="0" w:rightChars="0" w:firstLine="480"/>
        <w:outlineLvl w:val="2"/>
        <w:rPr>
          <w:rFonts w:hint="default" w:ascii="Times New Roman" w:hAnsi="Times New Roman" w:eastAsia="宋体" w:cs="Times New Roman"/>
          <w:color w:val="auto"/>
          <w:highlight w:val="none"/>
        </w:rPr>
      </w:pPr>
      <w:bookmarkStart w:id="675" w:name="_Toc5247"/>
      <w:bookmarkStart w:id="676" w:name="_Toc16612"/>
      <w:r>
        <w:rPr>
          <w:rFonts w:hint="default" w:ascii="Times New Roman" w:hAnsi="Times New Roman" w:eastAsia="宋体" w:cs="Times New Roman"/>
          <w:color w:val="auto"/>
          <w:highlight w:val="none"/>
        </w:rPr>
        <w:t>（2）间接经济效益</w:t>
      </w:r>
      <w:bookmarkEnd w:id="675"/>
      <w:bookmarkEnd w:id="676"/>
    </w:p>
    <w:p w14:paraId="14AE85A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间接经济效益主要指环保设施带来的社会效益，包括环境污染损失的减少，人体健康的保护费用的减少，控制污染物达标排放免交或少交排污费、罚款和赔偿费等。</w:t>
      </w:r>
    </w:p>
    <w:p w14:paraId="3E35D07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就本项目而言，可量化的间接经济效益表现为因污染治理达标而</w:t>
      </w:r>
      <w:r>
        <w:rPr>
          <w:rFonts w:hint="default" w:ascii="Times New Roman" w:hAnsi="Times New Roman" w:eastAsia="宋体" w:cs="Times New Roman"/>
          <w:color w:val="auto"/>
          <w:highlight w:val="none"/>
          <w:lang w:eastAsia="zh-CN"/>
        </w:rPr>
        <w:t>免缴</w:t>
      </w:r>
      <w:r>
        <w:rPr>
          <w:rFonts w:hint="default" w:ascii="Times New Roman" w:hAnsi="Times New Roman" w:eastAsia="宋体" w:cs="Times New Roman"/>
          <w:color w:val="auto"/>
          <w:highlight w:val="none"/>
        </w:rPr>
        <w:t>的排污费。根据排污费收取办法，本项目污染物治理全部达标排放后，预计达标排放的废气每年可</w:t>
      </w:r>
      <w:r>
        <w:rPr>
          <w:rFonts w:hint="default" w:ascii="Times New Roman" w:hAnsi="Times New Roman" w:eastAsia="宋体" w:cs="Times New Roman"/>
          <w:color w:val="auto"/>
          <w:highlight w:val="none"/>
          <w:lang w:eastAsia="zh-CN"/>
        </w:rPr>
        <w:t>免缴</w:t>
      </w:r>
      <w:r>
        <w:rPr>
          <w:rFonts w:hint="default" w:ascii="Times New Roman" w:hAnsi="Times New Roman" w:eastAsia="宋体" w:cs="Times New Roman"/>
          <w:color w:val="auto"/>
          <w:highlight w:val="none"/>
        </w:rPr>
        <w:t>排污费约15万元。因此，拟建项目可挽回的经济损失共计约2</w:t>
      </w:r>
      <w:r>
        <w:rPr>
          <w:rFonts w:hint="default"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rPr>
        <w:t>5万元/年。</w:t>
      </w:r>
    </w:p>
    <w:p w14:paraId="5A1F51C3">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677" w:name="_Toc471227877"/>
      <w:bookmarkStart w:id="678" w:name="_Toc523322390"/>
      <w:bookmarkStart w:id="679" w:name="_Toc3045"/>
      <w:r>
        <w:rPr>
          <w:rFonts w:hint="default" w:ascii="Times New Roman" w:hAnsi="Times New Roman" w:eastAsia="宋体" w:cs="Times New Roman"/>
          <w:color w:val="auto"/>
          <w:highlight w:val="none"/>
        </w:rPr>
        <w:t>8.3.4经济效益分析</w:t>
      </w:r>
      <w:bookmarkEnd w:id="677"/>
      <w:bookmarkEnd w:id="678"/>
      <w:bookmarkEnd w:id="679"/>
    </w:p>
    <w:p w14:paraId="0A82D8C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bookmarkStart w:id="680" w:name="_Toc487188670"/>
      <w:bookmarkStart w:id="681" w:name="_Toc494206396"/>
      <w:r>
        <w:rPr>
          <w:rFonts w:hint="default" w:ascii="Times New Roman" w:hAnsi="Times New Roman" w:eastAsia="宋体" w:cs="Times New Roman"/>
          <w:color w:val="auto"/>
          <w:highlight w:val="none"/>
        </w:rPr>
        <w:t>经济损益（Zj）值的计算采用因采取有效的环保措施而挽回的经济损失（产生的效益）与年环保费用之比的方法来确定，即：</w:t>
      </w:r>
    </w:p>
    <w:p w14:paraId="748ACF54">
      <w:pPr>
        <w:pageBreakBefore w:val="0"/>
        <w:kinsoku/>
        <w:wordWrap/>
        <w:bidi w:val="0"/>
        <w:snapToGrid w:val="0"/>
        <w:spacing w:line="360" w:lineRule="auto"/>
        <w:ind w:left="0" w:leftChars="0" w:right="0" w:righ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1184910" cy="652145"/>
            <wp:effectExtent l="0" t="0" r="0" b="0"/>
            <wp:docPr id="4" name="图片 4" descr="15311282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53112828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1184910" cy="652145"/>
                    </a:xfrm>
                    <a:prstGeom prst="rect">
                      <a:avLst/>
                    </a:prstGeom>
                    <a:noFill/>
                    <a:ln>
                      <a:noFill/>
                    </a:ln>
                  </pic:spPr>
                </pic:pic>
              </a:graphicData>
            </a:graphic>
          </wp:inline>
        </w:drawing>
      </w:r>
    </w:p>
    <w:p w14:paraId="63E85A0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p>
    <w:p w14:paraId="09AE840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Sij——由于防止（或减少）损失而挽回的经济价值；</w:t>
      </w:r>
    </w:p>
    <w:p w14:paraId="7E3B46B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Hi——年环保费用。</w:t>
      </w:r>
    </w:p>
    <w:p w14:paraId="4034347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highlight w:val="none"/>
        </w:rPr>
        <w:t>根据以上分析，计算出拟建项目的经济损益值为2.79，大于1，表明拟建项目投入的环</w:t>
      </w:r>
      <w:r>
        <w:rPr>
          <w:rFonts w:hint="default" w:ascii="Times New Roman" w:hAnsi="Times New Roman" w:eastAsia="宋体" w:cs="Times New Roman"/>
          <w:color w:val="auto"/>
          <w:highlight w:val="none"/>
          <w:lang w:eastAsia="zh-CN"/>
        </w:rPr>
        <w:t>境</w:t>
      </w:r>
      <w:r>
        <w:rPr>
          <w:rFonts w:hint="default" w:ascii="Times New Roman" w:hAnsi="Times New Roman" w:eastAsia="宋体" w:cs="Times New Roman"/>
          <w:color w:val="auto"/>
          <w:highlight w:val="none"/>
        </w:rPr>
        <w:t>治理经济效益较理想。</w:t>
      </w:r>
    </w:p>
    <w:p w14:paraId="1039B6B9">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682" w:name="_Toc523322391"/>
      <w:bookmarkStart w:id="683" w:name="_Toc6961"/>
      <w:r>
        <w:rPr>
          <w:rFonts w:hint="default" w:ascii="Times New Roman" w:hAnsi="Times New Roman" w:eastAsia="宋体" w:cs="Times New Roman"/>
          <w:color w:val="auto"/>
          <w:highlight w:val="none"/>
        </w:rPr>
        <w:t>8.4小结</w:t>
      </w:r>
      <w:bookmarkEnd w:id="680"/>
      <w:bookmarkEnd w:id="681"/>
      <w:bookmarkEnd w:id="682"/>
      <w:bookmarkEnd w:id="683"/>
    </w:p>
    <w:p w14:paraId="390A3C7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本项目建成投产后，不仅可以增加国家和地方财税收入，同时可以增加新的就业岗位，带动相关产业的发展，增加间接的就业机会，对促进区域经济和社会发展具有重要意义。</w:t>
      </w:r>
    </w:p>
    <w:p w14:paraId="2C5E62A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highlight w:val="none"/>
        </w:rPr>
        <w:t>综上所述，从保护环境的角度出发，项目的效益是显著的、可行的。</w:t>
      </w:r>
    </w:p>
    <w:p w14:paraId="5C0CADA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Cs w:val="20"/>
          <w:highlight w:val="none"/>
        </w:rPr>
      </w:pPr>
    </w:p>
    <w:p w14:paraId="525DA8D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Cs w:val="20"/>
          <w:highlight w:val="none"/>
        </w:rPr>
        <w:sectPr>
          <w:pgSz w:w="11906" w:h="16838"/>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26" w:charSpace="0"/>
        </w:sectPr>
      </w:pPr>
    </w:p>
    <w:p w14:paraId="4B89B0C5">
      <w:pPr>
        <w:pStyle w:val="2"/>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bookmarkStart w:id="684" w:name="_Toc523322392"/>
      <w:bookmarkStart w:id="685" w:name="_Toc6227"/>
      <w:r>
        <w:rPr>
          <w:rFonts w:hint="default" w:ascii="Times New Roman" w:hAnsi="Times New Roman" w:eastAsia="宋体" w:cs="Times New Roman"/>
          <w:color w:val="auto"/>
          <w:highlight w:val="none"/>
        </w:rPr>
        <w:t>9环境管理与监测计划</w:t>
      </w:r>
      <w:bookmarkEnd w:id="684"/>
      <w:bookmarkEnd w:id="685"/>
    </w:p>
    <w:p w14:paraId="165C532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管理及监测计划的制定和执行，为环境统计和环境定量评价提供科学依据，可以保证各项污染防治措施的实施与落实，可以及时发现环保措施出现的问题并进行修正和改进。因此企业建立相应的环境管理计划与监测计划，才能确保企业环境设施正常运行和达标排放，预防风险事故并减低事故损失，使建设项目对环境的危害控制在最小范围内。</w:t>
      </w:r>
    </w:p>
    <w:p w14:paraId="2BD9A48A">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686" w:name="_Toc27659"/>
      <w:r>
        <w:rPr>
          <w:rFonts w:hint="default" w:ascii="Times New Roman" w:hAnsi="Times New Roman" w:eastAsia="宋体" w:cs="Times New Roman"/>
          <w:color w:val="auto"/>
          <w:highlight w:val="none"/>
        </w:rPr>
        <w:t>9.1污染物总量控制分析</w:t>
      </w:r>
      <w:bookmarkEnd w:id="686"/>
    </w:p>
    <w:p w14:paraId="6AE8AF88">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687" w:name="_Toc530643017"/>
      <w:bookmarkStart w:id="688" w:name="_Toc27379"/>
      <w:r>
        <w:rPr>
          <w:rFonts w:hint="default" w:ascii="Times New Roman" w:hAnsi="Times New Roman" w:eastAsia="宋体" w:cs="Times New Roman"/>
          <w:color w:val="auto"/>
          <w:highlight w:val="none"/>
        </w:rPr>
        <w:t>9.1.1原则和目标</w:t>
      </w:r>
      <w:bookmarkEnd w:id="687"/>
      <w:bookmarkEnd w:id="688"/>
    </w:p>
    <w:p w14:paraId="73913301">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对建设项目产生的污染物实行总量控制是推行可持续发展战略的需要，是一种为使某一时空环境领域达到一定环境质量目标时，将污染物负荷总量控制在自然环境的承载能力范围之内的规划管理措施。</w:t>
      </w:r>
    </w:p>
    <w:p w14:paraId="5F076EFE">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689" w:name="_Toc530643018"/>
      <w:bookmarkStart w:id="690" w:name="_Toc11709"/>
      <w:r>
        <w:rPr>
          <w:rFonts w:hint="default" w:ascii="Times New Roman" w:hAnsi="Times New Roman" w:eastAsia="宋体" w:cs="Times New Roman"/>
          <w:color w:val="auto"/>
          <w:highlight w:val="none"/>
        </w:rPr>
        <w:t>9.1.2总量控制区域</w:t>
      </w:r>
      <w:bookmarkEnd w:id="689"/>
      <w:bookmarkEnd w:id="690"/>
    </w:p>
    <w:p w14:paraId="5735DC33">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本项目总量控制区范围为</w:t>
      </w:r>
      <w:r>
        <w:rPr>
          <w:rFonts w:hint="default" w:ascii="Times New Roman" w:hAnsi="Times New Roman" w:eastAsia="宋体" w:cs="Times New Roman"/>
          <w:color w:val="auto"/>
          <w:highlight w:val="none"/>
          <w:lang w:eastAsia="zh-CN"/>
        </w:rPr>
        <w:t>乌拉特前旗</w:t>
      </w:r>
      <w:r>
        <w:rPr>
          <w:rFonts w:hint="default" w:ascii="Times New Roman" w:hAnsi="Times New Roman" w:eastAsia="宋体" w:cs="Times New Roman"/>
          <w:color w:val="auto"/>
          <w:highlight w:val="none"/>
        </w:rPr>
        <w:t>。</w:t>
      </w:r>
    </w:p>
    <w:p w14:paraId="710A7C42">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691" w:name="_Toc530643019"/>
      <w:bookmarkStart w:id="692" w:name="_Toc24012"/>
      <w:r>
        <w:rPr>
          <w:rFonts w:hint="default" w:ascii="Times New Roman" w:hAnsi="Times New Roman" w:eastAsia="宋体" w:cs="Times New Roman"/>
          <w:color w:val="auto"/>
          <w:highlight w:val="none"/>
        </w:rPr>
        <w:t>9.1.3总量控制因子</w:t>
      </w:r>
      <w:bookmarkEnd w:id="691"/>
      <w:bookmarkEnd w:id="692"/>
    </w:p>
    <w:p w14:paraId="522E868A">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无</w:t>
      </w:r>
      <w:r>
        <w:rPr>
          <w:rFonts w:hint="default" w:ascii="Times New Roman" w:hAnsi="Times New Roman" w:eastAsia="宋体" w:cs="Times New Roman"/>
          <w:snapToGrid w:val="0"/>
          <w:color w:val="auto"/>
          <w:highlight w:val="none"/>
        </w:rPr>
        <w:t>。</w:t>
      </w:r>
    </w:p>
    <w:p w14:paraId="3D8F4A3F">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693" w:name="_Toc32650"/>
      <w:r>
        <w:rPr>
          <w:rFonts w:hint="default" w:ascii="Times New Roman" w:hAnsi="Times New Roman" w:eastAsia="宋体" w:cs="Times New Roman"/>
          <w:color w:val="auto"/>
          <w:highlight w:val="none"/>
        </w:rPr>
        <w:t>9.1.4总量核算</w:t>
      </w:r>
      <w:bookmarkEnd w:id="693"/>
    </w:p>
    <w:p w14:paraId="32DD3FCA">
      <w:pPr>
        <w:pageBreakBefore w:val="0"/>
        <w:kinsoku/>
        <w:wordWrap/>
        <w:bidi w:val="0"/>
        <w:snapToGrid w:val="0"/>
        <w:spacing w:line="360" w:lineRule="auto"/>
        <w:ind w:left="0" w:leftChars="0" w:right="0" w:rightChars="0" w:firstLine="480"/>
        <w:rPr>
          <w:rFonts w:hint="default" w:ascii="Times New Roman" w:hAnsi="Times New Roman" w:eastAsia="宋体" w:cs="Times New Roman"/>
          <w:b/>
          <w:bCs/>
          <w:color w:val="auto"/>
          <w:highlight w:val="none"/>
        </w:rPr>
      </w:pPr>
      <w:bookmarkStart w:id="694" w:name="_Toc530643020"/>
      <w:r>
        <w:rPr>
          <w:rFonts w:hint="default" w:ascii="Times New Roman" w:hAnsi="Times New Roman" w:eastAsia="宋体" w:cs="Times New Roman"/>
          <w:color w:val="auto"/>
          <w:highlight w:val="none"/>
          <w:lang w:val="en-US" w:eastAsia="zh-CN"/>
        </w:rPr>
        <w:t>无</w:t>
      </w:r>
      <w:r>
        <w:rPr>
          <w:rFonts w:hint="default" w:ascii="Times New Roman" w:hAnsi="Times New Roman" w:eastAsia="宋体" w:cs="Times New Roman"/>
          <w:color w:val="auto"/>
          <w:highlight w:val="none"/>
        </w:rPr>
        <w:t>。</w:t>
      </w:r>
    </w:p>
    <w:p w14:paraId="34B204BD">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695" w:name="_Toc29445"/>
      <w:r>
        <w:rPr>
          <w:rFonts w:hint="default" w:ascii="Times New Roman" w:hAnsi="Times New Roman" w:eastAsia="宋体" w:cs="Times New Roman"/>
          <w:color w:val="auto"/>
          <w:highlight w:val="none"/>
        </w:rPr>
        <w:t>9.1.5污染物总量控制指标</w:t>
      </w:r>
      <w:bookmarkEnd w:id="694"/>
      <w:bookmarkEnd w:id="695"/>
    </w:p>
    <w:p w14:paraId="52997F1D">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4"/>
          <w:highlight w:val="none"/>
          <w:lang w:eastAsia="zh-CN"/>
        </w:rPr>
        <w:t>无</w:t>
      </w:r>
      <w:r>
        <w:rPr>
          <w:rFonts w:hint="default" w:ascii="Times New Roman" w:hAnsi="Times New Roman" w:eastAsia="宋体" w:cs="Times New Roman"/>
          <w:color w:val="auto"/>
          <w:szCs w:val="20"/>
          <w:highlight w:val="none"/>
        </w:rPr>
        <w:t>。</w:t>
      </w:r>
    </w:p>
    <w:p w14:paraId="3A3C7EAA">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696" w:name="_Toc487188672"/>
      <w:bookmarkStart w:id="697" w:name="_Toc523322393"/>
      <w:bookmarkStart w:id="698" w:name="_Toc494206398"/>
      <w:bookmarkStart w:id="699" w:name="_Toc802"/>
      <w:r>
        <w:rPr>
          <w:rFonts w:hint="default" w:ascii="Times New Roman" w:hAnsi="Times New Roman" w:eastAsia="宋体" w:cs="Times New Roman"/>
          <w:color w:val="auto"/>
          <w:highlight w:val="none"/>
        </w:rPr>
        <w:t>9.2环境管理</w:t>
      </w:r>
      <w:bookmarkEnd w:id="696"/>
      <w:bookmarkEnd w:id="697"/>
      <w:bookmarkEnd w:id="698"/>
      <w:bookmarkEnd w:id="699"/>
    </w:p>
    <w:p w14:paraId="38A1C6A8">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700" w:name="_Toc523322394"/>
      <w:bookmarkStart w:id="701" w:name="_Toc29964"/>
      <w:r>
        <w:rPr>
          <w:rFonts w:hint="default" w:ascii="Times New Roman" w:hAnsi="Times New Roman" w:eastAsia="宋体" w:cs="Times New Roman"/>
          <w:color w:val="auto"/>
          <w:highlight w:val="none"/>
        </w:rPr>
        <w:t>9.2.1环境管理制度及组织机构</w:t>
      </w:r>
      <w:bookmarkEnd w:id="700"/>
      <w:bookmarkEnd w:id="701"/>
    </w:p>
    <w:p w14:paraId="0E5531E6">
      <w:pPr>
        <w:pStyle w:val="6"/>
        <w:pageBreakBefore w:val="0"/>
        <w:kinsoku/>
        <w:wordWrap/>
        <w:bidi w:val="0"/>
        <w:snapToGrid w:val="0"/>
        <w:spacing w:before="0" w:after="0" w:line="360" w:lineRule="auto"/>
        <w:ind w:left="0" w:leftChars="0" w:right="0" w:rightChars="0"/>
        <w:outlineLvl w:val="2"/>
        <w:rPr>
          <w:rFonts w:hint="default" w:ascii="Times New Roman" w:hAnsi="Times New Roman" w:eastAsia="宋体" w:cs="Times New Roman"/>
          <w:color w:val="auto"/>
          <w:highlight w:val="none"/>
        </w:rPr>
      </w:pPr>
      <w:bookmarkStart w:id="702" w:name="_Toc19468"/>
      <w:bookmarkStart w:id="703" w:name="_Toc21181"/>
      <w:r>
        <w:rPr>
          <w:rFonts w:hint="default" w:ascii="Times New Roman" w:hAnsi="Times New Roman" w:eastAsia="宋体" w:cs="Times New Roman"/>
          <w:color w:val="auto"/>
          <w:highlight w:val="none"/>
        </w:rPr>
        <w:t>9.2.1.1环境管理制度</w:t>
      </w:r>
      <w:bookmarkEnd w:id="702"/>
      <w:bookmarkEnd w:id="703"/>
    </w:p>
    <w:p w14:paraId="69EAA22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企业应建立环境保护责任制度，设立安全环保部门，配备专职环境保护管理人员协调、落实各部门的环保工作。制定企业《环境保护管理制度</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项目建设环境保护管理制度</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环保节能设施管理制度</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环保会议制度</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环保统计制度</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环保现场检查与“红黄牌”挂牌制度</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环保标准化管理制度》等一系列环保管理制度。</w:t>
      </w:r>
    </w:p>
    <w:p w14:paraId="693714AF">
      <w:pPr>
        <w:pStyle w:val="6"/>
        <w:pageBreakBefore w:val="0"/>
        <w:kinsoku/>
        <w:wordWrap/>
        <w:bidi w:val="0"/>
        <w:snapToGrid w:val="0"/>
        <w:spacing w:before="0" w:after="0" w:line="360" w:lineRule="auto"/>
        <w:ind w:left="0" w:leftChars="0" w:right="0" w:rightChars="0"/>
        <w:outlineLvl w:val="2"/>
        <w:rPr>
          <w:rFonts w:hint="default" w:ascii="Times New Roman" w:hAnsi="Times New Roman" w:eastAsia="宋体" w:cs="Times New Roman"/>
          <w:color w:val="auto"/>
          <w:highlight w:val="none"/>
        </w:rPr>
      </w:pPr>
      <w:bookmarkStart w:id="704" w:name="_Toc4304"/>
      <w:bookmarkStart w:id="705" w:name="_Toc22178"/>
      <w:r>
        <w:rPr>
          <w:rFonts w:hint="default" w:ascii="Times New Roman" w:hAnsi="Times New Roman" w:eastAsia="宋体" w:cs="Times New Roman"/>
          <w:color w:val="auto"/>
          <w:highlight w:val="none"/>
        </w:rPr>
        <w:t>9.2.1.2环境管理机构</w:t>
      </w:r>
      <w:bookmarkEnd w:id="704"/>
      <w:bookmarkEnd w:id="705"/>
    </w:p>
    <w:p w14:paraId="715C624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国家有关建设项目环境保护的规定和该项目的建设，建议该项目从施工期开始，就在该项目管理组中设置环境保护管理岗位，配置1~2名环保专业人员；在项目营运期，配备1~2名环保专业人员。该项目的环境管理监督机构为各级生态环境主管部门，该项目的环境保护管理工作应接受各级生态环境主管部门的监督和指导，同时还应接受项目主管部门及公众的监督。</w:t>
      </w:r>
    </w:p>
    <w:p w14:paraId="571A3E1B">
      <w:pPr>
        <w:pStyle w:val="6"/>
        <w:pageBreakBefore w:val="0"/>
        <w:kinsoku/>
        <w:wordWrap/>
        <w:bidi w:val="0"/>
        <w:snapToGrid w:val="0"/>
        <w:spacing w:before="0" w:after="0" w:line="360" w:lineRule="auto"/>
        <w:ind w:left="0" w:leftChars="0" w:right="0" w:rightChars="0"/>
        <w:outlineLvl w:val="2"/>
        <w:rPr>
          <w:rFonts w:hint="default" w:ascii="Times New Roman" w:hAnsi="Times New Roman" w:eastAsia="宋体" w:cs="Times New Roman"/>
          <w:color w:val="auto"/>
          <w:highlight w:val="none"/>
        </w:rPr>
      </w:pPr>
      <w:bookmarkStart w:id="706" w:name="_Toc15570"/>
      <w:bookmarkStart w:id="707" w:name="_Toc26703"/>
      <w:r>
        <w:rPr>
          <w:rFonts w:hint="default" w:ascii="Times New Roman" w:hAnsi="Times New Roman" w:eastAsia="宋体" w:cs="Times New Roman"/>
          <w:color w:val="auto"/>
          <w:highlight w:val="none"/>
        </w:rPr>
        <w:t>9.2.1.3环境管理职责</w:t>
      </w:r>
      <w:bookmarkEnd w:id="706"/>
      <w:bookmarkEnd w:id="707"/>
    </w:p>
    <w:p w14:paraId="4C00F5B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1）认真贯彻执行国家、地方环境保护法规和标准。</w:t>
      </w:r>
    </w:p>
    <w:p w14:paraId="4F2F8A2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2）建立和健全以清洁生产技术为核心的各项环境保护规章制度（岗位责任制、操作规程、安全制度、绿化管理规定等），并实施、落实环境监测制度。</w:t>
      </w:r>
    </w:p>
    <w:p w14:paraId="3612C70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3）加强“三废”治理设施监督管理，确保“三废”处理设施正常并高效运行。</w:t>
      </w:r>
    </w:p>
    <w:p w14:paraId="495381A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建立污染源档案，并优化污染防治措施。按照上级环保部门的规范建立本企业有关“三废”排放量、排放浓度、噪声情况、固体废物综合利用、污染控制效果等情况档案，并按照有关规定编制各种报告与报表，负责向上级领导及环保部门呈报。</w:t>
      </w:r>
    </w:p>
    <w:p w14:paraId="67608C0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highlight w:val="none"/>
        </w:rPr>
        <w:t>5）搞好环境保护工作宣传和职工环境意识教育及技术培训等工作。协同当地环保部门处理与项目有关的环境问题，维护好公众的利益。</w:t>
      </w:r>
    </w:p>
    <w:p w14:paraId="3E54609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6）为全面掌握企业环境保护工作情况，进一步了解管理体系中可能存在的问题，建议公司内部每年应举行一次内部评审，检查环境管理工作的问题和不足，对发现的问题和不足，提出改进意见。</w:t>
      </w:r>
    </w:p>
    <w:p w14:paraId="49EA2620">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708" w:name="_Toc523322397"/>
      <w:bookmarkStart w:id="709" w:name="_Toc781"/>
      <w:r>
        <w:rPr>
          <w:rFonts w:hint="default" w:ascii="Times New Roman" w:hAnsi="Times New Roman" w:eastAsia="宋体" w:cs="Times New Roman"/>
          <w:color w:val="auto"/>
          <w:highlight w:val="none"/>
        </w:rPr>
        <w:t>9.2.2排污许可</w:t>
      </w:r>
      <w:bookmarkEnd w:id="708"/>
      <w:r>
        <w:rPr>
          <w:rFonts w:hint="default" w:ascii="Times New Roman" w:hAnsi="Times New Roman" w:eastAsia="宋体" w:cs="Times New Roman"/>
          <w:color w:val="auto"/>
          <w:highlight w:val="none"/>
        </w:rPr>
        <w:t>证申领</w:t>
      </w:r>
      <w:bookmarkEnd w:id="709"/>
    </w:p>
    <w:p w14:paraId="1E37757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根据《排污许可管理办法（试行）》，项目在取得环境影响评价批复文件后，应当在投入生产或使用并产生实际排污行为之前向许可证核发机关提交申请材料，申领排污许可证。</w:t>
      </w:r>
    </w:p>
    <w:p w14:paraId="33F2424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企业申请排污许可证，应当在信息平台填报统一的《排污许可证申请表》，签署《守法承诺书》，并同时向许可证核发机关提交排污许可证申请表、经生态环境主管部门批复的建设项目环境影响评价文件或排污单位经过整改并通过地方人民政府确认满足有关规定的证明材料等。许可申请文件内容由生态环境部统一制定的《排污许可证申请表》确定。</w:t>
      </w:r>
    </w:p>
    <w:p w14:paraId="3A658624">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710" w:name="_Toc523322396"/>
      <w:bookmarkStart w:id="711" w:name="_Toc6857"/>
      <w:r>
        <w:rPr>
          <w:rFonts w:hint="default" w:ascii="Times New Roman" w:hAnsi="Times New Roman" w:eastAsia="宋体" w:cs="Times New Roman"/>
          <w:color w:val="auto"/>
          <w:highlight w:val="none"/>
        </w:rPr>
        <w:t>9.2.3环保竣工验收</w:t>
      </w:r>
      <w:bookmarkEnd w:id="710"/>
      <w:bookmarkEnd w:id="711"/>
    </w:p>
    <w:p w14:paraId="2512408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按照《建设项目竣工环境保护验收暂行办法》（国环规环评</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2017</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4号）中要求实施环保竣工验收。</w:t>
      </w:r>
    </w:p>
    <w:p w14:paraId="7EA785A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竣工验收以现场调查与监测相结合的方式对工程“三同时”建设情况进行验收，环境保护验收的主要内容包括以下几个方面：</w:t>
      </w:r>
    </w:p>
    <w:p w14:paraId="7C06972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（1）通过现场调查项目“三同时”建设情况，主要环保设施的建设与环评批复文件的符合性检查及验收；</w:t>
      </w:r>
    </w:p>
    <w:p w14:paraId="25A40AD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（2）环保设施建设及运行情况，包括：废气、废水、噪声污染防治设施的建设及运行情况及运行处理效果，生态保护措施的落实情况；防止</w:t>
      </w:r>
      <w:r>
        <w:rPr>
          <w:rFonts w:hint="default" w:ascii="Times New Roman" w:hAnsi="Times New Roman" w:eastAsia="宋体" w:cs="Times New Roman"/>
          <w:color w:val="auto"/>
          <w:highlight w:val="none"/>
          <w:lang w:eastAsia="zh-CN"/>
        </w:rPr>
        <w:t>固体废物污染</w:t>
      </w:r>
      <w:r>
        <w:rPr>
          <w:rFonts w:hint="default" w:ascii="Times New Roman" w:hAnsi="Times New Roman" w:eastAsia="宋体" w:cs="Times New Roman"/>
          <w:color w:val="auto"/>
          <w:highlight w:val="none"/>
        </w:rPr>
        <w:t>环境的措施；场区绿化等；</w:t>
      </w:r>
    </w:p>
    <w:p w14:paraId="6F2355A2">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（3）主要节能措施及清洁生产措施；环保投资及环境管理机构的设置情况。</w:t>
      </w:r>
    </w:p>
    <w:p w14:paraId="62F7457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验收范围：与项目有关的各项环保设施，包括为防治污染和保护环境所建成或配套建成的治理工程、设备、装置和监测手段，以及各项生态保护设施等；环境影响报告书及其批复文件和有关设计文件规定应采取环保措施。</w:t>
      </w:r>
    </w:p>
    <w:p w14:paraId="0D886C14">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712" w:name="_Toc30908"/>
      <w:r>
        <w:rPr>
          <w:rFonts w:hint="default" w:ascii="Times New Roman" w:hAnsi="Times New Roman" w:eastAsia="宋体" w:cs="Times New Roman"/>
          <w:color w:val="auto"/>
          <w:highlight w:val="none"/>
        </w:rPr>
        <w:t>9.2.4排污口规范化管理</w:t>
      </w:r>
      <w:bookmarkEnd w:id="712"/>
    </w:p>
    <w:p w14:paraId="1305411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根据原国家环境保护总局《关于开展排放口规范化整治工作的通知》（环发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1999</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24号）的规定，一切新建、扩建、改建的排污单位必须在建设污染治理措施的同时建设规范化排污口，作为落实环境保护“三同时”制度的必要组成和项目验收内容之一。本评价对场区排污口建设提出以下要求：</w:t>
      </w:r>
    </w:p>
    <w:p w14:paraId="2D99D90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工程应按《环境保护图形标志—排放口（源）》（GB15562.1-1995）规定的图形，在各气、水、声排污口（源）挂牌标识，做到各排污口（源）的环保标志明显，便于企业管理和公众监督。根据《环境保护图形标志》实施细则，填写本工程的主要污染物；标志牌必须保持清晰、完整，发现形象损坏、颜色污染或有变化、</w:t>
      </w:r>
      <w:r>
        <w:rPr>
          <w:rFonts w:hint="default" w:ascii="Times New Roman" w:hAnsi="Times New Roman" w:eastAsia="宋体" w:cs="Times New Roman"/>
          <w:color w:val="auto"/>
          <w:highlight w:val="none"/>
          <w:lang w:eastAsia="zh-CN"/>
        </w:rPr>
        <w:t>褪色</w:t>
      </w:r>
      <w:r>
        <w:rPr>
          <w:rFonts w:hint="default" w:ascii="Times New Roman" w:hAnsi="Times New Roman" w:eastAsia="宋体" w:cs="Times New Roman"/>
          <w:color w:val="auto"/>
          <w:highlight w:val="none"/>
        </w:rPr>
        <w:t>等不符合图形标志标准的情况，应及时修复或更换，检查时间至少每年一次。环境保护图形标志牌设置位置应距污染物排放口及固体废物堆放场或采样点较近且醒目处，设置高度一般为标志牌上缘距离地面约2m。</w:t>
      </w:r>
    </w:p>
    <w:p w14:paraId="1412BFD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建设单位应如实填写《中华人民共和国规范化排污口标识登记证》的有关内容，由生态环境主管部门签发登记证。建设单位应把有关排污情况如排污口的性质、编号、排污口的位置以及主要排放的污染物种类、数量、浓度、排放规律及污染治理设施的运行情况等进行建档管理，并报送生态环境主管部门备案。</w:t>
      </w:r>
    </w:p>
    <w:p w14:paraId="308CF6A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《〈环境保护图形标志〉实施细则</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试行</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》（环监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1996</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463号）中规定的各类排放口环境保护图形标志牌的要求如图9.2-1。</w:t>
      </w:r>
    </w:p>
    <w:p w14:paraId="651871EC">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图9.2-1项目污染源排放口图形标志</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19"/>
        <w:gridCol w:w="1648"/>
        <w:gridCol w:w="2121"/>
        <w:gridCol w:w="2152"/>
        <w:gridCol w:w="1837"/>
      </w:tblGrid>
      <w:tr w14:paraId="46AD42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0" w:type="dxa"/>
            <w:tcBorders>
              <w:top w:val="single" w:color="auto" w:sz="4" w:space="0"/>
              <w:left w:val="single" w:color="auto" w:sz="4" w:space="0"/>
              <w:bottom w:val="single" w:color="auto" w:sz="4" w:space="0"/>
              <w:right w:val="single" w:color="auto" w:sz="4" w:space="0"/>
            </w:tcBorders>
            <w:vAlign w:val="center"/>
          </w:tcPr>
          <w:p w14:paraId="7FB7E02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序号</w:t>
            </w:r>
          </w:p>
        </w:tc>
        <w:tc>
          <w:tcPr>
            <w:tcW w:w="1792" w:type="dxa"/>
            <w:tcBorders>
              <w:top w:val="single" w:color="auto" w:sz="4" w:space="0"/>
              <w:left w:val="single" w:color="auto" w:sz="4" w:space="0"/>
              <w:bottom w:val="single" w:color="auto" w:sz="4" w:space="0"/>
              <w:right w:val="single" w:color="auto" w:sz="4" w:space="0"/>
            </w:tcBorders>
            <w:vAlign w:val="center"/>
          </w:tcPr>
          <w:p w14:paraId="16B5F1F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标志名称及</w:t>
            </w:r>
          </w:p>
          <w:p w14:paraId="49EFFCD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标示位置</w:t>
            </w:r>
          </w:p>
        </w:tc>
        <w:tc>
          <w:tcPr>
            <w:tcW w:w="2313" w:type="dxa"/>
            <w:tcBorders>
              <w:top w:val="single" w:color="auto" w:sz="4" w:space="0"/>
              <w:left w:val="single" w:color="auto" w:sz="4" w:space="0"/>
              <w:bottom w:val="single" w:color="auto" w:sz="4" w:space="0"/>
              <w:right w:val="single" w:color="auto" w:sz="4" w:space="0"/>
            </w:tcBorders>
            <w:vAlign w:val="center"/>
          </w:tcPr>
          <w:p w14:paraId="560D9BF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提示图形符号</w:t>
            </w:r>
          </w:p>
        </w:tc>
        <w:tc>
          <w:tcPr>
            <w:tcW w:w="2347" w:type="dxa"/>
            <w:tcBorders>
              <w:top w:val="single" w:color="auto" w:sz="4" w:space="0"/>
              <w:left w:val="single" w:color="auto" w:sz="4" w:space="0"/>
              <w:bottom w:val="single" w:color="auto" w:sz="4" w:space="0"/>
              <w:right w:val="single" w:color="auto" w:sz="4" w:space="0"/>
            </w:tcBorders>
            <w:vAlign w:val="center"/>
          </w:tcPr>
          <w:p w14:paraId="376C129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警告图形符合</w:t>
            </w:r>
          </w:p>
        </w:tc>
        <w:tc>
          <w:tcPr>
            <w:tcW w:w="2001" w:type="dxa"/>
            <w:tcBorders>
              <w:top w:val="single" w:color="auto" w:sz="4" w:space="0"/>
              <w:left w:val="single" w:color="auto" w:sz="4" w:space="0"/>
              <w:bottom w:val="single" w:color="auto" w:sz="4" w:space="0"/>
              <w:right w:val="single" w:color="auto" w:sz="4" w:space="0"/>
            </w:tcBorders>
            <w:vAlign w:val="center"/>
          </w:tcPr>
          <w:p w14:paraId="4C8F6B2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功能说明</w:t>
            </w:r>
          </w:p>
        </w:tc>
      </w:tr>
      <w:tr w14:paraId="7402010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0" w:type="dxa"/>
            <w:tcBorders>
              <w:top w:val="single" w:color="auto" w:sz="4" w:space="0"/>
              <w:left w:val="single" w:color="auto" w:sz="4" w:space="0"/>
              <w:bottom w:val="single" w:color="auto" w:sz="4" w:space="0"/>
              <w:right w:val="single" w:color="auto" w:sz="4" w:space="0"/>
            </w:tcBorders>
            <w:vAlign w:val="center"/>
          </w:tcPr>
          <w:p w14:paraId="113DE73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1792" w:type="dxa"/>
            <w:tcBorders>
              <w:top w:val="single" w:color="auto" w:sz="4" w:space="0"/>
              <w:left w:val="single" w:color="auto" w:sz="4" w:space="0"/>
              <w:bottom w:val="single" w:color="auto" w:sz="4" w:space="0"/>
              <w:right w:val="single" w:color="auto" w:sz="4" w:space="0"/>
            </w:tcBorders>
            <w:vAlign w:val="center"/>
          </w:tcPr>
          <w:p w14:paraId="0C7B5B0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噪声排放源</w:t>
            </w:r>
          </w:p>
          <w:p w14:paraId="0E4A504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产噪设备</w:t>
            </w:r>
          </w:p>
        </w:tc>
        <w:tc>
          <w:tcPr>
            <w:tcW w:w="2313" w:type="dxa"/>
            <w:tcBorders>
              <w:top w:val="single" w:color="auto" w:sz="4" w:space="0"/>
              <w:left w:val="single" w:color="auto" w:sz="4" w:space="0"/>
              <w:bottom w:val="single" w:color="auto" w:sz="4" w:space="0"/>
              <w:right w:val="single" w:color="auto" w:sz="4" w:space="0"/>
            </w:tcBorders>
            <w:vAlign w:val="center"/>
          </w:tcPr>
          <w:p w14:paraId="69834A4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drawing>
                <wp:inline distT="0" distB="0" distL="0" distR="0">
                  <wp:extent cx="1281430" cy="1652270"/>
                  <wp:effectExtent l="0" t="0" r="0" b="0"/>
                  <wp:docPr id="40" name="图片 35" descr="C:\Users\ADMINI~1\AppData\Local\Temp\15271458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5" descr="C:\Users\ADMINI~1\AppData\Local\Temp\1527145873(1).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1281600" cy="1652400"/>
                          </a:xfrm>
                          <a:prstGeom prst="rect">
                            <a:avLst/>
                          </a:prstGeom>
                          <a:noFill/>
                          <a:ln>
                            <a:noFill/>
                          </a:ln>
                        </pic:spPr>
                      </pic:pic>
                    </a:graphicData>
                  </a:graphic>
                </wp:inline>
              </w:drawing>
            </w:r>
          </w:p>
        </w:tc>
        <w:tc>
          <w:tcPr>
            <w:tcW w:w="2347" w:type="dxa"/>
            <w:tcBorders>
              <w:top w:val="single" w:color="auto" w:sz="4" w:space="0"/>
              <w:left w:val="single" w:color="auto" w:sz="4" w:space="0"/>
              <w:bottom w:val="single" w:color="auto" w:sz="4" w:space="0"/>
              <w:right w:val="single" w:color="auto" w:sz="4" w:space="0"/>
            </w:tcBorders>
            <w:vAlign w:val="center"/>
          </w:tcPr>
          <w:p w14:paraId="6B6BE43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drawing>
                <wp:inline distT="0" distB="0" distL="0" distR="0">
                  <wp:extent cx="1281430" cy="1652270"/>
                  <wp:effectExtent l="0" t="0" r="0" b="0"/>
                  <wp:docPr id="41" name="图片 36" descr="C:\Users\ADMINI~1\AppData\Local\Temp\15271458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6" descr="C:\Users\ADMINI~1\AppData\Local\Temp\1527145873(1).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1281600" cy="1652400"/>
                          </a:xfrm>
                          <a:prstGeom prst="rect">
                            <a:avLst/>
                          </a:prstGeom>
                          <a:noFill/>
                          <a:ln>
                            <a:noFill/>
                          </a:ln>
                        </pic:spPr>
                      </pic:pic>
                    </a:graphicData>
                  </a:graphic>
                </wp:inline>
              </w:drawing>
            </w:r>
          </w:p>
        </w:tc>
        <w:tc>
          <w:tcPr>
            <w:tcW w:w="2001" w:type="dxa"/>
            <w:tcBorders>
              <w:top w:val="single" w:color="auto" w:sz="4" w:space="0"/>
              <w:left w:val="single" w:color="auto" w:sz="4" w:space="0"/>
              <w:bottom w:val="single" w:color="auto" w:sz="4" w:space="0"/>
              <w:right w:val="single" w:color="auto" w:sz="4" w:space="0"/>
            </w:tcBorders>
            <w:vAlign w:val="center"/>
          </w:tcPr>
          <w:p w14:paraId="1730C10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表示噪声向外环境排放</w:t>
            </w:r>
          </w:p>
        </w:tc>
      </w:tr>
      <w:tr w14:paraId="27B813E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0" w:type="dxa"/>
            <w:tcBorders>
              <w:top w:val="single" w:color="auto" w:sz="4" w:space="0"/>
              <w:left w:val="single" w:color="auto" w:sz="4" w:space="0"/>
              <w:bottom w:val="single" w:color="auto" w:sz="4" w:space="0"/>
              <w:right w:val="single" w:color="auto" w:sz="4" w:space="0"/>
            </w:tcBorders>
            <w:vAlign w:val="center"/>
          </w:tcPr>
          <w:p w14:paraId="504BFEF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w:t>
            </w:r>
          </w:p>
        </w:tc>
        <w:tc>
          <w:tcPr>
            <w:tcW w:w="1792" w:type="dxa"/>
            <w:tcBorders>
              <w:top w:val="single" w:color="auto" w:sz="4" w:space="0"/>
              <w:left w:val="single" w:color="auto" w:sz="4" w:space="0"/>
              <w:bottom w:val="single" w:color="auto" w:sz="4" w:space="0"/>
              <w:right w:val="single" w:color="auto" w:sz="4" w:space="0"/>
            </w:tcBorders>
            <w:vAlign w:val="center"/>
          </w:tcPr>
          <w:p w14:paraId="2EED716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一般固废</w:t>
            </w:r>
          </w:p>
          <w:p w14:paraId="0AD3C18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一般固废暂存场所</w:t>
            </w:r>
          </w:p>
        </w:tc>
        <w:tc>
          <w:tcPr>
            <w:tcW w:w="2313" w:type="dxa"/>
            <w:tcBorders>
              <w:top w:val="single" w:color="auto" w:sz="4" w:space="0"/>
              <w:left w:val="single" w:color="auto" w:sz="4" w:space="0"/>
              <w:bottom w:val="single" w:color="auto" w:sz="4" w:space="0"/>
              <w:right w:val="single" w:color="auto" w:sz="4" w:space="0"/>
            </w:tcBorders>
            <w:vAlign w:val="center"/>
          </w:tcPr>
          <w:p w14:paraId="37E054F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drawing>
                <wp:inline distT="0" distB="0" distL="0" distR="0">
                  <wp:extent cx="1295400" cy="1652270"/>
                  <wp:effectExtent l="0" t="0" r="0" b="0"/>
                  <wp:docPr id="28" name="currentImg" descr="https://ss3.bdstatic.com/70cFv8Sh_Q1YnxGkpoWK1HF6hhy/it/u=3971714203,1921564374&amp;fm=26&amp;g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urrentImg" descr="https://ss3.bdstatic.com/70cFv8Sh_Q1YnxGkpoWK1HF6hhy/it/u=3971714203,1921564374&amp;fm=26&amp;gp=0.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1296000" cy="1652400"/>
                          </a:xfrm>
                          <a:prstGeom prst="rect">
                            <a:avLst/>
                          </a:prstGeom>
                          <a:noFill/>
                          <a:ln>
                            <a:noFill/>
                          </a:ln>
                        </pic:spPr>
                      </pic:pic>
                    </a:graphicData>
                  </a:graphic>
                </wp:inline>
              </w:drawing>
            </w:r>
          </w:p>
        </w:tc>
        <w:tc>
          <w:tcPr>
            <w:tcW w:w="2347" w:type="dxa"/>
            <w:tcBorders>
              <w:top w:val="single" w:color="auto" w:sz="4" w:space="0"/>
              <w:left w:val="single" w:color="auto" w:sz="4" w:space="0"/>
              <w:bottom w:val="single" w:color="auto" w:sz="4" w:space="0"/>
              <w:right w:val="single" w:color="auto" w:sz="4" w:space="0"/>
            </w:tcBorders>
            <w:vAlign w:val="center"/>
          </w:tcPr>
          <w:p w14:paraId="06D4377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drawing>
                <wp:inline distT="0" distB="0" distL="0" distR="0">
                  <wp:extent cx="1295400" cy="1562100"/>
                  <wp:effectExtent l="0" t="0" r="0" b="0"/>
                  <wp:docPr id="29" name="currentImg" descr="https://timgsa.baidu.com/timg?image&amp;quality=80&amp;size=b9999_10000&amp;sec=1591874896138&amp;di=ba4f2acdc68a5e94a0eb94acf06f5553&amp;imgtype=0&amp;src=http%3A%2F%2Fwww.mk-hk.com%2Ftp%2Fimage%2F20190818%2F20190818080525682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urrentImg" descr="https://timgsa.baidu.com/timg?image&amp;quality=80&amp;size=b9999_10000&amp;sec=1591874896138&amp;di=ba4f2acdc68a5e94a0eb94acf06f5553&amp;imgtype=0&amp;src=http%3A%2F%2Fwww.mk-hk.com%2Ftp%2Fimage%2F20190818%2F20190818080525682568.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1296000" cy="1562824"/>
                          </a:xfrm>
                          <a:prstGeom prst="rect">
                            <a:avLst/>
                          </a:prstGeom>
                          <a:noFill/>
                          <a:ln>
                            <a:noFill/>
                          </a:ln>
                        </pic:spPr>
                      </pic:pic>
                    </a:graphicData>
                  </a:graphic>
                </wp:inline>
              </w:drawing>
            </w:r>
          </w:p>
        </w:tc>
        <w:tc>
          <w:tcPr>
            <w:tcW w:w="2001" w:type="dxa"/>
            <w:tcBorders>
              <w:top w:val="single" w:color="auto" w:sz="4" w:space="0"/>
              <w:left w:val="single" w:color="auto" w:sz="4" w:space="0"/>
              <w:bottom w:val="single" w:color="auto" w:sz="4" w:space="0"/>
              <w:right w:val="single" w:color="auto" w:sz="4" w:space="0"/>
            </w:tcBorders>
            <w:vAlign w:val="center"/>
          </w:tcPr>
          <w:p w14:paraId="6D9D29C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表示一般固体废物贮存、处置场</w:t>
            </w:r>
          </w:p>
        </w:tc>
      </w:tr>
      <w:tr w14:paraId="657F533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0" w:type="dxa"/>
            <w:tcBorders>
              <w:top w:val="single" w:color="auto" w:sz="4" w:space="0"/>
              <w:left w:val="single" w:color="auto" w:sz="4" w:space="0"/>
              <w:bottom w:val="single" w:color="auto" w:sz="4" w:space="0"/>
              <w:right w:val="single" w:color="auto" w:sz="4" w:space="0"/>
            </w:tcBorders>
            <w:vAlign w:val="center"/>
          </w:tcPr>
          <w:p w14:paraId="47D78BB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w:t>
            </w:r>
          </w:p>
        </w:tc>
        <w:tc>
          <w:tcPr>
            <w:tcW w:w="1792" w:type="dxa"/>
            <w:tcBorders>
              <w:top w:val="single" w:color="auto" w:sz="4" w:space="0"/>
              <w:left w:val="single" w:color="auto" w:sz="4" w:space="0"/>
              <w:bottom w:val="single" w:color="auto" w:sz="4" w:space="0"/>
              <w:right w:val="single" w:color="auto" w:sz="4" w:space="0"/>
            </w:tcBorders>
            <w:vAlign w:val="center"/>
          </w:tcPr>
          <w:p w14:paraId="6E26F8C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危险废物</w:t>
            </w:r>
          </w:p>
          <w:p w14:paraId="538C3DA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危废暂存间</w:t>
            </w:r>
          </w:p>
        </w:tc>
        <w:tc>
          <w:tcPr>
            <w:tcW w:w="2313" w:type="dxa"/>
            <w:tcBorders>
              <w:top w:val="single" w:color="auto" w:sz="4" w:space="0"/>
              <w:left w:val="single" w:color="auto" w:sz="4" w:space="0"/>
              <w:bottom w:val="single" w:color="auto" w:sz="4" w:space="0"/>
              <w:right w:val="single" w:color="auto" w:sz="4" w:space="0"/>
            </w:tcBorders>
            <w:vAlign w:val="center"/>
          </w:tcPr>
          <w:p w14:paraId="0A61350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p>
        </w:tc>
        <w:tc>
          <w:tcPr>
            <w:tcW w:w="2347" w:type="dxa"/>
            <w:tcBorders>
              <w:top w:val="single" w:color="auto" w:sz="4" w:space="0"/>
              <w:left w:val="single" w:color="auto" w:sz="4" w:space="0"/>
              <w:bottom w:val="single" w:color="auto" w:sz="4" w:space="0"/>
              <w:right w:val="single" w:color="auto" w:sz="4" w:space="0"/>
            </w:tcBorders>
            <w:vAlign w:val="center"/>
          </w:tcPr>
          <w:p w14:paraId="4FAC267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highlight w:val="none"/>
              </w:rPr>
              <w:drawing>
                <wp:inline distT="0" distB="0" distL="114300" distR="114300">
                  <wp:extent cx="1229360" cy="776605"/>
                  <wp:effectExtent l="0" t="0" r="8890" b="4445"/>
                  <wp:docPr id="11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7"/>
                          <pic:cNvPicPr>
                            <a:picLocks noChangeAspect="1"/>
                          </pic:cNvPicPr>
                        </pic:nvPicPr>
                        <pic:blipFill>
                          <a:blip r:embed="rId76"/>
                          <a:stretch>
                            <a:fillRect/>
                          </a:stretch>
                        </pic:blipFill>
                        <pic:spPr>
                          <a:xfrm>
                            <a:off x="0" y="0"/>
                            <a:ext cx="1229360" cy="776605"/>
                          </a:xfrm>
                          <a:prstGeom prst="rect">
                            <a:avLst/>
                          </a:prstGeom>
                          <a:noFill/>
                          <a:ln>
                            <a:noFill/>
                          </a:ln>
                        </pic:spPr>
                      </pic:pic>
                    </a:graphicData>
                  </a:graphic>
                </wp:inline>
              </w:drawing>
            </w:r>
          </w:p>
        </w:tc>
        <w:tc>
          <w:tcPr>
            <w:tcW w:w="2001" w:type="dxa"/>
            <w:tcBorders>
              <w:top w:val="single" w:color="auto" w:sz="4" w:space="0"/>
              <w:left w:val="single" w:color="auto" w:sz="4" w:space="0"/>
              <w:bottom w:val="single" w:color="auto" w:sz="4" w:space="0"/>
              <w:right w:val="single" w:color="auto" w:sz="4" w:space="0"/>
            </w:tcBorders>
            <w:vAlign w:val="center"/>
          </w:tcPr>
          <w:p w14:paraId="332D850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表示危险废物贮存、处置场</w:t>
            </w:r>
          </w:p>
        </w:tc>
      </w:tr>
    </w:tbl>
    <w:p w14:paraId="4350509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本工程排污口使用</w:t>
      </w:r>
      <w:r>
        <w:rPr>
          <w:rFonts w:hint="default" w:ascii="Times New Roman" w:hAnsi="Times New Roman" w:eastAsia="宋体" w:cs="Times New Roman"/>
          <w:color w:val="auto"/>
          <w:highlight w:val="none"/>
          <w:lang w:eastAsia="zh-CN"/>
        </w:rPr>
        <w:t>生态环境部</w:t>
      </w:r>
      <w:r>
        <w:rPr>
          <w:rFonts w:hint="default" w:ascii="Times New Roman" w:hAnsi="Times New Roman" w:eastAsia="宋体" w:cs="Times New Roman"/>
          <w:color w:val="auto"/>
          <w:highlight w:val="none"/>
        </w:rPr>
        <w:t>统一印制的《中华人民共和国规范化排污口标志登记证》，并按要求填写有关内容；</w:t>
      </w:r>
    </w:p>
    <w:p w14:paraId="2A89C23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根据排污口管理内容要求，本工程建成投产后，应将主要污染物种类、数量、排放去向，</w:t>
      </w:r>
      <w:r>
        <w:rPr>
          <w:rFonts w:hint="default" w:ascii="Times New Roman" w:hAnsi="Times New Roman" w:eastAsia="宋体" w:cs="Times New Roman"/>
          <w:color w:val="auto"/>
          <w:highlight w:val="none"/>
          <w:lang w:eastAsia="zh-CN"/>
        </w:rPr>
        <w:t>达标</w:t>
      </w:r>
      <w:r>
        <w:rPr>
          <w:rFonts w:hint="default" w:ascii="Times New Roman" w:hAnsi="Times New Roman" w:eastAsia="宋体" w:cs="Times New Roman"/>
          <w:color w:val="auto"/>
          <w:highlight w:val="none"/>
        </w:rPr>
        <w:t>情况及设施运行情况记录于档案。</w:t>
      </w:r>
    </w:p>
    <w:p w14:paraId="14AD4C3C">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713" w:name="_Toc41476878"/>
      <w:bookmarkStart w:id="714" w:name="_Toc548"/>
      <w:r>
        <w:rPr>
          <w:rFonts w:hint="default" w:ascii="Times New Roman" w:hAnsi="Times New Roman" w:eastAsia="宋体" w:cs="Times New Roman"/>
          <w:color w:val="auto"/>
          <w:highlight w:val="none"/>
        </w:rPr>
        <w:t>9.2.5环境风险应急</w:t>
      </w:r>
      <w:bookmarkEnd w:id="713"/>
      <w:bookmarkEnd w:id="714"/>
    </w:p>
    <w:p w14:paraId="64FD4BC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企业必须建立风险事故应急方案，包括：</w:t>
      </w:r>
    </w:p>
    <w:p w14:paraId="5A13441B">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（1）制定风险应急预案。</w:t>
      </w:r>
    </w:p>
    <w:p w14:paraId="4E57CD3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（2）建立异常事件预警系统。</w:t>
      </w:r>
    </w:p>
    <w:p w14:paraId="103F3A0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（3）设立报告制度。</w:t>
      </w:r>
    </w:p>
    <w:p w14:paraId="33AE87D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（4）提出消除事故影响的措施。</w:t>
      </w:r>
    </w:p>
    <w:p w14:paraId="1C6F824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（5）建立事故环境影响消除的审核制度。</w:t>
      </w:r>
    </w:p>
    <w:p w14:paraId="7741DC2D">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715" w:name="_Toc1048"/>
      <w:bookmarkStart w:id="716" w:name="_Toc41476879"/>
      <w:r>
        <w:rPr>
          <w:rFonts w:hint="default" w:ascii="Times New Roman" w:hAnsi="Times New Roman" w:eastAsia="宋体" w:cs="Times New Roman"/>
          <w:color w:val="auto"/>
          <w:highlight w:val="none"/>
        </w:rPr>
        <w:t>9.2.6向生态环境主管部门报告制度</w:t>
      </w:r>
      <w:bookmarkEnd w:id="715"/>
      <w:bookmarkEnd w:id="716"/>
    </w:p>
    <w:p w14:paraId="5B096F3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建设单位应制定向生态环境主管部门报告制度，定期向生态环境部门报告防治地下水、大气污染等方面的信息。</w:t>
      </w:r>
    </w:p>
    <w:p w14:paraId="067B7BD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报告应由企业环保管理部门草拟，经总经理或环保工作领导小组确认后，以书面形式向生态环境主管部门报告。报告的频次建议为至少每</w:t>
      </w:r>
      <w:r>
        <w:rPr>
          <w:rFonts w:hint="default" w:ascii="Times New Roman" w:hAnsi="Times New Roman" w:eastAsia="宋体" w:cs="Times New Roman"/>
          <w:color w:val="auto"/>
          <w:highlight w:val="none"/>
          <w:lang w:eastAsia="zh-CN"/>
        </w:rPr>
        <w:t>半年</w:t>
      </w:r>
      <w:r>
        <w:rPr>
          <w:rFonts w:hint="default" w:ascii="Times New Roman" w:hAnsi="Times New Roman" w:eastAsia="宋体" w:cs="Times New Roman"/>
          <w:color w:val="auto"/>
          <w:highlight w:val="none"/>
        </w:rPr>
        <w:t>一次。</w:t>
      </w:r>
    </w:p>
    <w:p w14:paraId="144CE3F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报告的内容应包括：所在场地及其影响区地下水环境、大气环境等监测数据，排放污染物的种类、数量、浓度，以及排放设施、治理措施运行状况和运行效果等。</w:t>
      </w:r>
    </w:p>
    <w:p w14:paraId="5C598C00">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717" w:name="_Toc19431"/>
      <w:bookmarkStart w:id="718" w:name="_Toc41476880"/>
      <w:r>
        <w:rPr>
          <w:rFonts w:hint="default" w:ascii="Times New Roman" w:hAnsi="Times New Roman" w:eastAsia="宋体" w:cs="Times New Roman"/>
          <w:color w:val="auto"/>
          <w:highlight w:val="none"/>
        </w:rPr>
        <w:t>9.2.7企业环境信息公开</w:t>
      </w:r>
      <w:bookmarkEnd w:id="717"/>
      <w:bookmarkEnd w:id="718"/>
    </w:p>
    <w:p w14:paraId="4EA6C21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建设单位按照《关于加强污染源环境监管信息公开工作的通知》（环发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2013</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74号）及《企业事业单位环境信息公开办法》（环保部令第31号）的要求，在重点排污单位名录公布后九十日内，对以下内容进行公开：</w:t>
      </w:r>
    </w:p>
    <w:p w14:paraId="2D7AC262">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1）建设单位名称、组织机构代码、法定代表人、生产地址、联系方式，以及生产经营和管理服务的主要内容、产品及规模；</w:t>
      </w:r>
    </w:p>
    <w:p w14:paraId="2571196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2）污染物及特征污染物的名称、排放方式、排放口数量和分布情况、排放浓度和总量、超标情况，以及执行的污染物排放标准、核定的排放总量；</w:t>
      </w:r>
    </w:p>
    <w:p w14:paraId="75C13D6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3）防治污染设施的建设和运行情况；</w:t>
      </w:r>
    </w:p>
    <w:p w14:paraId="5901108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4）建设项目环境影响评价及其他环境保护行政许可情况；</w:t>
      </w:r>
    </w:p>
    <w:p w14:paraId="19AB3C5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5）突发环境事件应急预案。</w:t>
      </w:r>
    </w:p>
    <w:p w14:paraId="13ABC98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公开方式：</w:t>
      </w:r>
    </w:p>
    <w:p w14:paraId="2B4FD01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1）企业网站及当地政府网站；</w:t>
      </w:r>
    </w:p>
    <w:p w14:paraId="5D44043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2）企业办公楼显示屏；</w:t>
      </w:r>
    </w:p>
    <w:p w14:paraId="6B220D2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3）企业公告栏、公示栏。</w:t>
      </w:r>
    </w:p>
    <w:p w14:paraId="281B9D6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同时，建设单位按照《关于加强企业环境信用体系建设的指导意见》（环发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2015</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161号）的要求，定期在政府网站公布自身污染物监测数据以及区域环境质量现状监测数据。</w:t>
      </w:r>
    </w:p>
    <w:p w14:paraId="19885ECE">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719" w:name="_Toc41476881"/>
      <w:bookmarkStart w:id="720" w:name="_Toc21223"/>
      <w:r>
        <w:rPr>
          <w:rFonts w:hint="default" w:ascii="Times New Roman" w:hAnsi="Times New Roman" w:eastAsia="宋体" w:cs="Times New Roman"/>
          <w:color w:val="auto"/>
          <w:highlight w:val="none"/>
        </w:rPr>
        <w:t>9.2.8日常环境管理台账</w:t>
      </w:r>
      <w:bookmarkEnd w:id="719"/>
      <w:bookmarkEnd w:id="720"/>
    </w:p>
    <w:p w14:paraId="7F619D5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企业需建立环境管理台账制度，定期记录汇总生产报表、原燃料报表、监测数据、环保设施台账</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固定污染源排放量核算报表等信息。企业应设置专职人员进行</w:t>
      </w:r>
      <w:r>
        <w:rPr>
          <w:rFonts w:hint="default" w:ascii="Times New Roman" w:hAnsi="Times New Roman" w:eastAsia="宋体" w:cs="Times New Roman"/>
          <w:color w:val="auto"/>
          <w:highlight w:val="none"/>
          <w:lang w:eastAsia="zh-CN"/>
        </w:rPr>
        <w:t>台账的</w:t>
      </w:r>
      <w:r>
        <w:rPr>
          <w:rFonts w:hint="default" w:ascii="Times New Roman" w:hAnsi="Times New Roman" w:eastAsia="宋体" w:cs="Times New Roman"/>
          <w:color w:val="auto"/>
          <w:highlight w:val="none"/>
        </w:rPr>
        <w:t>记录、整理、维护和管理，并在排污许可证管理信息平台实时记录。企业应对台账记录结果的真实性、准确性、完整性负责。</w:t>
      </w:r>
    </w:p>
    <w:p w14:paraId="6AE423FD">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721" w:name="_Toc523322399"/>
      <w:bookmarkStart w:id="722" w:name="_Toc3147"/>
      <w:r>
        <w:rPr>
          <w:rFonts w:hint="default" w:ascii="Times New Roman" w:hAnsi="Times New Roman" w:eastAsia="宋体" w:cs="Times New Roman"/>
          <w:color w:val="auto"/>
          <w:highlight w:val="none"/>
        </w:rPr>
        <w:t>9.3监测计划</w:t>
      </w:r>
      <w:bookmarkEnd w:id="721"/>
      <w:bookmarkEnd w:id="722"/>
    </w:p>
    <w:p w14:paraId="4CADB6D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本次评价按照《</w:t>
      </w:r>
      <w:r>
        <w:rPr>
          <w:rFonts w:hint="default" w:ascii="Times New Roman" w:hAnsi="Times New Roman" w:eastAsia="宋体" w:cs="Times New Roman"/>
          <w:color w:val="auto"/>
          <w:highlight w:val="none"/>
          <w:lang w:eastAsia="zh-CN"/>
        </w:rPr>
        <w:t>排污单位自行监测技术指南总则</w:t>
      </w:r>
      <w:r>
        <w:rPr>
          <w:rFonts w:hint="default" w:ascii="Times New Roman" w:hAnsi="Times New Roman" w:eastAsia="宋体" w:cs="Times New Roman"/>
          <w:color w:val="auto"/>
          <w:highlight w:val="none"/>
        </w:rPr>
        <w:t>》（HJ819-2017）、《</w:t>
      </w:r>
      <w:r>
        <w:rPr>
          <w:rFonts w:hint="default" w:ascii="Times New Roman" w:hAnsi="Times New Roman" w:eastAsia="宋体" w:cs="Times New Roman"/>
          <w:color w:val="auto"/>
          <w:highlight w:val="none"/>
          <w:lang w:eastAsia="zh-CN"/>
        </w:rPr>
        <w:t>排污许可证申请与核发技术规范畜禽养殖行业</w:t>
      </w:r>
      <w:r>
        <w:rPr>
          <w:rFonts w:hint="default" w:ascii="Times New Roman" w:hAnsi="Times New Roman" w:eastAsia="宋体" w:cs="Times New Roman"/>
          <w:color w:val="auto"/>
          <w:highlight w:val="none"/>
        </w:rPr>
        <w:t>》（HJ1029-2019）以及各环境要素导则、相关标准要求制定项目运营期监测计划。</w:t>
      </w:r>
    </w:p>
    <w:p w14:paraId="62EAB5C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排污单位应在生产运行阶段对其排放的废水、废气、噪声以及对周边环境质量影响开展监测，本工程的环境监测计划应包括</w:t>
      </w:r>
      <w:r>
        <w:rPr>
          <w:rFonts w:hint="default" w:ascii="Times New Roman" w:hAnsi="Times New Roman" w:eastAsia="宋体" w:cs="Times New Roman"/>
          <w:color w:val="auto"/>
          <w:highlight w:val="none"/>
          <w:lang w:val="en-US" w:eastAsia="zh-CN"/>
        </w:rPr>
        <w:t>两</w:t>
      </w:r>
      <w:r>
        <w:rPr>
          <w:rFonts w:hint="default" w:ascii="Times New Roman" w:hAnsi="Times New Roman" w:eastAsia="宋体" w:cs="Times New Roman"/>
          <w:color w:val="auto"/>
          <w:highlight w:val="none"/>
          <w:lang w:eastAsia="zh-CN"/>
        </w:rPr>
        <w:t>个</w:t>
      </w:r>
      <w:r>
        <w:rPr>
          <w:rFonts w:hint="default" w:ascii="Times New Roman" w:hAnsi="Times New Roman" w:eastAsia="宋体" w:cs="Times New Roman"/>
          <w:color w:val="auto"/>
          <w:highlight w:val="none"/>
        </w:rPr>
        <w:t>部分：一为竣工验收监测，二为营运期的常规监测。</w:t>
      </w:r>
    </w:p>
    <w:p w14:paraId="7EC0C98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竣工验收监测：本工程投入试生产后，建设单位应按规定对本工程环保“三同时”设施组织竣工验收监测。</w:t>
      </w:r>
    </w:p>
    <w:p w14:paraId="2E05729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营运期的常规监测：主要是对工程的污染源进行监测，为掌握工程环保设施的运行状况，对环保设施运行情况进行定期或不定期监测。</w:t>
      </w:r>
    </w:p>
    <w:p w14:paraId="31B420EB">
      <w:pPr>
        <w:pStyle w:val="7"/>
        <w:keepNext/>
        <w:keepLines/>
        <w:pageBreakBefore w:val="0"/>
        <w:widowControl w:val="0"/>
        <w:kinsoku/>
        <w:wordWrap/>
        <w:overflowPunct/>
        <w:topLinePunct/>
        <w:autoSpaceDE w:val="0"/>
        <w:autoSpaceDN/>
        <w:bidi w:val="0"/>
        <w:adjustRightInd/>
        <w:snapToGrid w:val="0"/>
        <w:spacing w:line="360" w:lineRule="auto"/>
        <w:ind w:left="0" w:leftChars="0" w:right="0" w:rightChars="0" w:firstLine="480" w:firstLineChars="200"/>
        <w:jc w:val="left"/>
        <w:textAlignment w:val="auto"/>
        <w:rPr>
          <w:rFonts w:hint="default" w:ascii="Times New Roman" w:hAnsi="Times New Roman" w:eastAsia="宋体" w:cs="Times New Roman"/>
          <w:b w:val="0"/>
          <w:bCs w:val="0"/>
          <w:color w:val="060BEA"/>
          <w:highlight w:val="none"/>
        </w:rPr>
      </w:pPr>
      <w:r>
        <w:rPr>
          <w:rFonts w:hint="default" w:ascii="Times New Roman" w:hAnsi="Times New Roman" w:eastAsia="宋体" w:cs="Times New Roman"/>
          <w:b w:val="0"/>
          <w:bCs w:val="0"/>
          <w:color w:val="060BEA"/>
          <w:highlight w:val="none"/>
        </w:rPr>
        <w:t>根据《排污许可证申请与核发技术规范</w:t>
      </w:r>
      <w:r>
        <w:rPr>
          <w:rFonts w:hint="default" w:ascii="Times New Roman" w:hAnsi="Times New Roman" w:eastAsia="宋体" w:cs="Times New Roman"/>
          <w:b w:val="0"/>
          <w:bCs w:val="0"/>
          <w:color w:val="060BEA"/>
          <w:highlight w:val="none"/>
          <w:lang w:val="en-US" w:eastAsia="zh-CN"/>
        </w:rPr>
        <w:t>畜禽养殖行业</w:t>
      </w:r>
      <w:r>
        <w:rPr>
          <w:rFonts w:hint="default" w:ascii="Times New Roman" w:hAnsi="Times New Roman" w:eastAsia="宋体" w:cs="Times New Roman"/>
          <w:b w:val="0"/>
          <w:bCs w:val="0"/>
          <w:color w:val="060BEA"/>
          <w:highlight w:val="none"/>
        </w:rPr>
        <w:t>》（HJ</w:t>
      </w:r>
      <w:r>
        <w:rPr>
          <w:rFonts w:hint="default" w:ascii="Times New Roman" w:hAnsi="Times New Roman" w:eastAsia="宋体" w:cs="Times New Roman"/>
          <w:b w:val="0"/>
          <w:bCs w:val="0"/>
          <w:color w:val="060BEA"/>
          <w:highlight w:val="none"/>
          <w:lang w:val="en-US" w:eastAsia="zh-CN"/>
        </w:rPr>
        <w:t>1029</w:t>
      </w:r>
      <w:r>
        <w:rPr>
          <w:rFonts w:hint="default" w:ascii="Times New Roman" w:hAnsi="Times New Roman" w:eastAsia="宋体" w:cs="Times New Roman"/>
          <w:b w:val="0"/>
          <w:bCs w:val="0"/>
          <w:color w:val="060BEA"/>
          <w:highlight w:val="none"/>
        </w:rPr>
        <w:t>-201</w:t>
      </w:r>
      <w:r>
        <w:rPr>
          <w:rFonts w:hint="default" w:ascii="Times New Roman" w:hAnsi="Times New Roman" w:eastAsia="宋体" w:cs="Times New Roman"/>
          <w:b w:val="0"/>
          <w:bCs w:val="0"/>
          <w:color w:val="060BEA"/>
          <w:highlight w:val="none"/>
          <w:lang w:val="en-US" w:eastAsia="zh-CN"/>
        </w:rPr>
        <w:t>9</w:t>
      </w:r>
      <w:r>
        <w:rPr>
          <w:rFonts w:hint="default" w:ascii="Times New Roman" w:hAnsi="Times New Roman" w:eastAsia="宋体" w:cs="Times New Roman"/>
          <w:b w:val="0"/>
          <w:bCs w:val="0"/>
          <w:color w:val="060BEA"/>
          <w:highlight w:val="none"/>
        </w:rPr>
        <w:t>）要求，本项目</w:t>
      </w:r>
      <w:r>
        <w:rPr>
          <w:rFonts w:hint="default" w:ascii="Times New Roman" w:hAnsi="Times New Roman" w:eastAsia="宋体" w:cs="Times New Roman"/>
          <w:b w:val="0"/>
          <w:bCs w:val="0"/>
          <w:color w:val="060BEA"/>
          <w:highlight w:val="none"/>
          <w:lang w:val="en-US" w:eastAsia="zh-CN"/>
        </w:rPr>
        <w:t>环境</w:t>
      </w:r>
      <w:r>
        <w:rPr>
          <w:rFonts w:hint="default" w:ascii="Times New Roman" w:hAnsi="Times New Roman" w:eastAsia="宋体" w:cs="Times New Roman"/>
          <w:b w:val="0"/>
          <w:bCs w:val="0"/>
          <w:color w:val="060BEA"/>
          <w:highlight w:val="none"/>
        </w:rPr>
        <w:t>监测计划如下：</w:t>
      </w:r>
    </w:p>
    <w:p w14:paraId="33650C67">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060BEA"/>
          <w:highlight w:val="none"/>
        </w:rPr>
      </w:pPr>
      <w:r>
        <w:rPr>
          <w:rFonts w:hint="default" w:ascii="Times New Roman" w:hAnsi="Times New Roman" w:eastAsia="宋体" w:cs="Times New Roman"/>
          <w:color w:val="060BEA"/>
          <w:highlight w:val="none"/>
        </w:rPr>
        <w:t>表9.</w:t>
      </w:r>
      <w:r>
        <w:rPr>
          <w:rFonts w:hint="default" w:ascii="Times New Roman" w:hAnsi="Times New Roman" w:eastAsia="宋体" w:cs="Times New Roman"/>
          <w:color w:val="060BEA"/>
          <w:highlight w:val="none"/>
          <w:lang w:val="en-US" w:eastAsia="zh-CN"/>
        </w:rPr>
        <w:t>3</w:t>
      </w:r>
      <w:r>
        <w:rPr>
          <w:rFonts w:hint="default" w:ascii="Times New Roman" w:hAnsi="Times New Roman" w:eastAsia="宋体" w:cs="Times New Roman"/>
          <w:color w:val="060BEA"/>
          <w:highlight w:val="none"/>
        </w:rPr>
        <w:t>-1本次项目环境监测计划一览表</w:t>
      </w:r>
    </w:p>
    <w:tbl>
      <w:tblPr>
        <w:tblStyle w:val="40"/>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476"/>
        <w:gridCol w:w="513"/>
        <w:gridCol w:w="6"/>
        <w:gridCol w:w="392"/>
        <w:gridCol w:w="686"/>
        <w:gridCol w:w="1976"/>
        <w:gridCol w:w="843"/>
        <w:gridCol w:w="2543"/>
        <w:gridCol w:w="842"/>
      </w:tblGrid>
      <w:tr w14:paraId="221FEA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747" w:type="dxa"/>
            <w:tcBorders>
              <w:top w:val="single" w:color="auto" w:sz="4" w:space="0"/>
              <w:left w:val="single" w:color="auto" w:sz="4" w:space="0"/>
              <w:bottom w:val="single" w:color="auto" w:sz="4" w:space="0"/>
              <w:right w:val="single" w:color="auto" w:sz="4" w:space="0"/>
            </w:tcBorders>
            <w:shd w:val="clear" w:color="auto" w:fill="auto"/>
            <w:vAlign w:val="center"/>
          </w:tcPr>
          <w:p w14:paraId="3F3359D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阶段</w:t>
            </w:r>
          </w:p>
        </w:tc>
        <w:tc>
          <w:tcPr>
            <w:tcW w:w="1420"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6C3FE2A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类别</w:t>
            </w:r>
          </w:p>
        </w:tc>
        <w:tc>
          <w:tcPr>
            <w:tcW w:w="1116" w:type="dxa"/>
            <w:tcBorders>
              <w:top w:val="single" w:color="auto" w:sz="4" w:space="0"/>
              <w:left w:val="single" w:color="auto" w:sz="4" w:space="0"/>
              <w:bottom w:val="single" w:color="auto" w:sz="4" w:space="0"/>
              <w:right w:val="single" w:color="auto" w:sz="4" w:space="0"/>
            </w:tcBorders>
            <w:shd w:val="clear" w:color="auto" w:fill="auto"/>
            <w:vAlign w:val="center"/>
          </w:tcPr>
          <w:p w14:paraId="7CB022E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监测点位</w:t>
            </w:r>
          </w:p>
        </w:tc>
        <w:tc>
          <w:tcPr>
            <w:tcW w:w="3386" w:type="dxa"/>
            <w:tcBorders>
              <w:top w:val="single" w:color="auto" w:sz="4" w:space="0"/>
              <w:left w:val="single" w:color="auto" w:sz="4" w:space="0"/>
              <w:bottom w:val="single" w:color="auto" w:sz="4" w:space="0"/>
              <w:right w:val="single" w:color="auto" w:sz="4" w:space="0"/>
            </w:tcBorders>
            <w:shd w:val="clear" w:color="auto" w:fill="auto"/>
            <w:vAlign w:val="center"/>
          </w:tcPr>
          <w:p w14:paraId="2BFE784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监测指标</w:t>
            </w:r>
          </w:p>
        </w:tc>
        <w:tc>
          <w:tcPr>
            <w:tcW w:w="1392" w:type="dxa"/>
            <w:tcBorders>
              <w:top w:val="single" w:color="auto" w:sz="4" w:space="0"/>
              <w:left w:val="single" w:color="auto" w:sz="4" w:space="0"/>
              <w:bottom w:val="single" w:color="auto" w:sz="4" w:space="0"/>
              <w:right w:val="single" w:color="auto" w:sz="4" w:space="0"/>
            </w:tcBorders>
            <w:shd w:val="clear" w:color="auto" w:fill="auto"/>
            <w:vAlign w:val="center"/>
          </w:tcPr>
          <w:p w14:paraId="61F65CF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监测频次</w:t>
            </w:r>
          </w:p>
        </w:tc>
        <w:tc>
          <w:tcPr>
            <w:tcW w:w="4382" w:type="dxa"/>
            <w:tcBorders>
              <w:top w:val="single" w:color="auto" w:sz="4" w:space="0"/>
              <w:left w:val="single" w:color="auto" w:sz="4" w:space="0"/>
              <w:bottom w:val="single" w:color="auto" w:sz="4" w:space="0"/>
              <w:right w:val="single" w:color="auto" w:sz="4" w:space="0"/>
            </w:tcBorders>
            <w:shd w:val="clear" w:color="auto" w:fill="auto"/>
            <w:vAlign w:val="center"/>
          </w:tcPr>
          <w:p w14:paraId="4AB05BC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执行标准</w:t>
            </w:r>
          </w:p>
        </w:tc>
        <w:tc>
          <w:tcPr>
            <w:tcW w:w="1390" w:type="dxa"/>
            <w:tcBorders>
              <w:top w:val="single" w:color="auto" w:sz="4" w:space="0"/>
              <w:left w:val="single" w:color="auto" w:sz="4" w:space="0"/>
              <w:bottom w:val="single" w:color="auto" w:sz="4" w:space="0"/>
              <w:right w:val="single" w:color="auto" w:sz="4" w:space="0"/>
            </w:tcBorders>
            <w:shd w:val="clear" w:color="auto" w:fill="auto"/>
            <w:vAlign w:val="center"/>
          </w:tcPr>
          <w:p w14:paraId="5B8B1BF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实施单位</w:t>
            </w:r>
          </w:p>
        </w:tc>
      </w:tr>
      <w:tr w14:paraId="1BE003A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747" w:type="dxa"/>
            <w:vMerge w:val="restart"/>
            <w:tcBorders>
              <w:top w:val="single" w:color="auto" w:sz="4" w:space="0"/>
              <w:left w:val="single" w:color="auto" w:sz="4" w:space="0"/>
              <w:bottom w:val="single" w:color="auto" w:sz="4" w:space="0"/>
              <w:right w:val="single" w:color="auto" w:sz="4" w:space="0"/>
            </w:tcBorders>
            <w:shd w:val="clear" w:color="auto" w:fill="auto"/>
            <w:textDirection w:val="tbRlV"/>
            <w:vAlign w:val="center"/>
          </w:tcPr>
          <w:p w14:paraId="068F347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运营期</w:t>
            </w:r>
          </w:p>
        </w:tc>
        <w:tc>
          <w:tcPr>
            <w:tcW w:w="811" w:type="dxa"/>
            <w:tcBorders>
              <w:top w:val="single" w:color="auto" w:sz="4" w:space="0"/>
              <w:left w:val="single" w:color="auto" w:sz="4" w:space="0"/>
              <w:bottom w:val="single" w:color="auto" w:sz="4" w:space="0"/>
              <w:right w:val="single" w:color="auto" w:sz="4" w:space="0"/>
            </w:tcBorders>
            <w:shd w:val="clear" w:color="auto" w:fill="auto"/>
            <w:textDirection w:val="tbRlV"/>
            <w:vAlign w:val="center"/>
          </w:tcPr>
          <w:p w14:paraId="7C57B26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环境质量监测</w:t>
            </w:r>
          </w:p>
        </w:tc>
        <w:tc>
          <w:tcPr>
            <w:tcW w:w="60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4D1B90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地下水</w:t>
            </w:r>
          </w:p>
        </w:tc>
        <w:tc>
          <w:tcPr>
            <w:tcW w:w="1116" w:type="dxa"/>
            <w:tcBorders>
              <w:top w:val="single" w:color="auto" w:sz="4" w:space="0"/>
              <w:left w:val="single" w:color="auto" w:sz="4" w:space="0"/>
              <w:bottom w:val="single" w:color="auto" w:sz="4" w:space="0"/>
              <w:right w:val="single" w:color="auto" w:sz="4" w:space="0"/>
            </w:tcBorders>
            <w:shd w:val="clear" w:color="auto" w:fill="auto"/>
            <w:vAlign w:val="center"/>
          </w:tcPr>
          <w:p w14:paraId="7990581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1口地下水监控井水质</w:t>
            </w:r>
          </w:p>
        </w:tc>
        <w:tc>
          <w:tcPr>
            <w:tcW w:w="3386" w:type="dxa"/>
            <w:tcBorders>
              <w:top w:val="single" w:color="auto" w:sz="4" w:space="0"/>
              <w:left w:val="single" w:color="auto" w:sz="4" w:space="0"/>
              <w:bottom w:val="single" w:color="auto" w:sz="4" w:space="0"/>
              <w:right w:val="single" w:color="auto" w:sz="4" w:space="0"/>
            </w:tcBorders>
            <w:shd w:val="clear" w:color="auto" w:fill="auto"/>
            <w:vAlign w:val="center"/>
          </w:tcPr>
          <w:p w14:paraId="287B6F9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pH、总硬度、耗氧量、硫酸盐、氯化物、硝酸盐、氨氮、亚硝酸盐、挥发性酚类、氰化物、氟、溶解性总固体、六价铬、砷、汞、铅、镉、铁、锰、</w:t>
            </w:r>
            <w:r>
              <w:rPr>
                <w:rFonts w:hint="default" w:ascii="Times New Roman" w:hAnsi="Times New Roman" w:eastAsia="宋体" w:cs="Times New Roman"/>
                <w:color w:val="FF0000"/>
                <w:sz w:val="21"/>
                <w:szCs w:val="21"/>
                <w:highlight w:val="none"/>
                <w:lang w:eastAsia="zh-CN"/>
              </w:rPr>
              <w:t>菌落总数</w:t>
            </w:r>
            <w:r>
              <w:rPr>
                <w:rFonts w:hint="default" w:ascii="Times New Roman" w:hAnsi="Times New Roman" w:eastAsia="宋体" w:cs="Times New Roman"/>
                <w:color w:val="FF0000"/>
                <w:sz w:val="21"/>
                <w:szCs w:val="21"/>
                <w:highlight w:val="none"/>
              </w:rPr>
              <w:t>、总大肠菌群等共21项</w:t>
            </w:r>
          </w:p>
        </w:tc>
        <w:tc>
          <w:tcPr>
            <w:tcW w:w="1392" w:type="dxa"/>
            <w:tcBorders>
              <w:top w:val="single" w:color="auto" w:sz="4" w:space="0"/>
              <w:left w:val="single" w:color="auto" w:sz="4" w:space="0"/>
              <w:bottom w:val="single" w:color="auto" w:sz="4" w:space="0"/>
              <w:right w:val="single" w:color="auto" w:sz="4" w:space="0"/>
            </w:tcBorders>
            <w:shd w:val="clear" w:color="auto" w:fill="auto"/>
            <w:vAlign w:val="center"/>
          </w:tcPr>
          <w:p w14:paraId="50428DD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1次/年</w:t>
            </w:r>
          </w:p>
        </w:tc>
        <w:tc>
          <w:tcPr>
            <w:tcW w:w="4382" w:type="dxa"/>
            <w:tcBorders>
              <w:top w:val="single" w:color="auto" w:sz="4" w:space="0"/>
              <w:left w:val="single" w:color="auto" w:sz="4" w:space="0"/>
              <w:bottom w:val="single" w:color="auto" w:sz="4" w:space="0"/>
              <w:right w:val="single" w:color="auto" w:sz="4" w:space="0"/>
            </w:tcBorders>
            <w:shd w:val="clear" w:color="auto" w:fill="auto"/>
            <w:vAlign w:val="center"/>
          </w:tcPr>
          <w:p w14:paraId="6F8C1DC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《地下水质量标准》（GB/T14848-2017）中Ⅲ类标准</w:t>
            </w:r>
          </w:p>
        </w:tc>
        <w:tc>
          <w:tcPr>
            <w:tcW w:w="1390" w:type="dxa"/>
            <w:tcBorders>
              <w:top w:val="single" w:color="auto" w:sz="4" w:space="0"/>
              <w:left w:val="single" w:color="auto" w:sz="4" w:space="0"/>
              <w:bottom w:val="single" w:color="auto" w:sz="4" w:space="0"/>
              <w:right w:val="single" w:color="auto" w:sz="4" w:space="0"/>
            </w:tcBorders>
            <w:shd w:val="clear" w:color="auto" w:fill="auto"/>
            <w:vAlign w:val="center"/>
          </w:tcPr>
          <w:p w14:paraId="1E615CF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委托有资质单位</w:t>
            </w:r>
          </w:p>
        </w:tc>
      </w:tr>
      <w:tr w14:paraId="5379061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7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1DD034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c>
          <w:tcPr>
            <w:tcW w:w="822" w:type="dxa"/>
            <w:gridSpan w:val="2"/>
            <w:vMerge w:val="restart"/>
            <w:tcBorders>
              <w:top w:val="single" w:color="auto" w:sz="4" w:space="0"/>
              <w:left w:val="single" w:color="auto" w:sz="4" w:space="0"/>
              <w:bottom w:val="single" w:color="auto" w:sz="4" w:space="0"/>
              <w:right w:val="single" w:color="auto" w:sz="4" w:space="0"/>
            </w:tcBorders>
            <w:shd w:val="clear" w:color="auto" w:fill="auto"/>
            <w:textDirection w:val="tbRlV"/>
            <w:vAlign w:val="center"/>
          </w:tcPr>
          <w:p w14:paraId="7600BA8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污染源监测</w:t>
            </w:r>
          </w:p>
        </w:tc>
        <w:tc>
          <w:tcPr>
            <w:tcW w:w="59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3916CE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废气</w:t>
            </w:r>
          </w:p>
        </w:tc>
        <w:tc>
          <w:tcPr>
            <w:tcW w:w="111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E0D36F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厂界</w:t>
            </w:r>
          </w:p>
        </w:tc>
        <w:tc>
          <w:tcPr>
            <w:tcW w:w="3386" w:type="dxa"/>
            <w:tcBorders>
              <w:top w:val="single" w:color="auto" w:sz="4" w:space="0"/>
              <w:left w:val="single" w:color="auto" w:sz="4" w:space="0"/>
              <w:bottom w:val="single" w:color="auto" w:sz="4" w:space="0"/>
              <w:right w:val="single" w:color="auto" w:sz="4" w:space="0"/>
            </w:tcBorders>
            <w:shd w:val="clear" w:color="auto" w:fill="auto"/>
            <w:vAlign w:val="center"/>
          </w:tcPr>
          <w:p w14:paraId="5698898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氨、硫化氢</w:t>
            </w:r>
          </w:p>
        </w:tc>
        <w:tc>
          <w:tcPr>
            <w:tcW w:w="1392" w:type="dxa"/>
            <w:tcBorders>
              <w:top w:val="single" w:color="auto" w:sz="4" w:space="0"/>
              <w:left w:val="single" w:color="auto" w:sz="4" w:space="0"/>
              <w:bottom w:val="single" w:color="auto" w:sz="4" w:space="0"/>
              <w:right w:val="single" w:color="auto" w:sz="4" w:space="0"/>
            </w:tcBorders>
            <w:shd w:val="clear" w:color="auto" w:fill="auto"/>
            <w:vAlign w:val="center"/>
          </w:tcPr>
          <w:p w14:paraId="202C9E7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1次/年</w:t>
            </w:r>
          </w:p>
        </w:tc>
        <w:tc>
          <w:tcPr>
            <w:tcW w:w="4382" w:type="dxa"/>
            <w:tcBorders>
              <w:top w:val="single" w:color="auto" w:sz="4" w:space="0"/>
              <w:left w:val="single" w:color="auto" w:sz="4" w:space="0"/>
              <w:bottom w:val="single" w:color="auto" w:sz="4" w:space="0"/>
              <w:right w:val="single" w:color="auto" w:sz="4" w:space="0"/>
            </w:tcBorders>
            <w:shd w:val="clear" w:color="auto" w:fill="auto"/>
            <w:vAlign w:val="center"/>
          </w:tcPr>
          <w:p w14:paraId="47E8169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《恶臭污染物排放标准》（GB14554-93）表1恶臭污染物厂界标准值中“二级、新扩改建”标准要求</w:t>
            </w:r>
          </w:p>
        </w:tc>
        <w:tc>
          <w:tcPr>
            <w:tcW w:w="139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AE71AF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委托有资质单位</w:t>
            </w:r>
          </w:p>
        </w:tc>
      </w:tr>
      <w:tr w14:paraId="6BE5993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7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5452BD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c>
          <w:tcPr>
            <w:tcW w:w="822" w:type="dxa"/>
            <w:gridSpan w:val="2"/>
            <w:vMerge w:val="continue"/>
            <w:tcBorders>
              <w:top w:val="single" w:color="auto" w:sz="4" w:space="0"/>
              <w:left w:val="single" w:color="auto" w:sz="4" w:space="0"/>
              <w:bottom w:val="single" w:color="auto" w:sz="4" w:space="0"/>
              <w:right w:val="single" w:color="auto" w:sz="4" w:space="0"/>
            </w:tcBorders>
            <w:shd w:val="clear" w:color="auto" w:fill="auto"/>
            <w:textDirection w:val="tbRlV"/>
            <w:vAlign w:val="center"/>
          </w:tcPr>
          <w:p w14:paraId="627EF4C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c>
          <w:tcPr>
            <w:tcW w:w="59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AA4149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c>
          <w:tcPr>
            <w:tcW w:w="111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FEA8BA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c>
          <w:tcPr>
            <w:tcW w:w="3386" w:type="dxa"/>
            <w:tcBorders>
              <w:top w:val="single" w:color="auto" w:sz="4" w:space="0"/>
              <w:left w:val="single" w:color="auto" w:sz="4" w:space="0"/>
              <w:bottom w:val="single" w:color="auto" w:sz="4" w:space="0"/>
              <w:right w:val="single" w:color="auto" w:sz="4" w:space="0"/>
            </w:tcBorders>
            <w:shd w:val="clear" w:color="auto" w:fill="auto"/>
            <w:vAlign w:val="center"/>
          </w:tcPr>
          <w:p w14:paraId="1FE11D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臭气浓度</w:t>
            </w:r>
          </w:p>
        </w:tc>
        <w:tc>
          <w:tcPr>
            <w:tcW w:w="1392" w:type="dxa"/>
            <w:tcBorders>
              <w:top w:val="single" w:color="auto" w:sz="4" w:space="0"/>
              <w:left w:val="single" w:color="auto" w:sz="4" w:space="0"/>
              <w:bottom w:val="single" w:color="auto" w:sz="4" w:space="0"/>
              <w:right w:val="single" w:color="auto" w:sz="4" w:space="0"/>
            </w:tcBorders>
            <w:shd w:val="clear" w:color="auto" w:fill="auto"/>
            <w:vAlign w:val="center"/>
          </w:tcPr>
          <w:p w14:paraId="3E98789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1次/年</w:t>
            </w:r>
          </w:p>
        </w:tc>
        <w:tc>
          <w:tcPr>
            <w:tcW w:w="4382" w:type="dxa"/>
            <w:tcBorders>
              <w:top w:val="single" w:color="auto" w:sz="4" w:space="0"/>
              <w:left w:val="single" w:color="auto" w:sz="4" w:space="0"/>
              <w:bottom w:val="single" w:color="auto" w:sz="4" w:space="0"/>
              <w:right w:val="single" w:color="auto" w:sz="4" w:space="0"/>
            </w:tcBorders>
            <w:shd w:val="clear" w:color="auto" w:fill="auto"/>
            <w:vAlign w:val="center"/>
          </w:tcPr>
          <w:p w14:paraId="3EB7B36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《畜禽养殖业污染物排放标准》（GB18596-2001）表7集约化畜禽养殖业恶臭污染物排放标准</w:t>
            </w:r>
          </w:p>
        </w:tc>
        <w:tc>
          <w:tcPr>
            <w:tcW w:w="139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AAB992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r>
      <w:tr w14:paraId="443C538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7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D6F2E6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c>
          <w:tcPr>
            <w:tcW w:w="822" w:type="dxa"/>
            <w:gridSpan w:val="2"/>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B04120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c>
          <w:tcPr>
            <w:tcW w:w="59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70E71E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c>
          <w:tcPr>
            <w:tcW w:w="111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0945B7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c>
          <w:tcPr>
            <w:tcW w:w="3386" w:type="dxa"/>
            <w:tcBorders>
              <w:top w:val="single" w:color="auto" w:sz="4" w:space="0"/>
              <w:left w:val="single" w:color="auto" w:sz="4" w:space="0"/>
              <w:bottom w:val="single" w:color="auto" w:sz="4" w:space="0"/>
              <w:right w:val="single" w:color="auto" w:sz="4" w:space="0"/>
            </w:tcBorders>
            <w:shd w:val="clear" w:color="auto" w:fill="auto"/>
            <w:vAlign w:val="center"/>
          </w:tcPr>
          <w:p w14:paraId="616423C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颗粒物</w:t>
            </w:r>
          </w:p>
        </w:tc>
        <w:tc>
          <w:tcPr>
            <w:tcW w:w="1392" w:type="dxa"/>
            <w:tcBorders>
              <w:top w:val="single" w:color="auto" w:sz="4" w:space="0"/>
              <w:left w:val="single" w:color="auto" w:sz="4" w:space="0"/>
              <w:bottom w:val="single" w:color="auto" w:sz="4" w:space="0"/>
              <w:right w:val="single" w:color="auto" w:sz="4" w:space="0"/>
            </w:tcBorders>
            <w:shd w:val="clear" w:color="auto" w:fill="auto"/>
            <w:vAlign w:val="center"/>
          </w:tcPr>
          <w:p w14:paraId="1AC84F5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1次/年</w:t>
            </w:r>
          </w:p>
        </w:tc>
        <w:tc>
          <w:tcPr>
            <w:tcW w:w="4382" w:type="dxa"/>
            <w:tcBorders>
              <w:top w:val="single" w:color="auto" w:sz="4" w:space="0"/>
              <w:left w:val="single" w:color="auto" w:sz="4" w:space="0"/>
              <w:bottom w:val="single" w:color="auto" w:sz="4" w:space="0"/>
              <w:right w:val="single" w:color="auto" w:sz="4" w:space="0"/>
            </w:tcBorders>
            <w:shd w:val="clear" w:color="auto" w:fill="auto"/>
            <w:vAlign w:val="center"/>
          </w:tcPr>
          <w:p w14:paraId="592AF93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《大气污染物综合排放标准》</w:t>
            </w:r>
            <w:r>
              <w:rPr>
                <w:rFonts w:hint="default" w:ascii="Times New Roman" w:hAnsi="Times New Roman" w:eastAsia="宋体" w:cs="Times New Roman"/>
                <w:color w:val="FF0000"/>
                <w:sz w:val="21"/>
                <w:szCs w:val="21"/>
                <w:highlight w:val="none"/>
                <w:lang w:eastAsia="zh-CN"/>
              </w:rPr>
              <w:t>（</w:t>
            </w:r>
            <w:r>
              <w:rPr>
                <w:rFonts w:hint="default" w:ascii="Times New Roman" w:hAnsi="Times New Roman" w:eastAsia="宋体" w:cs="Times New Roman"/>
                <w:color w:val="FF0000"/>
                <w:sz w:val="21"/>
                <w:szCs w:val="21"/>
                <w:highlight w:val="none"/>
              </w:rPr>
              <w:t>GB16297-1996</w:t>
            </w:r>
            <w:r>
              <w:rPr>
                <w:rFonts w:hint="default" w:ascii="Times New Roman" w:hAnsi="Times New Roman" w:eastAsia="宋体" w:cs="Times New Roman"/>
                <w:color w:val="FF0000"/>
                <w:sz w:val="21"/>
                <w:szCs w:val="21"/>
                <w:highlight w:val="none"/>
                <w:lang w:eastAsia="zh-CN"/>
              </w:rPr>
              <w:t>）表2新污染源大气污染物排放限值中无组织排放监控浓度限值</w:t>
            </w:r>
          </w:p>
        </w:tc>
        <w:tc>
          <w:tcPr>
            <w:tcW w:w="139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01B2D3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r>
      <w:tr w14:paraId="52B39C1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74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BC602D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c>
          <w:tcPr>
            <w:tcW w:w="822" w:type="dxa"/>
            <w:gridSpan w:val="2"/>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DD154D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p>
        </w:tc>
        <w:tc>
          <w:tcPr>
            <w:tcW w:w="598" w:type="dxa"/>
            <w:tcBorders>
              <w:top w:val="single" w:color="auto" w:sz="4" w:space="0"/>
              <w:left w:val="single" w:color="auto" w:sz="4" w:space="0"/>
              <w:bottom w:val="single" w:color="auto" w:sz="4" w:space="0"/>
              <w:right w:val="single" w:color="auto" w:sz="4" w:space="0"/>
            </w:tcBorders>
            <w:shd w:val="clear" w:color="auto" w:fill="auto"/>
            <w:vAlign w:val="center"/>
          </w:tcPr>
          <w:p w14:paraId="3F8414F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噪声</w:t>
            </w:r>
          </w:p>
        </w:tc>
        <w:tc>
          <w:tcPr>
            <w:tcW w:w="1116" w:type="dxa"/>
            <w:tcBorders>
              <w:top w:val="single" w:color="auto" w:sz="4" w:space="0"/>
              <w:left w:val="single" w:color="auto" w:sz="4" w:space="0"/>
              <w:bottom w:val="single" w:color="auto" w:sz="4" w:space="0"/>
              <w:right w:val="single" w:color="auto" w:sz="4" w:space="0"/>
            </w:tcBorders>
            <w:shd w:val="clear" w:color="auto" w:fill="auto"/>
            <w:vAlign w:val="center"/>
          </w:tcPr>
          <w:p w14:paraId="0DDD0D4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厂界</w:t>
            </w:r>
          </w:p>
        </w:tc>
        <w:tc>
          <w:tcPr>
            <w:tcW w:w="3386" w:type="dxa"/>
            <w:tcBorders>
              <w:top w:val="single" w:color="auto" w:sz="4" w:space="0"/>
              <w:left w:val="single" w:color="auto" w:sz="4" w:space="0"/>
              <w:bottom w:val="single" w:color="auto" w:sz="4" w:space="0"/>
              <w:right w:val="single" w:color="auto" w:sz="4" w:space="0"/>
            </w:tcBorders>
            <w:shd w:val="clear" w:color="auto" w:fill="auto"/>
            <w:vAlign w:val="center"/>
          </w:tcPr>
          <w:p w14:paraId="374B5FC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等效噪声A声级</w:t>
            </w:r>
          </w:p>
        </w:tc>
        <w:tc>
          <w:tcPr>
            <w:tcW w:w="1392" w:type="dxa"/>
            <w:tcBorders>
              <w:top w:val="single" w:color="auto" w:sz="4" w:space="0"/>
              <w:left w:val="single" w:color="auto" w:sz="4" w:space="0"/>
              <w:bottom w:val="single" w:color="auto" w:sz="4" w:space="0"/>
              <w:right w:val="single" w:color="auto" w:sz="4" w:space="0"/>
            </w:tcBorders>
            <w:shd w:val="clear" w:color="auto" w:fill="auto"/>
            <w:vAlign w:val="center"/>
          </w:tcPr>
          <w:p w14:paraId="7D082F8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1次/季度</w:t>
            </w:r>
          </w:p>
        </w:tc>
        <w:tc>
          <w:tcPr>
            <w:tcW w:w="4382" w:type="dxa"/>
            <w:tcBorders>
              <w:top w:val="single" w:color="auto" w:sz="4" w:space="0"/>
              <w:left w:val="single" w:color="auto" w:sz="4" w:space="0"/>
              <w:bottom w:val="single" w:color="auto" w:sz="4" w:space="0"/>
              <w:right w:val="single" w:color="auto" w:sz="4" w:space="0"/>
            </w:tcBorders>
            <w:shd w:val="clear" w:color="auto" w:fill="auto"/>
            <w:vAlign w:val="center"/>
          </w:tcPr>
          <w:p w14:paraId="30F49D3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C000"/>
                <w:sz w:val="21"/>
                <w:szCs w:val="21"/>
                <w:highlight w:val="none"/>
              </w:rPr>
              <w:t>《工业企业厂界环境噪声排放标准》（GB12348-2008）</w:t>
            </w:r>
            <w:r>
              <w:rPr>
                <w:rFonts w:hint="default" w:ascii="Times New Roman" w:hAnsi="Times New Roman" w:eastAsia="宋体" w:cs="Times New Roman"/>
                <w:color w:val="FFC000"/>
                <w:sz w:val="21"/>
                <w:szCs w:val="21"/>
                <w:highlight w:val="none"/>
                <w:lang w:eastAsia="zh-CN"/>
              </w:rPr>
              <w:t>表</w:t>
            </w:r>
            <w:r>
              <w:rPr>
                <w:rFonts w:hint="default" w:ascii="Times New Roman" w:hAnsi="Times New Roman" w:eastAsia="宋体" w:cs="Times New Roman"/>
                <w:color w:val="FFC000"/>
                <w:sz w:val="21"/>
                <w:szCs w:val="21"/>
                <w:highlight w:val="none"/>
                <w:lang w:val="en-US" w:eastAsia="zh-CN"/>
              </w:rPr>
              <w:t>1工业企业厂界环境噪声排放限值中</w:t>
            </w:r>
            <w:r>
              <w:rPr>
                <w:rFonts w:hint="default" w:ascii="Times New Roman" w:hAnsi="Times New Roman" w:eastAsia="宋体" w:cs="Times New Roman"/>
                <w:color w:val="FFC000"/>
                <w:sz w:val="21"/>
                <w:szCs w:val="21"/>
                <w:highlight w:val="none"/>
                <w:lang w:val="en-US" w:eastAsia="zh-CN"/>
              </w:rPr>
              <w:t>1</w:t>
            </w:r>
            <w:r>
              <w:rPr>
                <w:rFonts w:hint="default" w:ascii="Times New Roman" w:hAnsi="Times New Roman" w:eastAsia="宋体" w:cs="Times New Roman"/>
                <w:color w:val="FFC000"/>
                <w:sz w:val="21"/>
                <w:szCs w:val="21"/>
                <w:highlight w:val="none"/>
                <w:lang w:val="en-US" w:eastAsia="zh-CN"/>
              </w:rPr>
              <w:t>类功能区排放限值</w:t>
            </w:r>
          </w:p>
        </w:tc>
        <w:tc>
          <w:tcPr>
            <w:tcW w:w="1390" w:type="dxa"/>
            <w:tcBorders>
              <w:top w:val="single" w:color="auto" w:sz="4" w:space="0"/>
              <w:left w:val="single" w:color="auto" w:sz="4" w:space="0"/>
              <w:bottom w:val="single" w:color="auto" w:sz="4" w:space="0"/>
              <w:right w:val="single" w:color="auto" w:sz="4" w:space="0"/>
            </w:tcBorders>
            <w:shd w:val="clear" w:color="auto" w:fill="auto"/>
            <w:vAlign w:val="center"/>
          </w:tcPr>
          <w:p w14:paraId="11788C8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委托有资质单位</w:t>
            </w:r>
          </w:p>
        </w:tc>
      </w:tr>
    </w:tbl>
    <w:p w14:paraId="171F1F39">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723" w:name="_Toc471227906"/>
      <w:bookmarkStart w:id="724" w:name="_Toc523322409"/>
      <w:bookmarkStart w:id="725" w:name="_Toc30691"/>
      <w:r>
        <w:rPr>
          <w:rFonts w:hint="default" w:ascii="Times New Roman" w:hAnsi="Times New Roman" w:eastAsia="宋体" w:cs="Times New Roman"/>
          <w:color w:val="auto"/>
          <w:highlight w:val="none"/>
        </w:rPr>
        <w:t>9.4环保设施“三同时”竣工验收</w:t>
      </w:r>
      <w:bookmarkEnd w:id="723"/>
      <w:bookmarkEnd w:id="724"/>
      <w:bookmarkEnd w:id="725"/>
    </w:p>
    <w:p w14:paraId="4CB548A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根据《建设项目环境保护管理条例</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建设项目环境保护验收管理办法》及《建设项目竣工环境保护验收技术指南污染影响类》的规定，本项目的环保设施“三同时”竣工验收内容见表9.4-1。</w:t>
      </w:r>
    </w:p>
    <w:p w14:paraId="05AD1722">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p>
    <w:p w14:paraId="56A899E2">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p>
    <w:p w14:paraId="2C0C02D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p>
    <w:p w14:paraId="3FCE159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sectPr>
          <w:pgSz w:w="11906" w:h="16838"/>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26" w:charSpace="0"/>
        </w:sectPr>
      </w:pPr>
    </w:p>
    <w:p w14:paraId="1351A941">
      <w:pPr>
        <w:pStyle w:val="7"/>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rPr>
      </w:pPr>
      <w:bookmarkStart w:id="726" w:name="_Hlk46587142"/>
      <w:r>
        <w:rPr>
          <w:rFonts w:hint="default" w:ascii="Times New Roman" w:hAnsi="Times New Roman" w:eastAsia="宋体" w:cs="Times New Roman"/>
          <w:color w:val="auto"/>
          <w:highlight w:val="none"/>
        </w:rPr>
        <w:t>表9.4-1项目“三同时”环保验收一览表</w:t>
      </w:r>
    </w:p>
    <w:tbl>
      <w:tblPr>
        <w:tblStyle w:val="40"/>
        <w:tblW w:w="1360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87"/>
        <w:gridCol w:w="989"/>
        <w:gridCol w:w="989"/>
        <w:gridCol w:w="989"/>
        <w:gridCol w:w="989"/>
        <w:gridCol w:w="989"/>
        <w:gridCol w:w="2848"/>
        <w:gridCol w:w="1191"/>
        <w:gridCol w:w="2646"/>
        <w:gridCol w:w="989"/>
      </w:tblGrid>
      <w:tr w14:paraId="2E7734C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dxa"/>
            <w:tcBorders>
              <w:top w:val="single" w:color="auto" w:sz="4" w:space="0"/>
              <w:left w:val="single" w:color="auto" w:sz="4" w:space="0"/>
              <w:bottom w:val="single" w:color="auto" w:sz="4" w:space="0"/>
              <w:right w:val="single" w:color="auto" w:sz="4" w:space="0"/>
            </w:tcBorders>
            <w:vAlign w:val="center"/>
          </w:tcPr>
          <w:p w14:paraId="6300416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类型</w:t>
            </w:r>
          </w:p>
        </w:tc>
        <w:tc>
          <w:tcPr>
            <w:tcW w:w="1012" w:type="dxa"/>
            <w:tcBorders>
              <w:top w:val="single" w:color="auto" w:sz="4" w:space="0"/>
              <w:left w:val="single" w:color="auto" w:sz="4" w:space="0"/>
              <w:bottom w:val="single" w:color="auto" w:sz="4" w:space="0"/>
              <w:right w:val="single" w:color="auto" w:sz="4" w:space="0"/>
            </w:tcBorders>
            <w:vAlign w:val="center"/>
          </w:tcPr>
          <w:p w14:paraId="0D76BD8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产污点</w:t>
            </w:r>
          </w:p>
        </w:tc>
        <w:tc>
          <w:tcPr>
            <w:tcW w:w="1012" w:type="dxa"/>
            <w:tcBorders>
              <w:top w:val="single" w:color="auto" w:sz="4" w:space="0"/>
              <w:left w:val="single" w:color="auto" w:sz="4" w:space="0"/>
              <w:bottom w:val="single" w:color="auto" w:sz="4" w:space="0"/>
              <w:right w:val="single" w:color="auto" w:sz="4" w:space="0"/>
            </w:tcBorders>
            <w:vAlign w:val="center"/>
          </w:tcPr>
          <w:p w14:paraId="38969B0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监测点位</w:t>
            </w:r>
          </w:p>
        </w:tc>
        <w:tc>
          <w:tcPr>
            <w:tcW w:w="1012" w:type="dxa"/>
            <w:tcBorders>
              <w:top w:val="single" w:color="auto" w:sz="4" w:space="0"/>
              <w:left w:val="single" w:color="auto" w:sz="4" w:space="0"/>
              <w:bottom w:val="single" w:color="auto" w:sz="4" w:space="0"/>
              <w:right w:val="single" w:color="auto" w:sz="4" w:space="0"/>
            </w:tcBorders>
            <w:vAlign w:val="center"/>
          </w:tcPr>
          <w:p w14:paraId="26AD3E1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1012" w:type="dxa"/>
            <w:tcBorders>
              <w:top w:val="single" w:color="auto" w:sz="4" w:space="0"/>
              <w:left w:val="single" w:color="auto" w:sz="4" w:space="0"/>
              <w:bottom w:val="single" w:color="auto" w:sz="4" w:space="0"/>
              <w:right w:val="single" w:color="auto" w:sz="4" w:space="0"/>
            </w:tcBorders>
            <w:vAlign w:val="center"/>
          </w:tcPr>
          <w:p w14:paraId="1975EF5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监测频次</w:t>
            </w:r>
          </w:p>
        </w:tc>
        <w:tc>
          <w:tcPr>
            <w:tcW w:w="1012" w:type="dxa"/>
            <w:tcBorders>
              <w:top w:val="single" w:color="auto" w:sz="4" w:space="0"/>
              <w:left w:val="single" w:color="auto" w:sz="4" w:space="0"/>
              <w:bottom w:val="single" w:color="auto" w:sz="4" w:space="0"/>
              <w:right w:val="single" w:color="auto" w:sz="4" w:space="0"/>
            </w:tcBorders>
            <w:vAlign w:val="center"/>
          </w:tcPr>
          <w:p w14:paraId="1DBE811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监测点位</w:t>
            </w:r>
          </w:p>
        </w:tc>
        <w:tc>
          <w:tcPr>
            <w:tcW w:w="2926" w:type="dxa"/>
            <w:tcBorders>
              <w:top w:val="single" w:color="auto" w:sz="4" w:space="0"/>
              <w:left w:val="single" w:color="auto" w:sz="4" w:space="0"/>
              <w:bottom w:val="single" w:color="auto" w:sz="4" w:space="0"/>
              <w:right w:val="single" w:color="auto" w:sz="4" w:space="0"/>
            </w:tcBorders>
            <w:vAlign w:val="center"/>
          </w:tcPr>
          <w:p w14:paraId="74F6528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治理措施</w:t>
            </w:r>
          </w:p>
        </w:tc>
        <w:tc>
          <w:tcPr>
            <w:tcW w:w="1220" w:type="dxa"/>
            <w:tcBorders>
              <w:top w:val="single" w:color="auto" w:sz="4" w:space="0"/>
              <w:left w:val="single" w:color="auto" w:sz="4" w:space="0"/>
              <w:bottom w:val="single" w:color="auto" w:sz="4" w:space="0"/>
              <w:right w:val="single" w:color="auto" w:sz="4" w:space="0"/>
            </w:tcBorders>
            <w:vAlign w:val="center"/>
          </w:tcPr>
          <w:p w14:paraId="52BC173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去除效率</w:t>
            </w:r>
          </w:p>
        </w:tc>
        <w:tc>
          <w:tcPr>
            <w:tcW w:w="2718" w:type="dxa"/>
            <w:tcBorders>
              <w:top w:val="single" w:color="auto" w:sz="4" w:space="0"/>
              <w:left w:val="single" w:color="auto" w:sz="4" w:space="0"/>
              <w:bottom w:val="single" w:color="auto" w:sz="4" w:space="0"/>
              <w:right w:val="single" w:color="auto" w:sz="4" w:space="0"/>
            </w:tcBorders>
            <w:vAlign w:val="center"/>
          </w:tcPr>
          <w:p w14:paraId="19FCFE4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治理效果</w:t>
            </w:r>
          </w:p>
        </w:tc>
        <w:tc>
          <w:tcPr>
            <w:tcW w:w="1012" w:type="dxa"/>
            <w:tcBorders>
              <w:top w:val="single" w:color="auto" w:sz="4" w:space="0"/>
              <w:left w:val="single" w:color="auto" w:sz="4" w:space="0"/>
              <w:bottom w:val="single" w:color="auto" w:sz="4" w:space="0"/>
              <w:right w:val="single" w:color="auto" w:sz="4" w:space="0"/>
            </w:tcBorders>
            <w:vAlign w:val="center"/>
          </w:tcPr>
          <w:p w14:paraId="169489D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完成时间</w:t>
            </w:r>
          </w:p>
        </w:tc>
      </w:tr>
      <w:tr w14:paraId="5009C3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dxa"/>
            <w:vMerge w:val="restart"/>
            <w:tcBorders>
              <w:top w:val="single" w:color="auto" w:sz="4" w:space="0"/>
              <w:left w:val="single" w:color="auto" w:sz="4" w:space="0"/>
              <w:bottom w:val="single" w:color="auto" w:sz="4" w:space="0"/>
              <w:right w:val="single" w:color="auto" w:sz="4" w:space="0"/>
            </w:tcBorders>
            <w:vAlign w:val="center"/>
          </w:tcPr>
          <w:p w14:paraId="3864653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1012" w:type="dxa"/>
            <w:tcBorders>
              <w:top w:val="single" w:color="auto" w:sz="4" w:space="0"/>
              <w:left w:val="single" w:color="auto" w:sz="4" w:space="0"/>
              <w:bottom w:val="single" w:color="auto" w:sz="4" w:space="0"/>
              <w:right w:val="single" w:color="auto" w:sz="4" w:space="0"/>
            </w:tcBorders>
            <w:vAlign w:val="center"/>
          </w:tcPr>
          <w:p w14:paraId="6B34050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牛舍及运动场</w:t>
            </w:r>
          </w:p>
        </w:tc>
        <w:tc>
          <w:tcPr>
            <w:tcW w:w="1012" w:type="dxa"/>
            <w:vMerge w:val="restart"/>
            <w:tcBorders>
              <w:top w:val="single" w:color="auto" w:sz="4" w:space="0"/>
              <w:left w:val="single" w:color="auto" w:sz="4" w:space="0"/>
              <w:bottom w:val="single" w:color="auto" w:sz="4" w:space="0"/>
              <w:right w:val="single" w:color="auto" w:sz="4" w:space="0"/>
            </w:tcBorders>
            <w:vAlign w:val="center"/>
          </w:tcPr>
          <w:p w14:paraId="3B78489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厂界四周</w:t>
            </w:r>
          </w:p>
        </w:tc>
        <w:tc>
          <w:tcPr>
            <w:tcW w:w="1012" w:type="dxa"/>
            <w:vMerge w:val="restart"/>
            <w:tcBorders>
              <w:top w:val="single" w:color="auto" w:sz="4" w:space="0"/>
              <w:left w:val="single" w:color="auto" w:sz="4" w:space="0"/>
              <w:bottom w:val="single" w:color="auto" w:sz="4" w:space="0"/>
              <w:right w:val="single" w:color="auto" w:sz="4" w:space="0"/>
            </w:tcBorders>
            <w:vAlign w:val="center"/>
          </w:tcPr>
          <w:p w14:paraId="04E1868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w:t>
            </w:r>
          </w:p>
          <w:p w14:paraId="2FAE09B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硫化氢</w:t>
            </w:r>
          </w:p>
          <w:p w14:paraId="09B3DAA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臭气浓度</w:t>
            </w:r>
          </w:p>
        </w:tc>
        <w:tc>
          <w:tcPr>
            <w:tcW w:w="1012" w:type="dxa"/>
            <w:vMerge w:val="restart"/>
            <w:tcBorders>
              <w:top w:val="single" w:color="auto" w:sz="4" w:space="0"/>
              <w:left w:val="single" w:color="auto" w:sz="4" w:space="0"/>
              <w:bottom w:val="single" w:color="auto" w:sz="4" w:space="0"/>
              <w:right w:val="single" w:color="auto" w:sz="4" w:space="0"/>
            </w:tcBorders>
            <w:vAlign w:val="center"/>
          </w:tcPr>
          <w:p w14:paraId="1805F67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eastAsia="zh-CN"/>
              </w:rPr>
              <w:t>次</w:t>
            </w:r>
            <w:r>
              <w:rPr>
                <w:rFonts w:hint="default" w:ascii="Times New Roman" w:hAnsi="Times New Roman" w:eastAsia="宋体" w:cs="Times New Roman"/>
                <w:color w:val="auto"/>
                <w:sz w:val="21"/>
                <w:szCs w:val="21"/>
                <w:highlight w:val="none"/>
                <w:lang w:val="en-US" w:eastAsia="zh-CN"/>
              </w:rPr>
              <w:t>/天，共监测2d</w:t>
            </w:r>
          </w:p>
        </w:tc>
        <w:tc>
          <w:tcPr>
            <w:tcW w:w="1012" w:type="dxa"/>
            <w:vMerge w:val="restart"/>
            <w:tcBorders>
              <w:top w:val="single" w:color="auto" w:sz="4" w:space="0"/>
              <w:left w:val="single" w:color="auto" w:sz="4" w:space="0"/>
              <w:bottom w:val="single" w:color="auto" w:sz="4" w:space="0"/>
              <w:right w:val="single" w:color="auto" w:sz="4" w:space="0"/>
            </w:tcBorders>
            <w:vAlign w:val="center"/>
          </w:tcPr>
          <w:p w14:paraId="755A57B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上风向1个点位、下风向3个点位</w:t>
            </w:r>
          </w:p>
        </w:tc>
        <w:tc>
          <w:tcPr>
            <w:tcW w:w="2926" w:type="dxa"/>
            <w:tcBorders>
              <w:top w:val="single" w:color="auto" w:sz="4" w:space="0"/>
              <w:left w:val="single" w:color="auto" w:sz="4" w:space="0"/>
              <w:bottom w:val="single" w:color="auto" w:sz="4" w:space="0"/>
              <w:right w:val="single" w:color="auto" w:sz="4" w:space="0"/>
            </w:tcBorders>
            <w:vAlign w:val="center"/>
          </w:tcPr>
          <w:p w14:paraId="0B0B11D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通过日粮设计，</w:t>
            </w:r>
            <w:r>
              <w:rPr>
                <w:rFonts w:hint="default" w:ascii="Times New Roman" w:hAnsi="Times New Roman" w:eastAsia="宋体" w:cs="Times New Roman"/>
                <w:color w:val="auto"/>
                <w:sz w:val="21"/>
                <w:szCs w:val="21"/>
                <w:highlight w:val="none"/>
              </w:rPr>
              <w:t>饲料添加EM复合微生物制剂，</w:t>
            </w:r>
            <w:r>
              <w:rPr>
                <w:rFonts w:hint="default" w:ascii="Times New Roman" w:hAnsi="Times New Roman" w:eastAsia="宋体" w:cs="Times New Roman"/>
                <w:color w:val="auto"/>
                <w:kern w:val="0"/>
                <w:sz w:val="21"/>
                <w:szCs w:val="21"/>
                <w:highlight w:val="none"/>
              </w:rPr>
              <w:t>牛舍采用及时清理粪尿，加强牛舍通风（除冬季封闭保暖外，均为敞开式通风）</w:t>
            </w:r>
          </w:p>
        </w:tc>
        <w:tc>
          <w:tcPr>
            <w:tcW w:w="1220" w:type="dxa"/>
            <w:tcBorders>
              <w:top w:val="single" w:color="auto" w:sz="4" w:space="0"/>
              <w:left w:val="single" w:color="auto" w:sz="4" w:space="0"/>
              <w:bottom w:val="single" w:color="auto" w:sz="4" w:space="0"/>
              <w:right w:val="single" w:color="auto" w:sz="4" w:space="0"/>
            </w:tcBorders>
            <w:vAlign w:val="center"/>
          </w:tcPr>
          <w:p w14:paraId="370A986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FF0000"/>
                <w:sz w:val="21"/>
                <w:szCs w:val="21"/>
                <w:highlight w:val="none"/>
                <w:lang w:val="en-US" w:eastAsia="zh-CN"/>
              </w:rPr>
              <w:t>达标排放</w:t>
            </w:r>
          </w:p>
        </w:tc>
        <w:tc>
          <w:tcPr>
            <w:tcW w:w="2718" w:type="dxa"/>
            <w:vMerge w:val="restart"/>
            <w:tcBorders>
              <w:top w:val="single" w:color="auto" w:sz="4" w:space="0"/>
              <w:left w:val="single" w:color="auto" w:sz="4" w:space="0"/>
              <w:bottom w:val="single" w:color="auto" w:sz="4" w:space="0"/>
              <w:right w:val="single" w:color="auto" w:sz="4" w:space="0"/>
            </w:tcBorders>
            <w:vAlign w:val="center"/>
          </w:tcPr>
          <w:p w14:paraId="4DD710C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氨和硫化氢执行</w:t>
            </w:r>
            <w:r>
              <w:rPr>
                <w:rFonts w:hint="default" w:ascii="Times New Roman" w:hAnsi="Times New Roman" w:eastAsia="宋体" w:cs="Times New Roman"/>
                <w:color w:val="auto"/>
                <w:sz w:val="21"/>
                <w:szCs w:val="21"/>
                <w:highlight w:val="none"/>
              </w:rPr>
              <w:t>《恶臭污染物排放标准》（GB14554-93）表1恶臭污染物厂界标准值中“二级、新扩改建”标准要求；</w:t>
            </w:r>
          </w:p>
          <w:p w14:paraId="68D64C8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臭气浓度执行</w:t>
            </w:r>
            <w:r>
              <w:rPr>
                <w:rFonts w:hint="default" w:ascii="Times New Roman" w:hAnsi="Times New Roman" w:eastAsia="宋体" w:cs="Times New Roman"/>
                <w:color w:val="auto"/>
                <w:sz w:val="21"/>
                <w:szCs w:val="21"/>
                <w:highlight w:val="none"/>
              </w:rPr>
              <w:t>《畜禽养殖业污染物排放标准》（GB18596-2001）表7集约化畜禽养殖业恶臭污染物排放标准</w:t>
            </w:r>
          </w:p>
        </w:tc>
        <w:tc>
          <w:tcPr>
            <w:tcW w:w="1012" w:type="dxa"/>
            <w:vMerge w:val="restart"/>
            <w:tcBorders>
              <w:top w:val="single" w:color="auto" w:sz="4" w:space="0"/>
              <w:left w:val="single" w:color="auto" w:sz="4" w:space="0"/>
              <w:bottom w:val="single" w:color="auto" w:sz="4" w:space="0"/>
              <w:right w:val="single" w:color="auto" w:sz="4" w:space="0"/>
            </w:tcBorders>
            <w:vAlign w:val="center"/>
          </w:tcPr>
          <w:p w14:paraId="122340A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“三同时”</w:t>
            </w:r>
          </w:p>
        </w:tc>
      </w:tr>
      <w:tr w14:paraId="6B8E0CB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dxa"/>
            <w:vMerge w:val="continue"/>
            <w:tcBorders>
              <w:top w:val="single" w:color="auto" w:sz="4" w:space="0"/>
              <w:left w:val="single" w:color="auto" w:sz="4" w:space="0"/>
              <w:bottom w:val="single" w:color="auto" w:sz="4" w:space="0"/>
              <w:right w:val="single" w:color="auto" w:sz="4" w:space="0"/>
            </w:tcBorders>
            <w:vAlign w:val="center"/>
          </w:tcPr>
          <w:p w14:paraId="5BA01F4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0F900CA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粪污处理池</w:t>
            </w:r>
          </w:p>
        </w:tc>
        <w:tc>
          <w:tcPr>
            <w:tcW w:w="1012" w:type="dxa"/>
            <w:vMerge w:val="continue"/>
            <w:tcBorders>
              <w:top w:val="single" w:color="auto" w:sz="4" w:space="0"/>
              <w:left w:val="single" w:color="auto" w:sz="4" w:space="0"/>
              <w:bottom w:val="single" w:color="auto" w:sz="4" w:space="0"/>
              <w:right w:val="single" w:color="auto" w:sz="4" w:space="0"/>
            </w:tcBorders>
            <w:vAlign w:val="center"/>
          </w:tcPr>
          <w:p w14:paraId="19447BE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012" w:type="dxa"/>
            <w:vMerge w:val="continue"/>
            <w:tcBorders>
              <w:top w:val="single" w:color="auto" w:sz="4" w:space="0"/>
              <w:left w:val="single" w:color="auto" w:sz="4" w:space="0"/>
              <w:bottom w:val="single" w:color="auto" w:sz="4" w:space="0"/>
              <w:right w:val="single" w:color="auto" w:sz="4" w:space="0"/>
            </w:tcBorders>
            <w:vAlign w:val="center"/>
          </w:tcPr>
          <w:p w14:paraId="3194822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012" w:type="dxa"/>
            <w:vMerge w:val="continue"/>
            <w:tcBorders>
              <w:top w:val="single" w:color="auto" w:sz="4" w:space="0"/>
              <w:left w:val="single" w:color="auto" w:sz="4" w:space="0"/>
              <w:bottom w:val="single" w:color="auto" w:sz="4" w:space="0"/>
              <w:right w:val="single" w:color="auto" w:sz="4" w:space="0"/>
            </w:tcBorders>
            <w:vAlign w:val="center"/>
          </w:tcPr>
          <w:p w14:paraId="2686D16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012" w:type="dxa"/>
            <w:vMerge w:val="continue"/>
            <w:tcBorders>
              <w:top w:val="single" w:color="auto" w:sz="4" w:space="0"/>
              <w:left w:val="single" w:color="auto" w:sz="4" w:space="0"/>
              <w:bottom w:val="single" w:color="auto" w:sz="4" w:space="0"/>
              <w:right w:val="single" w:color="auto" w:sz="4" w:space="0"/>
            </w:tcBorders>
            <w:vAlign w:val="center"/>
          </w:tcPr>
          <w:p w14:paraId="40EC55F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2926" w:type="dxa"/>
            <w:tcBorders>
              <w:top w:val="single" w:color="auto" w:sz="4" w:space="0"/>
              <w:left w:val="single" w:color="auto" w:sz="4" w:space="0"/>
              <w:bottom w:val="single" w:color="auto" w:sz="4" w:space="0"/>
              <w:right w:val="single" w:color="auto" w:sz="4" w:space="0"/>
            </w:tcBorders>
            <w:vAlign w:val="center"/>
          </w:tcPr>
          <w:p w14:paraId="45338CF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牛粪便</w:t>
            </w:r>
            <w:r>
              <w:rPr>
                <w:rFonts w:hint="default" w:ascii="Times New Roman" w:hAnsi="Times New Roman" w:eastAsia="宋体" w:cs="Times New Roman"/>
                <w:color w:val="auto"/>
                <w:sz w:val="21"/>
                <w:szCs w:val="21"/>
                <w:highlight w:val="none"/>
                <w:lang w:val="en-US" w:eastAsia="zh-CN"/>
              </w:rPr>
              <w:t>清运至</w:t>
            </w:r>
            <w:r>
              <w:rPr>
                <w:rFonts w:hint="default" w:ascii="Times New Roman" w:hAnsi="Times New Roman" w:eastAsia="宋体" w:cs="Times New Roman"/>
                <w:color w:val="auto"/>
                <w:sz w:val="21"/>
                <w:szCs w:val="21"/>
                <w:highlight w:val="none"/>
                <w:lang w:eastAsia="zh-CN"/>
              </w:rPr>
              <w:t>粪污处理池储存并堆肥，</w:t>
            </w:r>
            <w:r>
              <w:rPr>
                <w:rFonts w:hint="default" w:ascii="Times New Roman" w:hAnsi="Times New Roman" w:eastAsia="宋体" w:cs="Times New Roman"/>
                <w:color w:val="auto"/>
                <w:sz w:val="21"/>
                <w:szCs w:val="21"/>
                <w:highlight w:val="none"/>
                <w:lang w:val="en-US" w:eastAsia="zh-CN"/>
              </w:rPr>
              <w:t>采取</w:t>
            </w:r>
            <w:r>
              <w:rPr>
                <w:rFonts w:hint="default" w:ascii="Times New Roman" w:hAnsi="Times New Roman" w:eastAsia="宋体" w:cs="Times New Roman"/>
                <w:color w:val="auto"/>
                <w:kern w:val="0"/>
                <w:sz w:val="21"/>
                <w:szCs w:val="21"/>
                <w:highlight w:val="none"/>
              </w:rPr>
              <w:t>定期喷洒</w:t>
            </w:r>
            <w:r>
              <w:rPr>
                <w:rFonts w:hint="default" w:ascii="Times New Roman" w:hAnsi="Times New Roman" w:eastAsia="宋体" w:cs="Times New Roman"/>
                <w:color w:val="auto"/>
                <w:sz w:val="21"/>
                <w:szCs w:val="21"/>
                <w:highlight w:val="none"/>
              </w:rPr>
              <w:t>减少氨释放和保氮的复合菌剂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同时场区内加强绿化</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kern w:val="0"/>
                <w:sz w:val="21"/>
                <w:szCs w:val="21"/>
                <w:highlight w:val="none"/>
              </w:rPr>
              <w:t>可减少臭气的产生</w:t>
            </w:r>
          </w:p>
        </w:tc>
        <w:tc>
          <w:tcPr>
            <w:tcW w:w="1220" w:type="dxa"/>
            <w:tcBorders>
              <w:top w:val="single" w:color="auto" w:sz="4" w:space="0"/>
              <w:left w:val="single" w:color="auto" w:sz="4" w:space="0"/>
              <w:bottom w:val="single" w:color="auto" w:sz="4" w:space="0"/>
              <w:right w:val="single" w:color="auto" w:sz="4" w:space="0"/>
            </w:tcBorders>
            <w:vAlign w:val="center"/>
          </w:tcPr>
          <w:p w14:paraId="045CACF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Cs/>
                <w:color w:val="FF0000"/>
                <w:sz w:val="21"/>
                <w:szCs w:val="21"/>
                <w:highlight w:val="none"/>
                <w:lang w:val="en-US" w:eastAsia="zh-CN"/>
              </w:rPr>
              <w:t>达标排放</w:t>
            </w:r>
          </w:p>
        </w:tc>
        <w:tc>
          <w:tcPr>
            <w:tcW w:w="2718" w:type="dxa"/>
            <w:vMerge w:val="continue"/>
            <w:tcBorders>
              <w:top w:val="single" w:color="auto" w:sz="4" w:space="0"/>
              <w:left w:val="single" w:color="auto" w:sz="4" w:space="0"/>
              <w:bottom w:val="single" w:color="auto" w:sz="4" w:space="0"/>
              <w:right w:val="single" w:color="auto" w:sz="4" w:space="0"/>
            </w:tcBorders>
            <w:vAlign w:val="center"/>
          </w:tcPr>
          <w:p w14:paraId="3D96AF0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012" w:type="dxa"/>
            <w:vMerge w:val="continue"/>
            <w:tcBorders>
              <w:top w:val="single" w:color="auto" w:sz="4" w:space="0"/>
              <w:left w:val="single" w:color="auto" w:sz="4" w:space="0"/>
              <w:bottom w:val="single" w:color="auto" w:sz="4" w:space="0"/>
              <w:right w:val="single" w:color="auto" w:sz="4" w:space="0"/>
            </w:tcBorders>
            <w:vAlign w:val="center"/>
          </w:tcPr>
          <w:p w14:paraId="316EA46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r>
      <w:tr w14:paraId="19CE074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dxa"/>
            <w:vMerge w:val="continue"/>
            <w:tcBorders>
              <w:top w:val="single" w:color="auto" w:sz="4" w:space="0"/>
              <w:left w:val="single" w:color="auto" w:sz="4" w:space="0"/>
              <w:bottom w:val="single" w:color="auto" w:sz="4" w:space="0"/>
              <w:right w:val="single" w:color="auto" w:sz="4" w:space="0"/>
            </w:tcBorders>
            <w:vAlign w:val="center"/>
          </w:tcPr>
          <w:p w14:paraId="0BB2F33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4D4C275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TMR车间</w:t>
            </w:r>
          </w:p>
        </w:tc>
        <w:tc>
          <w:tcPr>
            <w:tcW w:w="1012" w:type="dxa"/>
            <w:vMerge w:val="continue"/>
            <w:tcBorders>
              <w:top w:val="single" w:color="auto" w:sz="4" w:space="0"/>
              <w:left w:val="single" w:color="auto" w:sz="4" w:space="0"/>
              <w:bottom w:val="single" w:color="auto" w:sz="4" w:space="0"/>
              <w:right w:val="single" w:color="auto" w:sz="4" w:space="0"/>
            </w:tcBorders>
            <w:vAlign w:val="center"/>
          </w:tcPr>
          <w:p w14:paraId="64B7A05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2FE88DE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1012" w:type="dxa"/>
            <w:vMerge w:val="continue"/>
            <w:tcBorders>
              <w:top w:val="single" w:color="auto" w:sz="4" w:space="0"/>
              <w:left w:val="single" w:color="auto" w:sz="4" w:space="0"/>
              <w:bottom w:val="single" w:color="auto" w:sz="4" w:space="0"/>
              <w:right w:val="single" w:color="auto" w:sz="4" w:space="0"/>
            </w:tcBorders>
            <w:vAlign w:val="center"/>
          </w:tcPr>
          <w:p w14:paraId="7B5E813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012" w:type="dxa"/>
            <w:vMerge w:val="continue"/>
            <w:tcBorders>
              <w:top w:val="single" w:color="auto" w:sz="4" w:space="0"/>
              <w:left w:val="single" w:color="auto" w:sz="4" w:space="0"/>
              <w:bottom w:val="single" w:color="auto" w:sz="4" w:space="0"/>
              <w:right w:val="single" w:color="auto" w:sz="4" w:space="0"/>
            </w:tcBorders>
            <w:vAlign w:val="center"/>
          </w:tcPr>
          <w:p w14:paraId="38ACEC4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2926" w:type="dxa"/>
            <w:tcBorders>
              <w:top w:val="single" w:color="auto" w:sz="4" w:space="0"/>
              <w:left w:val="single" w:color="auto" w:sz="4" w:space="0"/>
              <w:bottom w:val="single" w:color="auto" w:sz="4" w:space="0"/>
              <w:right w:val="single" w:color="auto" w:sz="4" w:space="0"/>
            </w:tcBorders>
            <w:vAlign w:val="center"/>
          </w:tcPr>
          <w:p w14:paraId="67CD2DC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全封闭TMR车间</w:t>
            </w:r>
          </w:p>
        </w:tc>
        <w:tc>
          <w:tcPr>
            <w:tcW w:w="1220" w:type="dxa"/>
            <w:tcBorders>
              <w:top w:val="single" w:color="auto" w:sz="4" w:space="0"/>
              <w:left w:val="single" w:color="auto" w:sz="4" w:space="0"/>
              <w:bottom w:val="single" w:color="auto" w:sz="4" w:space="0"/>
              <w:right w:val="single" w:color="auto" w:sz="4" w:space="0"/>
            </w:tcBorders>
            <w:vAlign w:val="center"/>
          </w:tcPr>
          <w:p w14:paraId="4B6C09F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FF0000"/>
                <w:sz w:val="21"/>
                <w:szCs w:val="21"/>
                <w:highlight w:val="none"/>
                <w:lang w:val="en-US" w:eastAsia="zh-CN"/>
              </w:rPr>
              <w:t>达标排放</w:t>
            </w:r>
          </w:p>
        </w:tc>
        <w:tc>
          <w:tcPr>
            <w:tcW w:w="2718" w:type="dxa"/>
            <w:tcBorders>
              <w:top w:val="single" w:color="auto" w:sz="4" w:space="0"/>
              <w:left w:val="single" w:color="auto" w:sz="4" w:space="0"/>
              <w:bottom w:val="single" w:color="auto" w:sz="4" w:space="0"/>
              <w:right w:val="single" w:color="auto" w:sz="4" w:space="0"/>
            </w:tcBorders>
            <w:vAlign w:val="center"/>
          </w:tcPr>
          <w:p w14:paraId="107807A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《大气污染物综合排放标准》（GB16297-1996）表2新污染源大气污染物排放限值中无组织排放监控浓度限值</w:t>
            </w:r>
          </w:p>
        </w:tc>
        <w:tc>
          <w:tcPr>
            <w:tcW w:w="1012" w:type="dxa"/>
            <w:tcBorders>
              <w:top w:val="single" w:color="auto" w:sz="4" w:space="0"/>
              <w:left w:val="single" w:color="auto" w:sz="4" w:space="0"/>
              <w:bottom w:val="single" w:color="auto" w:sz="4" w:space="0"/>
              <w:right w:val="single" w:color="auto" w:sz="4" w:space="0"/>
            </w:tcBorders>
            <w:vAlign w:val="center"/>
          </w:tcPr>
          <w:p w14:paraId="5749695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“三同时”</w:t>
            </w:r>
          </w:p>
        </w:tc>
      </w:tr>
      <w:tr w14:paraId="2D642F9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dxa"/>
            <w:vMerge w:val="restart"/>
            <w:tcBorders>
              <w:top w:val="single" w:color="auto" w:sz="4" w:space="0"/>
              <w:left w:val="single" w:color="auto" w:sz="4" w:space="0"/>
              <w:bottom w:val="single" w:color="auto" w:sz="4" w:space="0"/>
              <w:right w:val="single" w:color="auto" w:sz="4" w:space="0"/>
            </w:tcBorders>
            <w:vAlign w:val="center"/>
          </w:tcPr>
          <w:p w14:paraId="7E29FB9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w:t>
            </w:r>
          </w:p>
        </w:tc>
        <w:tc>
          <w:tcPr>
            <w:tcW w:w="1012" w:type="dxa"/>
            <w:tcBorders>
              <w:top w:val="single" w:color="auto" w:sz="4" w:space="0"/>
              <w:left w:val="single" w:color="auto" w:sz="4" w:space="0"/>
              <w:bottom w:val="single" w:color="auto" w:sz="4" w:space="0"/>
              <w:right w:val="single" w:color="auto" w:sz="4" w:space="0"/>
            </w:tcBorders>
            <w:vAlign w:val="center"/>
          </w:tcPr>
          <w:p w14:paraId="4406184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生活污水</w:t>
            </w:r>
          </w:p>
        </w:tc>
        <w:tc>
          <w:tcPr>
            <w:tcW w:w="1012" w:type="dxa"/>
            <w:tcBorders>
              <w:top w:val="single" w:color="auto" w:sz="4" w:space="0"/>
              <w:left w:val="single" w:color="auto" w:sz="4" w:space="0"/>
              <w:bottom w:val="single" w:color="auto" w:sz="4" w:space="0"/>
              <w:right w:val="single" w:color="auto" w:sz="4" w:space="0"/>
            </w:tcBorders>
            <w:vAlign w:val="center"/>
          </w:tcPr>
          <w:p w14:paraId="51DDC70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7CCACE2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r>
              <w:rPr>
                <w:rFonts w:hint="default" w:ascii="Times New Roman" w:hAnsi="Times New Roman" w:eastAsia="宋体" w:cs="Times New Roman"/>
                <w:color w:val="auto"/>
                <w:sz w:val="21"/>
                <w:szCs w:val="21"/>
                <w:highlight w:val="none"/>
                <w:vertAlign w:val="subscript"/>
              </w:rPr>
              <w:t>Cr</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BOD</w:t>
            </w:r>
            <w:r>
              <w:rPr>
                <w:rFonts w:hint="default" w:ascii="Times New Roman" w:hAnsi="Times New Roman" w:eastAsia="宋体" w:cs="Times New Roman"/>
                <w:color w:val="auto"/>
                <w:sz w:val="21"/>
                <w:szCs w:val="21"/>
                <w:highlight w:val="none"/>
                <w:vertAlign w:val="subscript"/>
                <w:lang w:val="en-US" w:eastAsia="zh-CN"/>
              </w:rPr>
              <w:t>5</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SS、NH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-N</w:t>
            </w:r>
          </w:p>
        </w:tc>
        <w:tc>
          <w:tcPr>
            <w:tcW w:w="1012" w:type="dxa"/>
            <w:tcBorders>
              <w:top w:val="single" w:color="auto" w:sz="4" w:space="0"/>
              <w:left w:val="single" w:color="auto" w:sz="4" w:space="0"/>
              <w:bottom w:val="single" w:color="auto" w:sz="4" w:space="0"/>
              <w:right w:val="single" w:color="auto" w:sz="4" w:space="0"/>
            </w:tcBorders>
            <w:vAlign w:val="center"/>
          </w:tcPr>
          <w:p w14:paraId="7551629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43B62B4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926" w:type="dxa"/>
            <w:tcBorders>
              <w:top w:val="single" w:color="auto" w:sz="4" w:space="0"/>
              <w:left w:val="single" w:color="auto" w:sz="4" w:space="0"/>
              <w:bottom w:val="single" w:color="auto" w:sz="4" w:space="0"/>
              <w:right w:val="single" w:color="auto" w:sz="4" w:space="0"/>
            </w:tcBorders>
            <w:vAlign w:val="center"/>
          </w:tcPr>
          <w:p w14:paraId="0A2C208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生活污水</w:t>
            </w:r>
            <w:r>
              <w:rPr>
                <w:rFonts w:hint="default" w:ascii="Times New Roman" w:hAnsi="Times New Roman" w:eastAsia="宋体" w:cs="Times New Roman"/>
                <w:color w:val="auto"/>
                <w:sz w:val="21"/>
                <w:szCs w:val="21"/>
                <w:highlight w:val="none"/>
                <w:lang w:eastAsia="zh-CN"/>
              </w:rPr>
              <w:t>经化粪池处理</w:t>
            </w:r>
            <w:r>
              <w:rPr>
                <w:rFonts w:hint="default" w:ascii="Times New Roman" w:hAnsi="Times New Roman" w:eastAsia="宋体" w:cs="Times New Roman"/>
                <w:color w:val="auto"/>
                <w:sz w:val="21"/>
                <w:szCs w:val="21"/>
                <w:highlight w:val="none"/>
              </w:rPr>
              <w:t>后，</w:t>
            </w:r>
            <w:r>
              <w:rPr>
                <w:rFonts w:hint="default" w:ascii="Times New Roman" w:hAnsi="Times New Roman" w:eastAsia="宋体" w:cs="Times New Roman"/>
                <w:color w:val="auto"/>
                <w:sz w:val="21"/>
                <w:szCs w:val="21"/>
                <w:highlight w:val="none"/>
                <w:lang w:eastAsia="zh-CN"/>
              </w:rPr>
              <w:t>定期由当地环卫部门清运处置</w:t>
            </w:r>
            <w:r>
              <w:rPr>
                <w:rFonts w:hint="default" w:ascii="Times New Roman" w:hAnsi="Times New Roman" w:eastAsia="宋体" w:cs="Times New Roman"/>
                <w:color w:val="auto"/>
                <w:sz w:val="21"/>
                <w:szCs w:val="21"/>
                <w:highlight w:val="none"/>
              </w:rPr>
              <w:t>。</w:t>
            </w:r>
          </w:p>
        </w:tc>
        <w:tc>
          <w:tcPr>
            <w:tcW w:w="1220" w:type="dxa"/>
            <w:tcBorders>
              <w:top w:val="single" w:color="auto" w:sz="4" w:space="0"/>
              <w:left w:val="single" w:color="auto" w:sz="4" w:space="0"/>
              <w:bottom w:val="single" w:color="auto" w:sz="4" w:space="0"/>
              <w:right w:val="single" w:color="auto" w:sz="4" w:space="0"/>
            </w:tcBorders>
            <w:vAlign w:val="center"/>
          </w:tcPr>
          <w:p w14:paraId="5CA688F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718" w:type="dxa"/>
            <w:tcBorders>
              <w:top w:val="single" w:color="auto" w:sz="4" w:space="0"/>
              <w:left w:val="single" w:color="auto" w:sz="4" w:space="0"/>
              <w:bottom w:val="single" w:color="auto" w:sz="4" w:space="0"/>
              <w:right w:val="single" w:color="auto" w:sz="4" w:space="0"/>
            </w:tcBorders>
            <w:vAlign w:val="center"/>
          </w:tcPr>
          <w:p w14:paraId="7A50CFA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30B3EBA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“三同时”</w:t>
            </w:r>
          </w:p>
        </w:tc>
      </w:tr>
      <w:tr w14:paraId="50851E6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dxa"/>
            <w:vMerge w:val="continue"/>
            <w:tcBorders>
              <w:top w:val="single" w:color="auto" w:sz="4" w:space="0"/>
              <w:left w:val="single" w:color="auto" w:sz="4" w:space="0"/>
              <w:bottom w:val="single" w:color="auto" w:sz="4" w:space="0"/>
              <w:right w:val="single" w:color="auto" w:sz="4" w:space="0"/>
            </w:tcBorders>
            <w:vAlign w:val="center"/>
          </w:tcPr>
          <w:p w14:paraId="198256C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4DC66ED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场区雨水</w:t>
            </w:r>
          </w:p>
        </w:tc>
        <w:tc>
          <w:tcPr>
            <w:tcW w:w="1012" w:type="dxa"/>
            <w:tcBorders>
              <w:top w:val="single" w:color="auto" w:sz="4" w:space="0"/>
              <w:left w:val="single" w:color="auto" w:sz="4" w:space="0"/>
              <w:bottom w:val="single" w:color="auto" w:sz="4" w:space="0"/>
              <w:right w:val="single" w:color="auto" w:sz="4" w:space="0"/>
            </w:tcBorders>
            <w:vAlign w:val="center"/>
          </w:tcPr>
          <w:p w14:paraId="712F202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7DF3394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5757D6B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1F40356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926" w:type="dxa"/>
            <w:tcBorders>
              <w:top w:val="single" w:color="auto" w:sz="4" w:space="0"/>
              <w:left w:val="single" w:color="auto" w:sz="4" w:space="0"/>
              <w:bottom w:val="single" w:color="auto" w:sz="4" w:space="0"/>
              <w:right w:val="single" w:color="auto" w:sz="4" w:space="0"/>
            </w:tcBorders>
            <w:vAlign w:val="center"/>
          </w:tcPr>
          <w:p w14:paraId="2B8882D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①牛舍屋面设置合适坡度并在屋檐设置导流槽，将雨水导出不排入运动场内，屋面雨水采用自流式排水，经过雨水管道排入场区排水沟排出。</w:t>
            </w:r>
          </w:p>
          <w:p w14:paraId="7D6582D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②运动场设置挡水坡道，防止雨水进入运动场</w:t>
            </w:r>
            <w:r>
              <w:rPr>
                <w:rFonts w:hint="default" w:ascii="Times New Roman" w:hAnsi="Times New Roman" w:eastAsia="宋体" w:cs="Times New Roman"/>
                <w:color w:val="auto"/>
                <w:sz w:val="21"/>
                <w:szCs w:val="21"/>
                <w:highlight w:val="none"/>
                <w:lang w:eastAsia="zh-CN"/>
              </w:rPr>
              <w:t>。</w:t>
            </w:r>
          </w:p>
          <w:p w14:paraId="65C4B11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③</w:t>
            </w:r>
            <w:r>
              <w:rPr>
                <w:rFonts w:hint="default" w:ascii="Times New Roman" w:hAnsi="Times New Roman" w:eastAsia="宋体" w:cs="Times New Roman"/>
                <w:color w:val="auto"/>
                <w:sz w:val="21"/>
                <w:szCs w:val="21"/>
                <w:highlight w:val="none"/>
                <w:lang w:eastAsia="zh-CN"/>
              </w:rPr>
              <w:t>粪污处理池</w:t>
            </w:r>
            <w:r>
              <w:rPr>
                <w:rFonts w:hint="default" w:ascii="Times New Roman" w:hAnsi="Times New Roman" w:eastAsia="宋体" w:cs="Times New Roman"/>
                <w:color w:val="auto"/>
                <w:sz w:val="21"/>
                <w:szCs w:val="21"/>
                <w:highlight w:val="none"/>
              </w:rPr>
              <w:t>底部进行硬化防渗处理，四面设围墙及导流渠，</w:t>
            </w:r>
            <w:r>
              <w:rPr>
                <w:rFonts w:hint="default" w:ascii="Times New Roman" w:hAnsi="Times New Roman" w:eastAsia="宋体" w:cs="Times New Roman"/>
                <w:color w:val="auto"/>
                <w:sz w:val="21"/>
                <w:szCs w:val="21"/>
                <w:highlight w:val="none"/>
                <w:lang w:eastAsia="zh-CN"/>
              </w:rPr>
              <w:t>墙高1m</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防止</w:t>
            </w:r>
            <w:r>
              <w:rPr>
                <w:rFonts w:hint="default" w:ascii="Times New Roman" w:hAnsi="Times New Roman" w:eastAsia="宋体" w:cs="Times New Roman"/>
                <w:color w:val="auto"/>
                <w:sz w:val="21"/>
                <w:szCs w:val="21"/>
                <w:highlight w:val="none"/>
              </w:rPr>
              <w:t>因雨水进入造成外溢，形成二次污染。</w:t>
            </w:r>
          </w:p>
        </w:tc>
        <w:tc>
          <w:tcPr>
            <w:tcW w:w="1220" w:type="dxa"/>
            <w:tcBorders>
              <w:top w:val="single" w:color="auto" w:sz="4" w:space="0"/>
              <w:left w:val="single" w:color="auto" w:sz="4" w:space="0"/>
              <w:bottom w:val="single" w:color="auto" w:sz="4" w:space="0"/>
              <w:right w:val="single" w:color="auto" w:sz="4" w:space="0"/>
            </w:tcBorders>
            <w:vAlign w:val="center"/>
          </w:tcPr>
          <w:p w14:paraId="6FB3EBD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718" w:type="dxa"/>
            <w:tcBorders>
              <w:top w:val="single" w:color="auto" w:sz="4" w:space="0"/>
              <w:left w:val="single" w:color="auto" w:sz="4" w:space="0"/>
              <w:bottom w:val="single" w:color="auto" w:sz="4" w:space="0"/>
              <w:right w:val="single" w:color="auto" w:sz="4" w:space="0"/>
            </w:tcBorders>
            <w:vAlign w:val="center"/>
          </w:tcPr>
          <w:p w14:paraId="7DA792A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3FBDD4E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“三同时”</w:t>
            </w:r>
          </w:p>
        </w:tc>
      </w:tr>
      <w:tr w14:paraId="43E924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dxa"/>
            <w:tcBorders>
              <w:top w:val="single" w:color="auto" w:sz="4" w:space="0"/>
              <w:left w:val="single" w:color="auto" w:sz="4" w:space="0"/>
              <w:bottom w:val="single" w:color="auto" w:sz="4" w:space="0"/>
              <w:right w:val="single" w:color="auto" w:sz="4" w:space="0"/>
            </w:tcBorders>
            <w:vAlign w:val="center"/>
          </w:tcPr>
          <w:p w14:paraId="29F29F1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w:t>
            </w:r>
          </w:p>
        </w:tc>
        <w:tc>
          <w:tcPr>
            <w:tcW w:w="1012" w:type="dxa"/>
            <w:tcBorders>
              <w:top w:val="single" w:color="auto" w:sz="4" w:space="0"/>
              <w:left w:val="single" w:color="auto" w:sz="4" w:space="0"/>
              <w:bottom w:val="single" w:color="auto" w:sz="4" w:space="0"/>
              <w:right w:val="single" w:color="auto" w:sz="4" w:space="0"/>
            </w:tcBorders>
            <w:vAlign w:val="center"/>
          </w:tcPr>
          <w:p w14:paraId="07209FA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运营过程</w:t>
            </w:r>
          </w:p>
        </w:tc>
        <w:tc>
          <w:tcPr>
            <w:tcW w:w="1012" w:type="dxa"/>
            <w:tcBorders>
              <w:top w:val="single" w:color="auto" w:sz="4" w:space="0"/>
              <w:left w:val="single" w:color="auto" w:sz="4" w:space="0"/>
              <w:bottom w:val="single" w:color="auto" w:sz="4" w:space="0"/>
              <w:right w:val="single" w:color="auto" w:sz="4" w:space="0"/>
            </w:tcBorders>
            <w:vAlign w:val="center"/>
          </w:tcPr>
          <w:p w14:paraId="367D0FB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4F27D17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059276F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6AF6E47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926" w:type="dxa"/>
            <w:tcBorders>
              <w:top w:val="single" w:color="auto" w:sz="4" w:space="0"/>
              <w:left w:val="single" w:color="auto" w:sz="4" w:space="0"/>
              <w:bottom w:val="single" w:color="auto" w:sz="4" w:space="0"/>
              <w:right w:val="single" w:color="auto" w:sz="4" w:space="0"/>
            </w:tcBorders>
            <w:vAlign w:val="center"/>
          </w:tcPr>
          <w:p w14:paraId="76A8174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对通过垂直下渗可能造成土壤污染的污染物建设单位应严格落实本次评价提出的地下水防治措施，并加强土壤环境的监测和管理。</w:t>
            </w:r>
          </w:p>
        </w:tc>
        <w:tc>
          <w:tcPr>
            <w:tcW w:w="1220" w:type="dxa"/>
            <w:tcBorders>
              <w:top w:val="single" w:color="auto" w:sz="4" w:space="0"/>
              <w:left w:val="single" w:color="auto" w:sz="4" w:space="0"/>
              <w:bottom w:val="single" w:color="auto" w:sz="4" w:space="0"/>
              <w:right w:val="single" w:color="auto" w:sz="4" w:space="0"/>
            </w:tcBorders>
            <w:vAlign w:val="center"/>
          </w:tcPr>
          <w:p w14:paraId="6E9CB1B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718" w:type="dxa"/>
            <w:tcBorders>
              <w:top w:val="single" w:color="auto" w:sz="4" w:space="0"/>
              <w:left w:val="single" w:color="auto" w:sz="4" w:space="0"/>
              <w:bottom w:val="single" w:color="auto" w:sz="4" w:space="0"/>
              <w:right w:val="single" w:color="auto" w:sz="4" w:space="0"/>
            </w:tcBorders>
            <w:vAlign w:val="center"/>
          </w:tcPr>
          <w:p w14:paraId="5E8DAE4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土壤环境质量农用地土壤污染风险管控标准</w:t>
            </w:r>
            <w:r>
              <w:rPr>
                <w:rFonts w:hint="default" w:ascii="Times New Roman" w:hAnsi="Times New Roman" w:eastAsia="宋体" w:cs="Times New Roman"/>
                <w:color w:val="auto"/>
                <w:sz w:val="21"/>
                <w:szCs w:val="21"/>
                <w:highlight w:val="none"/>
              </w:rPr>
              <w:t>（试行）》（GB15618-2018）表1中农用地土壤污染风险筛选值（基本项目）</w:t>
            </w:r>
          </w:p>
        </w:tc>
        <w:tc>
          <w:tcPr>
            <w:tcW w:w="1012" w:type="dxa"/>
            <w:tcBorders>
              <w:top w:val="single" w:color="auto" w:sz="4" w:space="0"/>
              <w:left w:val="single" w:color="auto" w:sz="4" w:space="0"/>
              <w:bottom w:val="single" w:color="auto" w:sz="4" w:space="0"/>
              <w:right w:val="single" w:color="auto" w:sz="4" w:space="0"/>
            </w:tcBorders>
            <w:vAlign w:val="center"/>
          </w:tcPr>
          <w:p w14:paraId="31CE8E5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“三同时”</w:t>
            </w:r>
          </w:p>
        </w:tc>
      </w:tr>
      <w:tr w14:paraId="600BAE9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dxa"/>
            <w:vMerge w:val="restart"/>
            <w:tcBorders>
              <w:top w:val="single" w:color="auto" w:sz="4" w:space="0"/>
              <w:left w:val="single" w:color="auto" w:sz="4" w:space="0"/>
              <w:bottom w:val="single" w:color="auto" w:sz="4" w:space="0"/>
              <w:right w:val="single" w:color="auto" w:sz="4" w:space="0"/>
            </w:tcBorders>
            <w:vAlign w:val="center"/>
          </w:tcPr>
          <w:p w14:paraId="36345F4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w:t>
            </w:r>
          </w:p>
        </w:tc>
        <w:tc>
          <w:tcPr>
            <w:tcW w:w="1012" w:type="dxa"/>
            <w:tcBorders>
              <w:top w:val="single" w:color="auto" w:sz="4" w:space="0"/>
              <w:left w:val="single" w:color="auto" w:sz="4" w:space="0"/>
              <w:bottom w:val="single" w:color="auto" w:sz="4" w:space="0"/>
              <w:right w:val="single" w:color="auto" w:sz="4" w:space="0"/>
            </w:tcBorders>
            <w:vAlign w:val="center"/>
          </w:tcPr>
          <w:p w14:paraId="27BE0A0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地下水质量</w:t>
            </w:r>
          </w:p>
        </w:tc>
        <w:tc>
          <w:tcPr>
            <w:tcW w:w="1012" w:type="dxa"/>
            <w:tcBorders>
              <w:top w:val="single" w:color="auto" w:sz="4" w:space="0"/>
              <w:left w:val="single" w:color="auto" w:sz="4" w:space="0"/>
              <w:bottom w:val="single" w:color="auto" w:sz="4" w:space="0"/>
              <w:right w:val="single" w:color="auto" w:sz="4" w:space="0"/>
            </w:tcBorders>
            <w:vAlign w:val="center"/>
          </w:tcPr>
          <w:p w14:paraId="020F474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地下水监控井</w:t>
            </w:r>
          </w:p>
        </w:tc>
        <w:tc>
          <w:tcPr>
            <w:tcW w:w="1012" w:type="dxa"/>
            <w:tcBorders>
              <w:top w:val="single" w:color="auto" w:sz="4" w:space="0"/>
              <w:left w:val="single" w:color="auto" w:sz="4" w:space="0"/>
              <w:bottom w:val="single" w:color="auto" w:sz="4" w:space="0"/>
              <w:right w:val="single" w:color="auto" w:sz="4" w:space="0"/>
            </w:tcBorders>
            <w:vAlign w:val="center"/>
          </w:tcPr>
          <w:p w14:paraId="6839C3D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0625087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eastAsia="zh-CN"/>
              </w:rPr>
              <w:t>次</w:t>
            </w:r>
            <w:r>
              <w:rPr>
                <w:rFonts w:hint="default" w:ascii="Times New Roman" w:hAnsi="Times New Roman" w:eastAsia="宋体" w:cs="Times New Roman"/>
                <w:color w:val="auto"/>
                <w:sz w:val="21"/>
                <w:szCs w:val="21"/>
                <w:highlight w:val="none"/>
                <w:lang w:val="en-US" w:eastAsia="zh-CN"/>
              </w:rPr>
              <w:t>/天，共监测2天</w:t>
            </w:r>
          </w:p>
        </w:tc>
        <w:tc>
          <w:tcPr>
            <w:tcW w:w="1012" w:type="dxa"/>
            <w:tcBorders>
              <w:top w:val="single" w:color="auto" w:sz="4" w:space="0"/>
              <w:left w:val="single" w:color="auto" w:sz="4" w:space="0"/>
              <w:bottom w:val="single" w:color="auto" w:sz="4" w:space="0"/>
              <w:right w:val="single" w:color="auto" w:sz="4" w:space="0"/>
            </w:tcBorders>
            <w:vAlign w:val="center"/>
          </w:tcPr>
          <w:p w14:paraId="02F803A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厂区内地下水监控井</w:t>
            </w:r>
          </w:p>
        </w:tc>
        <w:tc>
          <w:tcPr>
            <w:tcW w:w="2926" w:type="dxa"/>
            <w:tcBorders>
              <w:top w:val="single" w:color="auto" w:sz="4" w:space="0"/>
              <w:left w:val="single" w:color="auto" w:sz="4" w:space="0"/>
              <w:bottom w:val="single" w:color="auto" w:sz="4" w:space="0"/>
              <w:right w:val="single" w:color="auto" w:sz="4" w:space="0"/>
            </w:tcBorders>
            <w:vAlign w:val="center"/>
          </w:tcPr>
          <w:p w14:paraId="5C8DB27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eastAsia="zh-CN"/>
              </w:rPr>
              <w:t>场区内</w:t>
            </w:r>
            <w:r>
              <w:rPr>
                <w:rFonts w:hint="default" w:ascii="Times New Roman" w:hAnsi="Times New Roman" w:eastAsia="宋体" w:cs="Times New Roman"/>
                <w:bCs/>
                <w:color w:val="auto"/>
                <w:sz w:val="21"/>
                <w:szCs w:val="21"/>
                <w:highlight w:val="none"/>
              </w:rPr>
              <w:t>设置地下水监控井1眼，设置</w:t>
            </w:r>
            <w:r>
              <w:rPr>
                <w:rFonts w:hint="default" w:ascii="Times New Roman" w:hAnsi="Times New Roman" w:eastAsia="宋体" w:cs="Times New Roman"/>
                <w:bCs/>
                <w:color w:val="auto"/>
                <w:sz w:val="21"/>
                <w:szCs w:val="21"/>
                <w:highlight w:val="none"/>
                <w:lang w:eastAsia="zh-CN"/>
              </w:rPr>
              <w:t>标识</w:t>
            </w:r>
            <w:r>
              <w:rPr>
                <w:rFonts w:hint="default" w:ascii="Times New Roman" w:hAnsi="Times New Roman" w:eastAsia="宋体" w:cs="Times New Roman"/>
                <w:bCs/>
                <w:color w:val="auto"/>
                <w:sz w:val="21"/>
                <w:szCs w:val="21"/>
                <w:highlight w:val="none"/>
              </w:rPr>
              <w:t>等</w:t>
            </w:r>
          </w:p>
        </w:tc>
        <w:tc>
          <w:tcPr>
            <w:tcW w:w="1220" w:type="dxa"/>
            <w:tcBorders>
              <w:top w:val="single" w:color="auto" w:sz="4" w:space="0"/>
              <w:left w:val="single" w:color="auto" w:sz="4" w:space="0"/>
              <w:bottom w:val="single" w:color="auto" w:sz="4" w:space="0"/>
              <w:right w:val="single" w:color="auto" w:sz="4" w:space="0"/>
            </w:tcBorders>
            <w:vAlign w:val="center"/>
          </w:tcPr>
          <w:p w14:paraId="3ADCE22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color w:val="auto"/>
                <w:sz w:val="21"/>
                <w:szCs w:val="21"/>
                <w:highlight w:val="none"/>
              </w:rPr>
              <w:t>/</w:t>
            </w:r>
          </w:p>
        </w:tc>
        <w:tc>
          <w:tcPr>
            <w:tcW w:w="2718" w:type="dxa"/>
            <w:tcBorders>
              <w:top w:val="single" w:color="auto" w:sz="4" w:space="0"/>
              <w:left w:val="single" w:color="auto" w:sz="4" w:space="0"/>
              <w:bottom w:val="single" w:color="auto" w:sz="4" w:space="0"/>
              <w:right w:val="single" w:color="auto" w:sz="4" w:space="0"/>
            </w:tcBorders>
            <w:vAlign w:val="center"/>
          </w:tcPr>
          <w:p w14:paraId="6F3D3E5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《地下水质量标准》（GB/T14848-2017）中Ⅲ类标准</w:t>
            </w:r>
          </w:p>
        </w:tc>
        <w:tc>
          <w:tcPr>
            <w:tcW w:w="1012" w:type="dxa"/>
            <w:tcBorders>
              <w:top w:val="single" w:color="auto" w:sz="4" w:space="0"/>
              <w:left w:val="single" w:color="auto" w:sz="4" w:space="0"/>
              <w:bottom w:val="single" w:color="auto" w:sz="4" w:space="0"/>
              <w:right w:val="single" w:color="auto" w:sz="4" w:space="0"/>
            </w:tcBorders>
            <w:vAlign w:val="center"/>
          </w:tcPr>
          <w:p w14:paraId="0364A32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“三同时”</w:t>
            </w:r>
          </w:p>
        </w:tc>
      </w:tr>
      <w:tr w14:paraId="34E2CA6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dxa"/>
            <w:vMerge w:val="continue"/>
            <w:tcBorders>
              <w:top w:val="single" w:color="auto" w:sz="4" w:space="0"/>
              <w:left w:val="single" w:color="auto" w:sz="4" w:space="0"/>
              <w:bottom w:val="single" w:color="auto" w:sz="4" w:space="0"/>
              <w:right w:val="single" w:color="auto" w:sz="4" w:space="0"/>
            </w:tcBorders>
            <w:vAlign w:val="center"/>
          </w:tcPr>
          <w:p w14:paraId="2C91414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0F2DF3B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工程防渗要求</w:t>
            </w:r>
          </w:p>
        </w:tc>
        <w:tc>
          <w:tcPr>
            <w:tcW w:w="1012" w:type="dxa"/>
            <w:tcBorders>
              <w:top w:val="single" w:color="auto" w:sz="4" w:space="0"/>
              <w:left w:val="single" w:color="auto" w:sz="4" w:space="0"/>
              <w:bottom w:val="single" w:color="auto" w:sz="4" w:space="0"/>
              <w:right w:val="single" w:color="auto" w:sz="4" w:space="0"/>
            </w:tcBorders>
            <w:vAlign w:val="center"/>
          </w:tcPr>
          <w:p w14:paraId="679CBFE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581271A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02FA05F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302659C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926" w:type="dxa"/>
            <w:tcBorders>
              <w:top w:val="single" w:color="auto" w:sz="4" w:space="0"/>
              <w:left w:val="single" w:color="auto" w:sz="4" w:space="0"/>
              <w:bottom w:val="single" w:color="auto" w:sz="4" w:space="0"/>
              <w:right w:val="single" w:color="auto" w:sz="4" w:space="0"/>
            </w:tcBorders>
            <w:vAlign w:val="center"/>
          </w:tcPr>
          <w:p w14:paraId="3267DA4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1、重点防渗区涉及</w:t>
            </w:r>
            <w:r>
              <w:rPr>
                <w:rFonts w:hint="default" w:ascii="Times New Roman" w:hAnsi="Times New Roman" w:eastAsia="宋体" w:cs="Times New Roman"/>
                <w:color w:val="auto"/>
                <w:sz w:val="21"/>
                <w:szCs w:val="21"/>
                <w:highlight w:val="none"/>
                <w:lang w:val="zh-CN"/>
              </w:rPr>
              <w:t>危废暂存间</w:t>
            </w:r>
            <w:r>
              <w:rPr>
                <w:rFonts w:hint="default" w:ascii="Times New Roman" w:hAnsi="Times New Roman" w:eastAsia="宋体" w:cs="Times New Roman"/>
                <w:color w:val="auto"/>
                <w:sz w:val="21"/>
                <w:szCs w:val="21"/>
                <w:highlight w:val="none"/>
              </w:rPr>
              <w:t>渗透系数要求≤10</w:t>
            </w:r>
            <w:r>
              <w:rPr>
                <w:rFonts w:hint="default" w:ascii="Times New Roman" w:hAnsi="Times New Roman" w:eastAsia="宋体" w:cs="Times New Roman"/>
                <w:color w:val="auto"/>
                <w:sz w:val="21"/>
                <w:szCs w:val="21"/>
                <w:highlight w:val="none"/>
                <w:vertAlign w:val="superscript"/>
              </w:rPr>
              <w:t>-10</w:t>
            </w:r>
            <w:r>
              <w:rPr>
                <w:rFonts w:hint="default" w:ascii="Times New Roman" w:hAnsi="Times New Roman" w:eastAsia="宋体" w:cs="Times New Roman"/>
                <w:color w:val="auto"/>
                <w:sz w:val="21"/>
                <w:szCs w:val="21"/>
                <w:highlight w:val="none"/>
              </w:rPr>
              <w:t>cm/s；</w:t>
            </w:r>
          </w:p>
          <w:p w14:paraId="217B922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2、一般防渗区：</w:t>
            </w:r>
          </w:p>
          <w:p w14:paraId="5384C54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1）对</w:t>
            </w:r>
            <w:r>
              <w:rPr>
                <w:rFonts w:hint="default" w:ascii="Times New Roman" w:hAnsi="Times New Roman" w:eastAsia="宋体" w:cs="Times New Roman"/>
                <w:color w:val="auto"/>
                <w:sz w:val="21"/>
                <w:szCs w:val="21"/>
                <w:highlight w:val="none"/>
                <w:lang w:eastAsia="zh-CN"/>
              </w:rPr>
              <w:t>粪污处理池</w:t>
            </w:r>
            <w:r>
              <w:rPr>
                <w:rFonts w:hint="default" w:ascii="Times New Roman" w:hAnsi="Times New Roman" w:eastAsia="宋体" w:cs="Times New Roman"/>
                <w:color w:val="auto"/>
                <w:sz w:val="21"/>
                <w:szCs w:val="21"/>
                <w:highlight w:val="none"/>
              </w:rPr>
              <w:t>底部基础防渗具体做法为：防渗层为敷设不小于2mm的高密度聚氯乙烯（HDPE）人工防渗膜，膜上、膜下设置“长丝无纺土工布”保护层，并铺设不小于100mm的混凝土保护层，或其他材料可满足渗透系数≤10</w:t>
            </w:r>
            <w:r>
              <w:rPr>
                <w:rFonts w:hint="default" w:ascii="Times New Roman" w:hAnsi="Times New Roman" w:eastAsia="宋体" w:cs="Times New Roman"/>
                <w:color w:val="auto"/>
                <w:sz w:val="21"/>
                <w:szCs w:val="21"/>
                <w:highlight w:val="none"/>
                <w:vertAlign w:val="superscript"/>
              </w:rPr>
              <w:t>-7</w:t>
            </w:r>
            <w:r>
              <w:rPr>
                <w:rFonts w:hint="default" w:ascii="Times New Roman" w:hAnsi="Times New Roman" w:eastAsia="宋体" w:cs="Times New Roman"/>
                <w:color w:val="auto"/>
                <w:sz w:val="21"/>
                <w:szCs w:val="21"/>
                <w:highlight w:val="none"/>
              </w:rPr>
              <w:t>cm/s；</w:t>
            </w:r>
          </w:p>
          <w:p w14:paraId="4EE5FC9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2）对</w:t>
            </w:r>
            <w:r>
              <w:rPr>
                <w:rFonts w:hint="default" w:ascii="Times New Roman" w:hAnsi="Times New Roman" w:eastAsia="宋体" w:cs="Times New Roman"/>
                <w:color w:val="auto"/>
                <w:sz w:val="21"/>
                <w:szCs w:val="21"/>
                <w:highlight w:val="none"/>
                <w:lang w:eastAsia="zh-CN"/>
              </w:rPr>
              <w:t>化粪池</w:t>
            </w:r>
            <w:r>
              <w:rPr>
                <w:rFonts w:hint="default" w:ascii="Times New Roman" w:hAnsi="Times New Roman" w:eastAsia="宋体" w:cs="Times New Roman"/>
                <w:color w:val="auto"/>
                <w:sz w:val="21"/>
                <w:szCs w:val="21"/>
                <w:highlight w:val="none"/>
              </w:rPr>
              <w:t>采取以下防渗措施：</w:t>
            </w:r>
          </w:p>
          <w:p w14:paraId="12FFC03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防渗层为敷设不小于2mm的高密度聚氯乙烯（HDPE）人工防渗膜，并铺设不小于100mm的混凝土保护层，或其他材料可满足渗透系数≤10</w:t>
            </w:r>
            <w:r>
              <w:rPr>
                <w:rFonts w:hint="default" w:ascii="Times New Roman" w:hAnsi="Times New Roman" w:eastAsia="宋体" w:cs="Times New Roman"/>
                <w:color w:val="auto"/>
                <w:sz w:val="21"/>
                <w:szCs w:val="21"/>
                <w:highlight w:val="none"/>
                <w:vertAlign w:val="superscript"/>
              </w:rPr>
              <w:t>-7</w:t>
            </w:r>
            <w:r>
              <w:rPr>
                <w:rFonts w:hint="default" w:ascii="Times New Roman" w:hAnsi="Times New Roman" w:eastAsia="宋体" w:cs="Times New Roman"/>
                <w:color w:val="auto"/>
                <w:sz w:val="21"/>
                <w:szCs w:val="21"/>
                <w:highlight w:val="none"/>
              </w:rPr>
              <w:t>cm/s。</w:t>
            </w:r>
          </w:p>
          <w:p w14:paraId="5626B9A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3、对于</w:t>
            </w:r>
            <w:r>
              <w:rPr>
                <w:rFonts w:hint="default" w:ascii="Times New Roman" w:hAnsi="Times New Roman" w:eastAsia="宋体" w:cs="Times New Roman"/>
                <w:color w:val="auto"/>
                <w:sz w:val="21"/>
                <w:szCs w:val="21"/>
                <w:highlight w:val="none"/>
                <w:lang w:eastAsia="zh-CN"/>
              </w:rPr>
              <w:t>草棚</w:t>
            </w:r>
            <w:r>
              <w:rPr>
                <w:rFonts w:hint="default" w:ascii="Times New Roman" w:hAnsi="Times New Roman" w:eastAsia="宋体" w:cs="Times New Roman"/>
                <w:color w:val="auto"/>
                <w:sz w:val="21"/>
                <w:szCs w:val="21"/>
                <w:highlight w:val="none"/>
              </w:rPr>
              <w:t>、TMR车间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消毒室、</w:t>
            </w:r>
            <w:r>
              <w:rPr>
                <w:rFonts w:hint="default" w:ascii="Times New Roman" w:hAnsi="Times New Roman" w:eastAsia="宋体" w:cs="Times New Roman"/>
                <w:color w:val="auto"/>
                <w:sz w:val="21"/>
                <w:szCs w:val="21"/>
                <w:highlight w:val="none"/>
                <w:lang w:eastAsia="zh-CN"/>
              </w:rPr>
              <w:t>青贮平台</w:t>
            </w:r>
            <w:r>
              <w:rPr>
                <w:rFonts w:hint="default" w:ascii="Times New Roman" w:hAnsi="Times New Roman" w:eastAsia="宋体" w:cs="Times New Roman"/>
                <w:color w:val="auto"/>
                <w:sz w:val="21"/>
                <w:szCs w:val="21"/>
                <w:highlight w:val="none"/>
              </w:rPr>
              <w:t>、场区道路、牛舍饲料通道等生产区，铺设防渗混凝土地面进行防渗。</w:t>
            </w:r>
          </w:p>
        </w:tc>
        <w:tc>
          <w:tcPr>
            <w:tcW w:w="1220" w:type="dxa"/>
            <w:tcBorders>
              <w:top w:val="single" w:color="auto" w:sz="4" w:space="0"/>
              <w:left w:val="single" w:color="auto" w:sz="4" w:space="0"/>
              <w:bottom w:val="single" w:color="auto" w:sz="4" w:space="0"/>
              <w:right w:val="single" w:color="auto" w:sz="4" w:space="0"/>
            </w:tcBorders>
            <w:vAlign w:val="center"/>
          </w:tcPr>
          <w:p w14:paraId="1A73959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718" w:type="dxa"/>
            <w:tcBorders>
              <w:top w:val="single" w:color="auto" w:sz="4" w:space="0"/>
              <w:left w:val="single" w:color="auto" w:sz="4" w:space="0"/>
              <w:bottom w:val="single" w:color="auto" w:sz="4" w:space="0"/>
              <w:right w:val="single" w:color="auto" w:sz="4" w:space="0"/>
            </w:tcBorders>
            <w:vAlign w:val="center"/>
          </w:tcPr>
          <w:p w14:paraId="7B3788C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《畜禽养殖业污染物排放</w:t>
            </w:r>
            <w:r>
              <w:rPr>
                <w:rFonts w:hint="default" w:ascii="Times New Roman" w:hAnsi="Times New Roman" w:eastAsia="宋体" w:cs="Times New Roman"/>
                <w:color w:val="auto"/>
                <w:sz w:val="21"/>
                <w:szCs w:val="21"/>
                <w:highlight w:val="none"/>
                <w:lang w:eastAsia="zh-CN"/>
              </w:rPr>
              <w:t>标准</w:t>
            </w:r>
            <w:r>
              <w:rPr>
                <w:rFonts w:hint="default" w:ascii="Times New Roman" w:hAnsi="Times New Roman" w:eastAsia="宋体" w:cs="Times New Roman"/>
                <w:color w:val="auto"/>
                <w:sz w:val="21"/>
                <w:szCs w:val="21"/>
                <w:highlight w:val="none"/>
              </w:rPr>
              <w:t>（GB18596-2001）》，</w:t>
            </w:r>
            <w:r>
              <w:rPr>
                <w:rFonts w:hint="default" w:ascii="Times New Roman" w:hAnsi="Times New Roman" w:eastAsia="宋体" w:cs="Times New Roman"/>
                <w:color w:val="FF0000"/>
                <w:sz w:val="21"/>
                <w:szCs w:val="21"/>
                <w:highlight w:val="none"/>
              </w:rPr>
              <w:t>《危险废物贮存污染控制标准》（</w:t>
            </w:r>
            <w:r>
              <w:rPr>
                <w:rFonts w:hint="default" w:ascii="Times New Roman" w:hAnsi="Times New Roman" w:eastAsia="宋体" w:cs="Times New Roman"/>
                <w:color w:val="FF0000"/>
                <w:sz w:val="21"/>
                <w:szCs w:val="21"/>
                <w:highlight w:val="none"/>
                <w:lang w:eastAsia="zh-CN"/>
              </w:rPr>
              <w:t>GB18597-2023</w:t>
            </w:r>
            <w:r>
              <w:rPr>
                <w:rFonts w:hint="default" w:ascii="Times New Roman" w:hAnsi="Times New Roman" w:eastAsia="宋体" w:cs="Times New Roman"/>
                <w:color w:val="FF0000"/>
                <w:sz w:val="21"/>
                <w:szCs w:val="21"/>
                <w:highlight w:val="none"/>
              </w:rPr>
              <w:t>）</w:t>
            </w:r>
          </w:p>
          <w:p w14:paraId="7D82338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参照《一般工业固体废物贮存和填埋污染控制标准》（GB18599-2020）</w:t>
            </w:r>
          </w:p>
        </w:tc>
        <w:tc>
          <w:tcPr>
            <w:tcW w:w="1012" w:type="dxa"/>
            <w:tcBorders>
              <w:top w:val="single" w:color="auto" w:sz="4" w:space="0"/>
              <w:left w:val="single" w:color="auto" w:sz="4" w:space="0"/>
              <w:bottom w:val="single" w:color="auto" w:sz="4" w:space="0"/>
              <w:right w:val="single" w:color="auto" w:sz="4" w:space="0"/>
            </w:tcBorders>
            <w:vAlign w:val="center"/>
          </w:tcPr>
          <w:p w14:paraId="3978F69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“三同时”</w:t>
            </w:r>
          </w:p>
        </w:tc>
      </w:tr>
      <w:tr w14:paraId="646BDA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dxa"/>
            <w:vMerge w:val="restart"/>
            <w:tcBorders>
              <w:top w:val="single" w:color="auto" w:sz="4" w:space="0"/>
              <w:left w:val="single" w:color="auto" w:sz="4" w:space="0"/>
              <w:bottom w:val="single" w:color="auto" w:sz="4" w:space="0"/>
              <w:right w:val="single" w:color="auto" w:sz="4" w:space="0"/>
            </w:tcBorders>
            <w:vAlign w:val="center"/>
          </w:tcPr>
          <w:p w14:paraId="05B7DDB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固体废物</w:t>
            </w:r>
          </w:p>
        </w:tc>
        <w:tc>
          <w:tcPr>
            <w:tcW w:w="1012" w:type="dxa"/>
            <w:tcBorders>
              <w:top w:val="single" w:color="auto" w:sz="4" w:space="0"/>
              <w:left w:val="single" w:color="auto" w:sz="4" w:space="0"/>
              <w:bottom w:val="single" w:color="auto" w:sz="4" w:space="0"/>
              <w:right w:val="single" w:color="auto" w:sz="4" w:space="0"/>
            </w:tcBorders>
            <w:vAlign w:val="center"/>
          </w:tcPr>
          <w:p w14:paraId="15D8C4E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zh-CN"/>
              </w:rPr>
              <w:t>医疗垃圾</w:t>
            </w:r>
          </w:p>
        </w:tc>
        <w:tc>
          <w:tcPr>
            <w:tcW w:w="1012" w:type="dxa"/>
            <w:tcBorders>
              <w:top w:val="single" w:color="auto" w:sz="4" w:space="0"/>
              <w:left w:val="single" w:color="auto" w:sz="4" w:space="0"/>
              <w:bottom w:val="single" w:color="auto" w:sz="4" w:space="0"/>
              <w:right w:val="single" w:color="auto" w:sz="4" w:space="0"/>
            </w:tcBorders>
            <w:vAlign w:val="center"/>
          </w:tcPr>
          <w:p w14:paraId="1F9C6FE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1C8569A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1DB8C5A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3D593FC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926" w:type="dxa"/>
            <w:tcBorders>
              <w:top w:val="single" w:color="auto" w:sz="4" w:space="0"/>
              <w:left w:val="single" w:color="auto" w:sz="4" w:space="0"/>
              <w:bottom w:val="single" w:color="auto" w:sz="4" w:space="0"/>
              <w:right w:val="single" w:color="auto" w:sz="4" w:space="0"/>
            </w:tcBorders>
            <w:vAlign w:val="center"/>
          </w:tcPr>
          <w:p w14:paraId="341196C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w:t>
            </w:r>
            <w:r>
              <w:rPr>
                <w:rFonts w:hint="default" w:ascii="Times New Roman" w:hAnsi="Times New Roman" w:eastAsia="宋体" w:cs="Times New Roman"/>
                <w:color w:val="auto"/>
                <w:sz w:val="21"/>
                <w:szCs w:val="21"/>
                <w:highlight w:val="none"/>
                <w:lang w:eastAsia="zh-CN"/>
              </w:rPr>
              <w:t>危废暂存间</w:t>
            </w:r>
            <w:r>
              <w:rPr>
                <w:rFonts w:hint="default" w:ascii="Times New Roman" w:hAnsi="Times New Roman" w:eastAsia="宋体" w:cs="Times New Roman"/>
                <w:color w:val="auto"/>
                <w:sz w:val="21"/>
                <w:szCs w:val="21"/>
                <w:highlight w:val="none"/>
              </w:rPr>
              <w:t>1座，建筑面积10m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，暂存运营过程产生的</w:t>
            </w:r>
            <w:r>
              <w:rPr>
                <w:rFonts w:hint="default" w:ascii="Times New Roman" w:hAnsi="Times New Roman" w:eastAsia="宋体" w:cs="Times New Roman"/>
                <w:color w:val="auto"/>
                <w:sz w:val="21"/>
                <w:szCs w:val="21"/>
                <w:highlight w:val="none"/>
                <w:lang w:eastAsia="zh-CN"/>
              </w:rPr>
              <w:t>医疗垃圾</w:t>
            </w:r>
            <w:r>
              <w:rPr>
                <w:rFonts w:hint="default" w:ascii="Times New Roman" w:hAnsi="Times New Roman" w:eastAsia="宋体" w:cs="Times New Roman"/>
                <w:color w:val="auto"/>
                <w:sz w:val="21"/>
                <w:szCs w:val="21"/>
                <w:highlight w:val="none"/>
              </w:rPr>
              <w:t>，暂存</w:t>
            </w:r>
            <w:r>
              <w:rPr>
                <w:rFonts w:hint="default" w:ascii="Times New Roman" w:hAnsi="Times New Roman" w:eastAsia="宋体" w:cs="Times New Roman"/>
                <w:color w:val="auto"/>
                <w:sz w:val="21"/>
                <w:szCs w:val="21"/>
                <w:highlight w:val="none"/>
                <w:lang w:eastAsia="zh-CN"/>
              </w:rPr>
              <w:t>定期由有资质单位处置</w:t>
            </w:r>
            <w:r>
              <w:rPr>
                <w:rFonts w:hint="default" w:ascii="Times New Roman" w:hAnsi="Times New Roman" w:eastAsia="宋体" w:cs="Times New Roman"/>
                <w:color w:val="auto"/>
                <w:sz w:val="21"/>
                <w:szCs w:val="21"/>
                <w:highlight w:val="none"/>
              </w:rPr>
              <w:t>；</w:t>
            </w:r>
          </w:p>
          <w:p w14:paraId="339AF1E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1）贮存场所地面须</w:t>
            </w:r>
            <w:r>
              <w:rPr>
                <w:rFonts w:hint="default" w:ascii="Times New Roman" w:hAnsi="Times New Roman" w:eastAsia="宋体" w:cs="Times New Roman"/>
                <w:color w:val="auto"/>
                <w:sz w:val="21"/>
                <w:szCs w:val="21"/>
                <w:highlight w:val="none"/>
                <w:lang w:eastAsia="zh-CN"/>
              </w:rPr>
              <w:t>做</w:t>
            </w:r>
            <w:r>
              <w:rPr>
                <w:rFonts w:hint="default" w:ascii="Times New Roman" w:hAnsi="Times New Roman" w:eastAsia="宋体" w:cs="Times New Roman"/>
                <w:color w:val="auto"/>
                <w:sz w:val="21"/>
                <w:szCs w:val="21"/>
                <w:highlight w:val="none"/>
              </w:rPr>
              <w:t>硬化处理，以混凝土、砖</w:t>
            </w:r>
            <w:r>
              <w:rPr>
                <w:rFonts w:hint="default" w:ascii="Times New Roman" w:hAnsi="Times New Roman" w:eastAsia="宋体" w:cs="Times New Roman"/>
                <w:color w:val="auto"/>
                <w:sz w:val="21"/>
                <w:szCs w:val="21"/>
                <w:highlight w:val="none"/>
                <w:lang w:eastAsia="zh-CN"/>
              </w:rPr>
              <w:t>，或</w:t>
            </w:r>
            <w:r>
              <w:rPr>
                <w:rFonts w:hint="default" w:ascii="Times New Roman" w:hAnsi="Times New Roman" w:eastAsia="宋体" w:cs="Times New Roman"/>
                <w:color w:val="auto"/>
                <w:sz w:val="21"/>
                <w:szCs w:val="21"/>
                <w:highlight w:val="none"/>
              </w:rPr>
              <w:t>经过防止腐化处理的钢材料进行建设，地面敷设2mm厚HDPE膜进行防渗处理，以防止渗漏和腐蚀。存放液体性危险废物的贮存场所必须设计导流槽和收集井，场所需要密闭且有通风口。</w:t>
            </w:r>
          </w:p>
          <w:p w14:paraId="20FBE60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2）危废暂存间的地面与裙脚要用坚固、防渗的材料建造，建筑材料必须与危险废物相容。</w:t>
            </w:r>
          </w:p>
        </w:tc>
        <w:tc>
          <w:tcPr>
            <w:tcW w:w="1220" w:type="dxa"/>
            <w:tcBorders>
              <w:top w:val="single" w:color="auto" w:sz="4" w:space="0"/>
              <w:left w:val="single" w:color="auto" w:sz="4" w:space="0"/>
              <w:bottom w:val="single" w:color="auto" w:sz="4" w:space="0"/>
              <w:right w:val="single" w:color="auto" w:sz="4" w:space="0"/>
            </w:tcBorders>
            <w:vAlign w:val="center"/>
          </w:tcPr>
          <w:p w14:paraId="39EDA74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718" w:type="dxa"/>
            <w:tcBorders>
              <w:top w:val="single" w:color="auto" w:sz="4" w:space="0"/>
              <w:left w:val="single" w:color="auto" w:sz="4" w:space="0"/>
              <w:bottom w:val="single" w:color="auto" w:sz="4" w:space="0"/>
              <w:right w:val="single" w:color="auto" w:sz="4" w:space="0"/>
            </w:tcBorders>
            <w:vAlign w:val="center"/>
          </w:tcPr>
          <w:p w14:paraId="5C99E77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FF0000"/>
                <w:sz w:val="21"/>
                <w:szCs w:val="21"/>
                <w:highlight w:val="none"/>
              </w:rPr>
              <w:t>《危险废物贮存污染控制标准》（</w:t>
            </w:r>
            <w:r>
              <w:rPr>
                <w:rFonts w:hint="default" w:ascii="Times New Roman" w:hAnsi="Times New Roman" w:eastAsia="宋体" w:cs="Times New Roman"/>
                <w:color w:val="FF0000"/>
                <w:sz w:val="21"/>
                <w:szCs w:val="21"/>
                <w:highlight w:val="none"/>
                <w:lang w:eastAsia="zh-CN"/>
              </w:rPr>
              <w:t>GB18597-2023</w:t>
            </w:r>
            <w:r>
              <w:rPr>
                <w:rFonts w:hint="default" w:ascii="Times New Roman" w:hAnsi="Times New Roman" w:eastAsia="宋体" w:cs="Times New Roman"/>
                <w:color w:val="FF0000"/>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03C0075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“三同时”</w:t>
            </w:r>
          </w:p>
        </w:tc>
      </w:tr>
      <w:tr w14:paraId="720855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dxa"/>
            <w:vMerge w:val="continue"/>
            <w:tcBorders>
              <w:top w:val="single" w:color="auto" w:sz="4" w:space="0"/>
              <w:left w:val="single" w:color="auto" w:sz="4" w:space="0"/>
              <w:bottom w:val="single" w:color="auto" w:sz="4" w:space="0"/>
              <w:right w:val="single" w:color="auto" w:sz="4" w:space="0"/>
            </w:tcBorders>
            <w:vAlign w:val="center"/>
          </w:tcPr>
          <w:p w14:paraId="64E8B81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25691CE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牛粪便</w:t>
            </w:r>
          </w:p>
        </w:tc>
        <w:tc>
          <w:tcPr>
            <w:tcW w:w="1012" w:type="dxa"/>
            <w:tcBorders>
              <w:top w:val="single" w:color="auto" w:sz="4" w:space="0"/>
              <w:left w:val="single" w:color="auto" w:sz="4" w:space="0"/>
              <w:bottom w:val="single" w:color="auto" w:sz="4" w:space="0"/>
              <w:right w:val="single" w:color="auto" w:sz="4" w:space="0"/>
            </w:tcBorders>
            <w:vAlign w:val="center"/>
          </w:tcPr>
          <w:p w14:paraId="3D52BFA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5BB8EB7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046B5E2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79F3DE3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926" w:type="dxa"/>
            <w:tcBorders>
              <w:top w:val="single" w:color="auto" w:sz="4" w:space="0"/>
              <w:left w:val="single" w:color="auto" w:sz="4" w:space="0"/>
              <w:bottom w:val="single" w:color="auto" w:sz="4" w:space="0"/>
              <w:right w:val="single" w:color="auto" w:sz="4" w:space="0"/>
            </w:tcBorders>
            <w:vAlign w:val="center"/>
          </w:tcPr>
          <w:p w14:paraId="05D08EF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日产日清，</w:t>
            </w:r>
            <w:r>
              <w:rPr>
                <w:rFonts w:hint="default" w:ascii="Times New Roman" w:hAnsi="Times New Roman" w:eastAsia="宋体" w:cs="Times New Roman"/>
                <w:color w:val="auto"/>
                <w:sz w:val="21"/>
                <w:szCs w:val="21"/>
                <w:highlight w:val="none"/>
                <w:lang w:eastAsia="zh-CN"/>
              </w:rPr>
              <w:t>粪污处理池</w:t>
            </w:r>
            <w:r>
              <w:rPr>
                <w:rFonts w:hint="default" w:ascii="Times New Roman" w:hAnsi="Times New Roman" w:eastAsia="宋体" w:cs="Times New Roman"/>
                <w:color w:val="auto"/>
                <w:sz w:val="21"/>
                <w:szCs w:val="21"/>
                <w:highlight w:val="none"/>
              </w:rPr>
              <w:t>收集经堆肥发酵后，用于还田利用；</w:t>
            </w:r>
          </w:p>
          <w:p w14:paraId="78D0468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粪污处理池</w:t>
            </w:r>
            <w:r>
              <w:rPr>
                <w:rFonts w:hint="default" w:ascii="Times New Roman" w:hAnsi="Times New Roman" w:eastAsia="宋体" w:cs="Times New Roman"/>
                <w:color w:val="auto"/>
                <w:sz w:val="21"/>
                <w:szCs w:val="21"/>
                <w:highlight w:val="none"/>
              </w:rPr>
              <w:t>底部进行硬化防渗处理，四面设围墙及导流渠，</w:t>
            </w:r>
            <w:r>
              <w:rPr>
                <w:rFonts w:hint="default" w:ascii="Times New Roman" w:hAnsi="Times New Roman" w:eastAsia="宋体" w:cs="Times New Roman"/>
                <w:color w:val="auto"/>
                <w:sz w:val="21"/>
                <w:szCs w:val="21"/>
                <w:highlight w:val="none"/>
                <w:lang w:eastAsia="zh-CN"/>
              </w:rPr>
              <w:t>墙高1m</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防止</w:t>
            </w:r>
            <w:r>
              <w:rPr>
                <w:rFonts w:hint="default" w:ascii="Times New Roman" w:hAnsi="Times New Roman" w:eastAsia="宋体" w:cs="Times New Roman"/>
                <w:color w:val="auto"/>
                <w:sz w:val="21"/>
                <w:szCs w:val="21"/>
                <w:highlight w:val="none"/>
              </w:rPr>
              <w:t>因雨水进入造成外溢，形成二次污染</w:t>
            </w:r>
          </w:p>
        </w:tc>
        <w:tc>
          <w:tcPr>
            <w:tcW w:w="1220" w:type="dxa"/>
            <w:tcBorders>
              <w:top w:val="single" w:color="auto" w:sz="4" w:space="0"/>
              <w:left w:val="single" w:color="auto" w:sz="4" w:space="0"/>
              <w:bottom w:val="single" w:color="auto" w:sz="4" w:space="0"/>
              <w:right w:val="single" w:color="auto" w:sz="4" w:space="0"/>
            </w:tcBorders>
            <w:vAlign w:val="center"/>
          </w:tcPr>
          <w:p w14:paraId="6946520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w:t>
            </w:r>
          </w:p>
        </w:tc>
        <w:tc>
          <w:tcPr>
            <w:tcW w:w="2718" w:type="dxa"/>
            <w:tcBorders>
              <w:top w:val="single" w:color="auto" w:sz="4" w:space="0"/>
              <w:left w:val="single" w:color="auto" w:sz="4" w:space="0"/>
              <w:bottom w:val="single" w:color="auto" w:sz="4" w:space="0"/>
              <w:right w:val="single" w:color="auto" w:sz="4" w:space="0"/>
            </w:tcBorders>
            <w:vAlign w:val="center"/>
          </w:tcPr>
          <w:p w14:paraId="70E6B1C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资源化利用，满足《畜禽养殖业污染物排放标准》（GB18596-2001）</w:t>
            </w:r>
          </w:p>
        </w:tc>
        <w:tc>
          <w:tcPr>
            <w:tcW w:w="1012" w:type="dxa"/>
            <w:tcBorders>
              <w:top w:val="single" w:color="auto" w:sz="4" w:space="0"/>
              <w:left w:val="single" w:color="auto" w:sz="4" w:space="0"/>
              <w:bottom w:val="single" w:color="auto" w:sz="4" w:space="0"/>
              <w:right w:val="single" w:color="auto" w:sz="4" w:space="0"/>
            </w:tcBorders>
            <w:vAlign w:val="center"/>
          </w:tcPr>
          <w:p w14:paraId="2C3B6C9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“三同时”</w:t>
            </w:r>
          </w:p>
        </w:tc>
      </w:tr>
      <w:tr w14:paraId="73B80A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dxa"/>
            <w:vMerge w:val="continue"/>
            <w:tcBorders>
              <w:top w:val="single" w:color="auto" w:sz="4" w:space="0"/>
              <w:left w:val="single" w:color="auto" w:sz="4" w:space="0"/>
              <w:bottom w:val="single" w:color="auto" w:sz="4" w:space="0"/>
              <w:right w:val="single" w:color="auto" w:sz="4" w:space="0"/>
            </w:tcBorders>
            <w:vAlign w:val="center"/>
          </w:tcPr>
          <w:p w14:paraId="70825DE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55830C2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病死牛</w:t>
            </w:r>
          </w:p>
        </w:tc>
        <w:tc>
          <w:tcPr>
            <w:tcW w:w="1012" w:type="dxa"/>
            <w:tcBorders>
              <w:top w:val="single" w:color="auto" w:sz="4" w:space="0"/>
              <w:left w:val="single" w:color="auto" w:sz="4" w:space="0"/>
              <w:bottom w:val="single" w:color="auto" w:sz="4" w:space="0"/>
              <w:right w:val="single" w:color="auto" w:sz="4" w:space="0"/>
            </w:tcBorders>
            <w:vAlign w:val="center"/>
          </w:tcPr>
          <w:p w14:paraId="2172E20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GB"/>
              </w:rPr>
              <w:t>/</w:t>
            </w:r>
          </w:p>
        </w:tc>
        <w:tc>
          <w:tcPr>
            <w:tcW w:w="1012" w:type="dxa"/>
            <w:tcBorders>
              <w:top w:val="single" w:color="auto" w:sz="4" w:space="0"/>
              <w:left w:val="single" w:color="auto" w:sz="4" w:space="0"/>
              <w:bottom w:val="single" w:color="auto" w:sz="4" w:space="0"/>
              <w:right w:val="single" w:color="auto" w:sz="4" w:space="0"/>
            </w:tcBorders>
            <w:vAlign w:val="center"/>
          </w:tcPr>
          <w:p w14:paraId="21940EE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12A41B1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31883A4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926" w:type="dxa"/>
            <w:tcBorders>
              <w:top w:val="single" w:color="auto" w:sz="4" w:space="0"/>
              <w:left w:val="single" w:color="auto" w:sz="4" w:space="0"/>
              <w:bottom w:val="single" w:color="auto" w:sz="4" w:space="0"/>
              <w:right w:val="single" w:color="auto" w:sz="4" w:space="0"/>
            </w:tcBorders>
            <w:vAlign w:val="center"/>
          </w:tcPr>
          <w:p w14:paraId="3D8CA8F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交由巴彦淖尔市绿之源生物技术发展有限公司进行无害化处理。</w:t>
            </w:r>
          </w:p>
        </w:tc>
        <w:tc>
          <w:tcPr>
            <w:tcW w:w="1220" w:type="dxa"/>
            <w:tcBorders>
              <w:top w:val="single" w:color="auto" w:sz="4" w:space="0"/>
              <w:left w:val="single" w:color="auto" w:sz="4" w:space="0"/>
              <w:bottom w:val="single" w:color="auto" w:sz="4" w:space="0"/>
              <w:right w:val="single" w:color="auto" w:sz="4" w:space="0"/>
            </w:tcBorders>
            <w:vAlign w:val="center"/>
          </w:tcPr>
          <w:p w14:paraId="0C646BA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718" w:type="dxa"/>
            <w:tcBorders>
              <w:top w:val="single" w:color="auto" w:sz="4" w:space="0"/>
              <w:left w:val="single" w:color="auto" w:sz="4" w:space="0"/>
              <w:bottom w:val="single" w:color="auto" w:sz="4" w:space="0"/>
              <w:right w:val="single" w:color="auto" w:sz="4" w:space="0"/>
            </w:tcBorders>
            <w:vAlign w:val="center"/>
          </w:tcPr>
          <w:p w14:paraId="632549E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《畜禽养殖业污染治理工程技术规范》（HJ497-2009）、《畜禽养殖业污染防治技术规范》（HJ/T81-2001）、《病死及病害动物无害化处理技术规范》（农医发</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2017</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25号）</w:t>
            </w:r>
          </w:p>
        </w:tc>
        <w:tc>
          <w:tcPr>
            <w:tcW w:w="1012" w:type="dxa"/>
            <w:tcBorders>
              <w:top w:val="single" w:color="auto" w:sz="4" w:space="0"/>
              <w:left w:val="single" w:color="auto" w:sz="4" w:space="0"/>
              <w:bottom w:val="single" w:color="auto" w:sz="4" w:space="0"/>
              <w:right w:val="single" w:color="auto" w:sz="4" w:space="0"/>
            </w:tcBorders>
            <w:vAlign w:val="center"/>
          </w:tcPr>
          <w:p w14:paraId="30D3B44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“三同时”</w:t>
            </w:r>
          </w:p>
        </w:tc>
      </w:tr>
      <w:tr w14:paraId="62725B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dxa"/>
            <w:vMerge w:val="continue"/>
            <w:tcBorders>
              <w:top w:val="single" w:color="auto" w:sz="4" w:space="0"/>
              <w:left w:val="single" w:color="auto" w:sz="4" w:space="0"/>
              <w:bottom w:val="single" w:color="auto" w:sz="4" w:space="0"/>
              <w:right w:val="single" w:color="auto" w:sz="4" w:space="0"/>
            </w:tcBorders>
            <w:vAlign w:val="center"/>
          </w:tcPr>
          <w:p w14:paraId="19D8564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7A00ABA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人员</w:t>
            </w:r>
          </w:p>
        </w:tc>
        <w:tc>
          <w:tcPr>
            <w:tcW w:w="1012" w:type="dxa"/>
            <w:tcBorders>
              <w:top w:val="single" w:color="auto" w:sz="4" w:space="0"/>
              <w:left w:val="single" w:color="auto" w:sz="4" w:space="0"/>
              <w:bottom w:val="single" w:color="auto" w:sz="4" w:space="0"/>
              <w:right w:val="single" w:color="auto" w:sz="4" w:space="0"/>
            </w:tcBorders>
            <w:vAlign w:val="center"/>
          </w:tcPr>
          <w:p w14:paraId="6ABC653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GB"/>
              </w:rPr>
              <w:t>/</w:t>
            </w:r>
          </w:p>
        </w:tc>
        <w:tc>
          <w:tcPr>
            <w:tcW w:w="1012" w:type="dxa"/>
            <w:tcBorders>
              <w:top w:val="single" w:color="auto" w:sz="4" w:space="0"/>
              <w:left w:val="single" w:color="auto" w:sz="4" w:space="0"/>
              <w:bottom w:val="single" w:color="auto" w:sz="4" w:space="0"/>
              <w:right w:val="single" w:color="auto" w:sz="4" w:space="0"/>
            </w:tcBorders>
            <w:vAlign w:val="center"/>
          </w:tcPr>
          <w:p w14:paraId="3563C8D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生活垃圾</w:t>
            </w:r>
          </w:p>
        </w:tc>
        <w:tc>
          <w:tcPr>
            <w:tcW w:w="1012" w:type="dxa"/>
            <w:tcBorders>
              <w:top w:val="single" w:color="auto" w:sz="4" w:space="0"/>
              <w:left w:val="single" w:color="auto" w:sz="4" w:space="0"/>
              <w:bottom w:val="single" w:color="auto" w:sz="4" w:space="0"/>
              <w:right w:val="single" w:color="auto" w:sz="4" w:space="0"/>
            </w:tcBorders>
            <w:vAlign w:val="center"/>
          </w:tcPr>
          <w:p w14:paraId="2B83562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2C4A5B3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926" w:type="dxa"/>
            <w:tcBorders>
              <w:top w:val="single" w:color="auto" w:sz="4" w:space="0"/>
              <w:left w:val="single" w:color="auto" w:sz="4" w:space="0"/>
              <w:bottom w:val="single" w:color="auto" w:sz="4" w:space="0"/>
              <w:right w:val="single" w:color="auto" w:sz="4" w:space="0"/>
            </w:tcBorders>
            <w:vAlign w:val="center"/>
          </w:tcPr>
          <w:p w14:paraId="1082484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场区设置垃圾桶分类收集，交由环卫部门处理</w:t>
            </w:r>
          </w:p>
        </w:tc>
        <w:tc>
          <w:tcPr>
            <w:tcW w:w="1220" w:type="dxa"/>
            <w:tcBorders>
              <w:top w:val="single" w:color="auto" w:sz="4" w:space="0"/>
              <w:left w:val="single" w:color="auto" w:sz="4" w:space="0"/>
              <w:bottom w:val="single" w:color="auto" w:sz="4" w:space="0"/>
              <w:right w:val="single" w:color="auto" w:sz="4" w:space="0"/>
            </w:tcBorders>
            <w:vAlign w:val="center"/>
          </w:tcPr>
          <w:p w14:paraId="59AEE10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718" w:type="dxa"/>
            <w:tcBorders>
              <w:top w:val="single" w:color="auto" w:sz="4" w:space="0"/>
              <w:left w:val="single" w:color="auto" w:sz="4" w:space="0"/>
              <w:bottom w:val="single" w:color="auto" w:sz="4" w:space="0"/>
              <w:right w:val="single" w:color="auto" w:sz="4" w:space="0"/>
            </w:tcBorders>
            <w:vAlign w:val="center"/>
          </w:tcPr>
          <w:p w14:paraId="7849A53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0BFEE80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“三同时”</w:t>
            </w:r>
          </w:p>
        </w:tc>
      </w:tr>
      <w:tr w14:paraId="449A3FB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dxa"/>
            <w:tcBorders>
              <w:top w:val="single" w:color="auto" w:sz="4" w:space="0"/>
              <w:left w:val="single" w:color="auto" w:sz="4" w:space="0"/>
              <w:bottom w:val="single" w:color="auto" w:sz="4" w:space="0"/>
              <w:right w:val="single" w:color="auto" w:sz="4" w:space="0"/>
            </w:tcBorders>
            <w:vAlign w:val="center"/>
          </w:tcPr>
          <w:p w14:paraId="4EC80DE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1012" w:type="dxa"/>
            <w:tcBorders>
              <w:top w:val="single" w:color="auto" w:sz="4" w:space="0"/>
              <w:left w:val="single" w:color="auto" w:sz="4" w:space="0"/>
              <w:bottom w:val="single" w:color="auto" w:sz="4" w:space="0"/>
              <w:right w:val="single" w:color="auto" w:sz="4" w:space="0"/>
            </w:tcBorders>
            <w:vAlign w:val="center"/>
          </w:tcPr>
          <w:p w14:paraId="2EA4A36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风机和泵类</w:t>
            </w:r>
          </w:p>
        </w:tc>
        <w:tc>
          <w:tcPr>
            <w:tcW w:w="1012" w:type="dxa"/>
            <w:tcBorders>
              <w:top w:val="single" w:color="auto" w:sz="4" w:space="0"/>
              <w:left w:val="single" w:color="auto" w:sz="4" w:space="0"/>
              <w:bottom w:val="single" w:color="auto" w:sz="4" w:space="0"/>
              <w:right w:val="single" w:color="auto" w:sz="4" w:space="0"/>
            </w:tcBorders>
            <w:vAlign w:val="center"/>
          </w:tcPr>
          <w:p w14:paraId="13CB894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GB" w:eastAsia="zh-CN"/>
              </w:rPr>
            </w:pPr>
            <w:r>
              <w:rPr>
                <w:rFonts w:hint="default" w:ascii="Times New Roman" w:hAnsi="Times New Roman" w:eastAsia="宋体" w:cs="Times New Roman"/>
                <w:color w:val="auto"/>
                <w:sz w:val="21"/>
                <w:szCs w:val="21"/>
                <w:highlight w:val="none"/>
                <w:lang w:val="en-GB" w:eastAsia="zh-CN"/>
              </w:rPr>
              <w:t>厂界四周</w:t>
            </w:r>
          </w:p>
        </w:tc>
        <w:tc>
          <w:tcPr>
            <w:tcW w:w="1012" w:type="dxa"/>
            <w:tcBorders>
              <w:top w:val="single" w:color="auto" w:sz="4" w:space="0"/>
              <w:left w:val="single" w:color="auto" w:sz="4" w:space="0"/>
              <w:bottom w:val="single" w:color="auto" w:sz="4" w:space="0"/>
              <w:right w:val="single" w:color="auto" w:sz="4" w:space="0"/>
            </w:tcBorders>
            <w:vAlign w:val="center"/>
          </w:tcPr>
          <w:p w14:paraId="7C9DB2E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等效噪声A声级</w:t>
            </w:r>
          </w:p>
        </w:tc>
        <w:tc>
          <w:tcPr>
            <w:tcW w:w="1012" w:type="dxa"/>
            <w:tcBorders>
              <w:top w:val="single" w:color="auto" w:sz="4" w:space="0"/>
              <w:left w:val="single" w:color="auto" w:sz="4" w:space="0"/>
              <w:bottom w:val="single" w:color="auto" w:sz="4" w:space="0"/>
              <w:right w:val="single" w:color="auto" w:sz="4" w:space="0"/>
            </w:tcBorders>
            <w:vAlign w:val="center"/>
          </w:tcPr>
          <w:p w14:paraId="0F3EAE7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1272842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926" w:type="dxa"/>
            <w:tcBorders>
              <w:top w:val="single" w:color="auto" w:sz="4" w:space="0"/>
              <w:left w:val="single" w:color="auto" w:sz="4" w:space="0"/>
              <w:bottom w:val="single" w:color="auto" w:sz="4" w:space="0"/>
              <w:right w:val="single" w:color="auto" w:sz="4" w:space="0"/>
            </w:tcBorders>
            <w:vAlign w:val="center"/>
          </w:tcPr>
          <w:p w14:paraId="326B97C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基础减振、全封闭TMR车间等措施</w:t>
            </w:r>
          </w:p>
        </w:tc>
        <w:tc>
          <w:tcPr>
            <w:tcW w:w="1220" w:type="dxa"/>
            <w:tcBorders>
              <w:top w:val="single" w:color="auto" w:sz="4" w:space="0"/>
              <w:left w:val="single" w:color="auto" w:sz="4" w:space="0"/>
              <w:bottom w:val="single" w:color="auto" w:sz="4" w:space="0"/>
              <w:right w:val="single" w:color="auto" w:sz="4" w:space="0"/>
            </w:tcBorders>
            <w:vAlign w:val="center"/>
          </w:tcPr>
          <w:p w14:paraId="010429C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718" w:type="dxa"/>
            <w:tcBorders>
              <w:top w:val="single" w:color="auto" w:sz="4" w:space="0"/>
              <w:left w:val="single" w:color="auto" w:sz="4" w:space="0"/>
              <w:bottom w:val="single" w:color="auto" w:sz="4" w:space="0"/>
              <w:right w:val="single" w:color="auto" w:sz="4" w:space="0"/>
            </w:tcBorders>
            <w:vAlign w:val="center"/>
          </w:tcPr>
          <w:p w14:paraId="086CDEF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FFC000"/>
                <w:sz w:val="21"/>
                <w:szCs w:val="21"/>
                <w:highlight w:val="none"/>
              </w:rPr>
              <w:t>《工业企业厂界环境噪声排放标准》（GB12348-2008）</w:t>
            </w:r>
            <w:r>
              <w:rPr>
                <w:rFonts w:hint="default" w:ascii="Times New Roman" w:hAnsi="Times New Roman" w:eastAsia="宋体" w:cs="Times New Roman"/>
                <w:color w:val="FFC000"/>
                <w:sz w:val="21"/>
                <w:szCs w:val="21"/>
                <w:highlight w:val="none"/>
                <w:lang w:eastAsia="zh-CN"/>
              </w:rPr>
              <w:t>表</w:t>
            </w:r>
            <w:r>
              <w:rPr>
                <w:rFonts w:hint="default" w:ascii="Times New Roman" w:hAnsi="Times New Roman" w:eastAsia="宋体" w:cs="Times New Roman"/>
                <w:color w:val="FFC000"/>
                <w:sz w:val="21"/>
                <w:szCs w:val="21"/>
                <w:highlight w:val="none"/>
                <w:lang w:val="en-US" w:eastAsia="zh-CN"/>
              </w:rPr>
              <w:t>1工业企业厂界环境噪声排放限值中</w:t>
            </w:r>
            <w:r>
              <w:rPr>
                <w:rFonts w:hint="default" w:ascii="Times New Roman" w:hAnsi="Times New Roman" w:eastAsia="宋体" w:cs="Times New Roman"/>
                <w:color w:val="FFC000"/>
                <w:sz w:val="21"/>
                <w:szCs w:val="21"/>
                <w:highlight w:val="none"/>
                <w:lang w:val="en-US" w:eastAsia="zh-CN"/>
              </w:rPr>
              <w:t>1</w:t>
            </w:r>
            <w:r>
              <w:rPr>
                <w:rFonts w:hint="default" w:ascii="Times New Roman" w:hAnsi="Times New Roman" w:eastAsia="宋体" w:cs="Times New Roman"/>
                <w:color w:val="FFC000"/>
                <w:sz w:val="21"/>
                <w:szCs w:val="21"/>
                <w:highlight w:val="none"/>
                <w:lang w:val="en-US" w:eastAsia="zh-CN"/>
              </w:rPr>
              <w:t>类功能区排放限值</w:t>
            </w:r>
          </w:p>
        </w:tc>
        <w:tc>
          <w:tcPr>
            <w:tcW w:w="1012" w:type="dxa"/>
            <w:tcBorders>
              <w:top w:val="single" w:color="auto" w:sz="4" w:space="0"/>
              <w:left w:val="single" w:color="auto" w:sz="4" w:space="0"/>
              <w:bottom w:val="single" w:color="auto" w:sz="4" w:space="0"/>
              <w:right w:val="single" w:color="auto" w:sz="4" w:space="0"/>
            </w:tcBorders>
            <w:vAlign w:val="center"/>
          </w:tcPr>
          <w:p w14:paraId="3E520A9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“三同时”</w:t>
            </w:r>
          </w:p>
        </w:tc>
      </w:tr>
      <w:tr w14:paraId="505528F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dxa"/>
            <w:vMerge w:val="restart"/>
            <w:tcBorders>
              <w:top w:val="single" w:color="auto" w:sz="4" w:space="0"/>
              <w:left w:val="single" w:color="auto" w:sz="4" w:space="0"/>
              <w:bottom w:val="single" w:color="auto" w:sz="4" w:space="0"/>
              <w:right w:val="single" w:color="auto" w:sz="4" w:space="0"/>
            </w:tcBorders>
            <w:vAlign w:val="center"/>
          </w:tcPr>
          <w:p w14:paraId="08B4C1C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农肥</w:t>
            </w:r>
          </w:p>
        </w:tc>
        <w:tc>
          <w:tcPr>
            <w:tcW w:w="1012" w:type="dxa"/>
            <w:tcBorders>
              <w:top w:val="single" w:color="auto" w:sz="4" w:space="0"/>
              <w:left w:val="single" w:color="auto" w:sz="4" w:space="0"/>
              <w:bottom w:val="single" w:color="auto" w:sz="4" w:space="0"/>
              <w:right w:val="single" w:color="auto" w:sz="4" w:space="0"/>
            </w:tcBorders>
            <w:vAlign w:val="center"/>
          </w:tcPr>
          <w:p w14:paraId="434861C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肥料</w:t>
            </w:r>
          </w:p>
        </w:tc>
        <w:tc>
          <w:tcPr>
            <w:tcW w:w="1012" w:type="dxa"/>
            <w:tcBorders>
              <w:top w:val="single" w:color="auto" w:sz="4" w:space="0"/>
              <w:left w:val="single" w:color="auto" w:sz="4" w:space="0"/>
              <w:bottom w:val="single" w:color="auto" w:sz="4" w:space="0"/>
              <w:right w:val="single" w:color="auto" w:sz="4" w:space="0"/>
            </w:tcBorders>
            <w:vAlign w:val="center"/>
          </w:tcPr>
          <w:p w14:paraId="4B90936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w:t>
            </w:r>
          </w:p>
        </w:tc>
        <w:tc>
          <w:tcPr>
            <w:tcW w:w="1012" w:type="dxa"/>
            <w:tcBorders>
              <w:top w:val="single" w:color="auto" w:sz="4" w:space="0"/>
              <w:left w:val="single" w:color="auto" w:sz="4" w:space="0"/>
              <w:bottom w:val="single" w:color="auto" w:sz="4" w:space="0"/>
              <w:right w:val="single" w:color="auto" w:sz="4" w:space="0"/>
            </w:tcBorders>
            <w:vAlign w:val="center"/>
          </w:tcPr>
          <w:p w14:paraId="0DF8DE8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w:t>
            </w:r>
          </w:p>
        </w:tc>
        <w:tc>
          <w:tcPr>
            <w:tcW w:w="1012" w:type="dxa"/>
            <w:tcBorders>
              <w:top w:val="single" w:color="auto" w:sz="4" w:space="0"/>
              <w:left w:val="single" w:color="auto" w:sz="4" w:space="0"/>
              <w:bottom w:val="single" w:color="auto" w:sz="4" w:space="0"/>
              <w:right w:val="single" w:color="auto" w:sz="4" w:space="0"/>
            </w:tcBorders>
            <w:vAlign w:val="center"/>
          </w:tcPr>
          <w:p w14:paraId="78C4ADF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7877F05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rPr>
              <w:t>/</w:t>
            </w:r>
          </w:p>
        </w:tc>
        <w:tc>
          <w:tcPr>
            <w:tcW w:w="2926" w:type="dxa"/>
            <w:tcBorders>
              <w:top w:val="single" w:color="auto" w:sz="4" w:space="0"/>
              <w:left w:val="single" w:color="auto" w:sz="4" w:space="0"/>
              <w:bottom w:val="single" w:color="auto" w:sz="4" w:space="0"/>
              <w:right w:val="single" w:color="auto" w:sz="4" w:space="0"/>
            </w:tcBorders>
            <w:vAlign w:val="center"/>
          </w:tcPr>
          <w:p w14:paraId="1112B75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固体肥还田时采用封闭运输车辆。主要检测蛔虫卵、粪大肠菌群数等，满足相关法规及规范关于无害化的要求</w:t>
            </w:r>
          </w:p>
        </w:tc>
        <w:tc>
          <w:tcPr>
            <w:tcW w:w="1220" w:type="dxa"/>
            <w:tcBorders>
              <w:top w:val="single" w:color="auto" w:sz="4" w:space="0"/>
              <w:left w:val="single" w:color="auto" w:sz="4" w:space="0"/>
              <w:bottom w:val="single" w:color="auto" w:sz="4" w:space="0"/>
              <w:right w:val="single" w:color="auto" w:sz="4" w:space="0"/>
            </w:tcBorders>
            <w:vAlign w:val="center"/>
          </w:tcPr>
          <w:p w14:paraId="1506B7D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718" w:type="dxa"/>
            <w:vMerge w:val="restart"/>
            <w:tcBorders>
              <w:top w:val="single" w:color="auto" w:sz="4" w:space="0"/>
              <w:left w:val="single" w:color="auto" w:sz="4" w:space="0"/>
              <w:bottom w:val="single" w:color="auto" w:sz="4" w:space="0"/>
              <w:right w:val="single" w:color="auto" w:sz="4" w:space="0"/>
            </w:tcBorders>
            <w:vAlign w:val="center"/>
          </w:tcPr>
          <w:p w14:paraId="2AD0CC2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满足《畜禽规模养殖污染防治条例》（第643号）有关畜禽粪便综合利用与治理相关要求及《畜禽养殖业污染物排放标准》（GB18596-2001）中表6畜禽养殖业废渣无害化环境标准关于无害化的要求，进行资源化还田</w:t>
            </w:r>
          </w:p>
        </w:tc>
        <w:tc>
          <w:tcPr>
            <w:tcW w:w="1012" w:type="dxa"/>
            <w:tcBorders>
              <w:top w:val="single" w:color="auto" w:sz="4" w:space="0"/>
              <w:left w:val="single" w:color="auto" w:sz="4" w:space="0"/>
              <w:bottom w:val="single" w:color="auto" w:sz="4" w:space="0"/>
              <w:right w:val="single" w:color="auto" w:sz="4" w:space="0"/>
            </w:tcBorders>
            <w:vAlign w:val="center"/>
          </w:tcPr>
          <w:p w14:paraId="5551A1A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“三同时”</w:t>
            </w:r>
          </w:p>
        </w:tc>
      </w:tr>
      <w:tr w14:paraId="2DDDDB2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dxa"/>
            <w:vMerge w:val="continue"/>
            <w:tcBorders>
              <w:top w:val="single" w:color="auto" w:sz="4" w:space="0"/>
              <w:left w:val="single" w:color="auto" w:sz="4" w:space="0"/>
              <w:bottom w:val="single" w:color="auto" w:sz="4" w:space="0"/>
              <w:right w:val="single" w:color="auto" w:sz="4" w:space="0"/>
            </w:tcBorders>
            <w:vAlign w:val="center"/>
          </w:tcPr>
          <w:p w14:paraId="31B5D8A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3545491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消纳土地</w:t>
            </w:r>
          </w:p>
        </w:tc>
        <w:tc>
          <w:tcPr>
            <w:tcW w:w="1012" w:type="dxa"/>
            <w:tcBorders>
              <w:top w:val="single" w:color="auto" w:sz="4" w:space="0"/>
              <w:left w:val="single" w:color="auto" w:sz="4" w:space="0"/>
              <w:bottom w:val="single" w:color="auto" w:sz="4" w:space="0"/>
              <w:right w:val="single" w:color="auto" w:sz="4" w:space="0"/>
            </w:tcBorders>
            <w:vAlign w:val="center"/>
          </w:tcPr>
          <w:p w14:paraId="551B464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w:t>
            </w:r>
          </w:p>
        </w:tc>
        <w:tc>
          <w:tcPr>
            <w:tcW w:w="1012" w:type="dxa"/>
            <w:tcBorders>
              <w:top w:val="single" w:color="auto" w:sz="4" w:space="0"/>
              <w:left w:val="single" w:color="auto" w:sz="4" w:space="0"/>
              <w:bottom w:val="single" w:color="auto" w:sz="4" w:space="0"/>
              <w:right w:val="single" w:color="auto" w:sz="4" w:space="0"/>
            </w:tcBorders>
            <w:vAlign w:val="center"/>
          </w:tcPr>
          <w:p w14:paraId="59FB01F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w:t>
            </w:r>
          </w:p>
        </w:tc>
        <w:tc>
          <w:tcPr>
            <w:tcW w:w="1012" w:type="dxa"/>
            <w:tcBorders>
              <w:top w:val="single" w:color="auto" w:sz="4" w:space="0"/>
              <w:left w:val="single" w:color="auto" w:sz="4" w:space="0"/>
              <w:bottom w:val="single" w:color="auto" w:sz="4" w:space="0"/>
              <w:right w:val="single" w:color="auto" w:sz="4" w:space="0"/>
            </w:tcBorders>
            <w:vAlign w:val="center"/>
          </w:tcPr>
          <w:p w14:paraId="1A82DDB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2296BAA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rPr>
              <w:t>/</w:t>
            </w:r>
          </w:p>
        </w:tc>
        <w:tc>
          <w:tcPr>
            <w:tcW w:w="2926" w:type="dxa"/>
            <w:tcBorders>
              <w:top w:val="single" w:color="auto" w:sz="4" w:space="0"/>
              <w:left w:val="single" w:color="auto" w:sz="4" w:space="0"/>
              <w:bottom w:val="single" w:color="auto" w:sz="4" w:space="0"/>
              <w:right w:val="single" w:color="auto" w:sz="4" w:space="0"/>
            </w:tcBorders>
            <w:vAlign w:val="center"/>
          </w:tcPr>
          <w:p w14:paraId="5790C1C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项目运营时配套有效消纳土地不少于</w:t>
            </w:r>
            <w:r>
              <w:rPr>
                <w:rFonts w:hint="default" w:ascii="Times New Roman" w:hAnsi="Times New Roman" w:eastAsia="宋体" w:cs="Times New Roman"/>
                <w:color w:val="auto"/>
                <w:sz w:val="21"/>
                <w:szCs w:val="21"/>
                <w:highlight w:val="none"/>
                <w:lang w:val="en-US" w:eastAsia="zh-CN"/>
              </w:rPr>
              <w:t>6250</w:t>
            </w:r>
            <w:r>
              <w:rPr>
                <w:rFonts w:hint="default" w:ascii="Times New Roman" w:hAnsi="Times New Roman" w:eastAsia="宋体" w:cs="Times New Roman"/>
                <w:color w:val="auto"/>
                <w:sz w:val="21"/>
                <w:szCs w:val="21"/>
                <w:highlight w:val="none"/>
                <w:lang w:eastAsia="zh-CN"/>
              </w:rPr>
              <w:t>亩</w:t>
            </w:r>
            <w:r>
              <w:rPr>
                <w:rFonts w:hint="default" w:ascii="Times New Roman" w:hAnsi="Times New Roman" w:eastAsia="宋体" w:cs="Times New Roman"/>
                <w:color w:val="auto"/>
                <w:sz w:val="21"/>
                <w:szCs w:val="21"/>
                <w:highlight w:val="none"/>
              </w:rPr>
              <w:t>，消纳项目所产生的粪便发酵形成的</w:t>
            </w:r>
            <w:r>
              <w:rPr>
                <w:rFonts w:hint="default" w:ascii="Times New Roman" w:hAnsi="Times New Roman" w:eastAsia="宋体" w:cs="Times New Roman"/>
                <w:color w:val="auto"/>
                <w:sz w:val="21"/>
                <w:szCs w:val="21"/>
                <w:highlight w:val="none"/>
                <w:lang w:eastAsia="zh-CN"/>
              </w:rPr>
              <w:t>有机肥</w:t>
            </w:r>
            <w:r>
              <w:rPr>
                <w:rFonts w:hint="default" w:ascii="Times New Roman" w:hAnsi="Times New Roman" w:eastAsia="宋体" w:cs="Times New Roman"/>
                <w:color w:val="auto"/>
                <w:sz w:val="21"/>
                <w:szCs w:val="21"/>
                <w:highlight w:val="none"/>
              </w:rPr>
              <w:t>。</w:t>
            </w:r>
          </w:p>
        </w:tc>
        <w:tc>
          <w:tcPr>
            <w:tcW w:w="1220" w:type="dxa"/>
            <w:tcBorders>
              <w:top w:val="single" w:color="auto" w:sz="4" w:space="0"/>
              <w:left w:val="single" w:color="auto" w:sz="4" w:space="0"/>
              <w:bottom w:val="single" w:color="auto" w:sz="4" w:space="0"/>
              <w:right w:val="single" w:color="auto" w:sz="4" w:space="0"/>
            </w:tcBorders>
            <w:vAlign w:val="center"/>
          </w:tcPr>
          <w:p w14:paraId="5F53972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718" w:type="dxa"/>
            <w:vMerge w:val="continue"/>
            <w:tcBorders>
              <w:top w:val="single" w:color="auto" w:sz="4" w:space="0"/>
              <w:left w:val="single" w:color="auto" w:sz="4" w:space="0"/>
              <w:bottom w:val="single" w:color="auto" w:sz="4" w:space="0"/>
              <w:right w:val="single" w:color="auto" w:sz="4" w:space="0"/>
            </w:tcBorders>
            <w:vAlign w:val="center"/>
          </w:tcPr>
          <w:p w14:paraId="64E6443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618A78A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“三同时”</w:t>
            </w:r>
          </w:p>
        </w:tc>
      </w:tr>
      <w:tr w14:paraId="7CB0C8B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dxa"/>
            <w:tcBorders>
              <w:top w:val="single" w:color="auto" w:sz="4" w:space="0"/>
              <w:left w:val="single" w:color="auto" w:sz="4" w:space="0"/>
              <w:bottom w:val="single" w:color="auto" w:sz="4" w:space="0"/>
              <w:right w:val="single" w:color="auto" w:sz="4" w:space="0"/>
            </w:tcBorders>
            <w:vAlign w:val="center"/>
          </w:tcPr>
          <w:p w14:paraId="41239B4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绿化</w:t>
            </w:r>
          </w:p>
        </w:tc>
        <w:tc>
          <w:tcPr>
            <w:tcW w:w="1012" w:type="dxa"/>
            <w:tcBorders>
              <w:top w:val="single" w:color="auto" w:sz="4" w:space="0"/>
              <w:left w:val="single" w:color="auto" w:sz="4" w:space="0"/>
              <w:bottom w:val="single" w:color="auto" w:sz="4" w:space="0"/>
              <w:right w:val="single" w:color="auto" w:sz="4" w:space="0"/>
            </w:tcBorders>
            <w:vAlign w:val="center"/>
          </w:tcPr>
          <w:p w14:paraId="69E6F9C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GB"/>
              </w:rPr>
            </w:pPr>
          </w:p>
        </w:tc>
        <w:tc>
          <w:tcPr>
            <w:tcW w:w="2024" w:type="dxa"/>
            <w:gridSpan w:val="2"/>
            <w:tcBorders>
              <w:top w:val="single" w:color="auto" w:sz="4" w:space="0"/>
              <w:left w:val="single" w:color="auto" w:sz="4" w:space="0"/>
              <w:bottom w:val="single" w:color="auto" w:sz="4" w:space="0"/>
              <w:right w:val="single" w:color="auto" w:sz="4" w:space="0"/>
            </w:tcBorders>
            <w:vAlign w:val="center"/>
          </w:tcPr>
          <w:p w14:paraId="1408C96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t>绿化工程</w:t>
            </w:r>
          </w:p>
        </w:tc>
        <w:tc>
          <w:tcPr>
            <w:tcW w:w="1012" w:type="dxa"/>
            <w:tcBorders>
              <w:top w:val="single" w:color="auto" w:sz="4" w:space="0"/>
              <w:left w:val="single" w:color="auto" w:sz="4" w:space="0"/>
              <w:bottom w:val="single" w:color="auto" w:sz="4" w:space="0"/>
              <w:right w:val="single" w:color="auto" w:sz="4" w:space="0"/>
            </w:tcBorders>
            <w:vAlign w:val="center"/>
          </w:tcPr>
          <w:p w14:paraId="6CC0D09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2FF2E13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rPr>
              <w:t>/</w:t>
            </w:r>
          </w:p>
        </w:tc>
        <w:tc>
          <w:tcPr>
            <w:tcW w:w="2926" w:type="dxa"/>
            <w:tcBorders>
              <w:top w:val="single" w:color="auto" w:sz="4" w:space="0"/>
              <w:left w:val="single" w:color="auto" w:sz="4" w:space="0"/>
              <w:bottom w:val="single" w:color="auto" w:sz="4" w:space="0"/>
              <w:right w:val="single" w:color="auto" w:sz="4" w:space="0"/>
            </w:tcBorders>
            <w:vAlign w:val="center"/>
          </w:tcPr>
          <w:p w14:paraId="13F1FA4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在场区四周、建筑物及道路两侧要种植乔灌相间的常青树，尤其应对牛场进行重点绿化，选择适宜的树种和草本植物，结合地区气候条件进行绿化美化工作环境，绿化面积为</w:t>
            </w:r>
            <w:r>
              <w:rPr>
                <w:rFonts w:hint="default" w:ascii="Times New Roman" w:hAnsi="Times New Roman" w:eastAsia="宋体" w:cs="Times New Roman"/>
                <w:color w:val="auto"/>
                <w:sz w:val="21"/>
                <w:szCs w:val="21"/>
                <w:highlight w:val="none"/>
                <w:lang w:val="en-US" w:eastAsia="zh-CN"/>
              </w:rPr>
              <w:t>10000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w:t>
            </w:r>
          </w:p>
        </w:tc>
        <w:tc>
          <w:tcPr>
            <w:tcW w:w="1220" w:type="dxa"/>
            <w:tcBorders>
              <w:top w:val="single" w:color="auto" w:sz="4" w:space="0"/>
              <w:left w:val="single" w:color="auto" w:sz="4" w:space="0"/>
              <w:bottom w:val="single" w:color="auto" w:sz="4" w:space="0"/>
              <w:right w:val="single" w:color="auto" w:sz="4" w:space="0"/>
            </w:tcBorders>
            <w:vAlign w:val="center"/>
          </w:tcPr>
          <w:p w14:paraId="282822BA">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718" w:type="dxa"/>
            <w:tcBorders>
              <w:top w:val="single" w:color="auto" w:sz="4" w:space="0"/>
              <w:left w:val="single" w:color="auto" w:sz="4" w:space="0"/>
              <w:bottom w:val="single" w:color="auto" w:sz="4" w:space="0"/>
              <w:right w:val="single" w:color="auto" w:sz="4" w:space="0"/>
            </w:tcBorders>
            <w:vAlign w:val="center"/>
          </w:tcPr>
          <w:p w14:paraId="0363A6F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12" w:type="dxa"/>
            <w:tcBorders>
              <w:top w:val="single" w:color="auto" w:sz="4" w:space="0"/>
              <w:left w:val="single" w:color="auto" w:sz="4" w:space="0"/>
              <w:bottom w:val="single" w:color="auto" w:sz="4" w:space="0"/>
              <w:right w:val="single" w:color="auto" w:sz="4" w:space="0"/>
            </w:tcBorders>
            <w:vAlign w:val="center"/>
          </w:tcPr>
          <w:p w14:paraId="3E3A0235">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“三同时”</w:t>
            </w:r>
          </w:p>
        </w:tc>
      </w:tr>
      <w:bookmarkEnd w:id="726"/>
    </w:tbl>
    <w:p w14:paraId="27CB2B72">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p>
    <w:p w14:paraId="75DCC42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Cs w:val="20"/>
          <w:highlight w:val="none"/>
          <w:lang w:val="en-GB"/>
        </w:rPr>
        <w:sectPr>
          <w:pgSz w:w="16838" w:h="11906" w:orient="landscape"/>
          <w:pgMar w:top="1440" w:right="1800" w:bottom="1440" w:left="1800" w:header="851" w:footer="1134" w:gutter="0"/>
          <w:pgBorders>
            <w:top w:val="none" w:sz="0" w:space="0"/>
            <w:left w:val="none" w:sz="0" w:space="0"/>
            <w:bottom w:val="none" w:sz="0" w:space="0"/>
            <w:right w:val="none" w:sz="0" w:space="0"/>
          </w:pgBorders>
          <w:pgNumType w:fmt="decimal"/>
          <w:cols w:space="720" w:num="1"/>
          <w:docGrid w:linePitch="326" w:charSpace="0"/>
        </w:sectPr>
      </w:pPr>
    </w:p>
    <w:p w14:paraId="5BB0935D">
      <w:pPr>
        <w:pStyle w:val="2"/>
        <w:pageBreakBefore w:val="0"/>
        <w:kinsoku/>
        <w:wordWrap/>
        <w:bidi w:val="0"/>
        <w:snapToGrid w:val="0"/>
        <w:spacing w:before="0" w:after="0" w:line="360" w:lineRule="auto"/>
        <w:ind w:left="0" w:leftChars="0" w:right="0" w:rightChars="0"/>
        <w:rPr>
          <w:rFonts w:hint="default" w:ascii="Times New Roman" w:hAnsi="Times New Roman" w:eastAsia="宋体" w:cs="Times New Roman"/>
          <w:color w:val="auto"/>
          <w:highlight w:val="none"/>
        </w:rPr>
      </w:pPr>
      <w:bookmarkStart w:id="727" w:name="_Toc9472"/>
      <w:bookmarkStart w:id="728" w:name="_Toc523322410"/>
      <w:r>
        <w:rPr>
          <w:rFonts w:hint="default" w:ascii="Times New Roman" w:hAnsi="Times New Roman" w:eastAsia="宋体" w:cs="Times New Roman"/>
          <w:color w:val="auto"/>
          <w:highlight w:val="none"/>
        </w:rPr>
        <w:t>10结论及建议</w:t>
      </w:r>
      <w:bookmarkEnd w:id="727"/>
      <w:bookmarkEnd w:id="728"/>
    </w:p>
    <w:p w14:paraId="4448E412">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729" w:name="_Toc26733"/>
      <w:bookmarkStart w:id="730" w:name="_Toc523322411"/>
      <w:bookmarkStart w:id="731" w:name="_Toc494206411"/>
      <w:bookmarkStart w:id="732" w:name="_Toc487188689"/>
      <w:r>
        <w:rPr>
          <w:rFonts w:hint="default" w:ascii="Times New Roman" w:hAnsi="Times New Roman" w:eastAsia="宋体" w:cs="Times New Roman"/>
          <w:color w:val="auto"/>
          <w:highlight w:val="none"/>
        </w:rPr>
        <w:t>10.1建设项目概况</w:t>
      </w:r>
      <w:bookmarkEnd w:id="729"/>
      <w:bookmarkEnd w:id="730"/>
      <w:bookmarkEnd w:id="731"/>
      <w:bookmarkEnd w:id="732"/>
    </w:p>
    <w:p w14:paraId="0DCEBCA2">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lang w:eastAsia="zh-CN"/>
        </w:rPr>
        <w:t>乌拉特前旗大佘太中海禾牧养殖专业合作社新建肉牛养殖项目</w:t>
      </w:r>
      <w:r>
        <w:rPr>
          <w:rFonts w:hint="default" w:ascii="Times New Roman" w:hAnsi="Times New Roman" w:eastAsia="宋体" w:cs="Times New Roman"/>
          <w:color w:val="auto"/>
          <w:szCs w:val="24"/>
          <w:highlight w:val="none"/>
        </w:rPr>
        <w:t>位于</w:t>
      </w:r>
      <w:r>
        <w:rPr>
          <w:rFonts w:hint="default" w:ascii="Times New Roman" w:hAnsi="Times New Roman" w:eastAsia="宋体" w:cs="Times New Roman"/>
          <w:color w:val="auto"/>
          <w:szCs w:val="24"/>
          <w:highlight w:val="none"/>
          <w:lang w:eastAsia="zh-CN"/>
        </w:rPr>
        <w:t>内蒙古自治区巴彦淖尔市乌拉特前旗大佘太镇马卜子村</w:t>
      </w:r>
      <w:r>
        <w:rPr>
          <w:rFonts w:hint="default" w:ascii="Times New Roman" w:hAnsi="Times New Roman" w:eastAsia="宋体" w:cs="Times New Roman"/>
          <w:color w:val="auto"/>
          <w:szCs w:val="24"/>
          <w:highlight w:val="none"/>
        </w:rPr>
        <w:t>，项目总投资</w:t>
      </w:r>
      <w:r>
        <w:rPr>
          <w:rFonts w:hint="default" w:ascii="Times New Roman" w:hAnsi="Times New Roman" w:eastAsia="宋体" w:cs="Times New Roman"/>
          <w:color w:val="auto"/>
          <w:szCs w:val="24"/>
          <w:highlight w:val="none"/>
          <w:lang w:val="en-US" w:eastAsia="zh-CN"/>
        </w:rPr>
        <w:t>7000万元</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highlight w:val="none"/>
        </w:rPr>
        <w:t>项目占地面积</w:t>
      </w:r>
      <w:r>
        <w:rPr>
          <w:rFonts w:hint="default" w:ascii="Times New Roman" w:hAnsi="Times New Roman" w:eastAsia="宋体" w:cs="Times New Roman"/>
          <w:color w:val="auto"/>
          <w:highlight w:val="none"/>
          <w:lang w:eastAsia="zh-CN"/>
        </w:rPr>
        <w:t>161555.36</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rPr>
        <w:t>，主要建设内容包括：</w:t>
      </w:r>
      <w:r>
        <w:rPr>
          <w:rFonts w:hint="default" w:ascii="Times New Roman" w:hAnsi="Times New Roman" w:eastAsia="宋体" w:cs="Times New Roman"/>
          <w:color w:val="auto"/>
          <w:highlight w:val="none"/>
          <w:lang w:eastAsia="zh-CN"/>
        </w:rPr>
        <w:t>项目</w:t>
      </w:r>
      <w:r>
        <w:rPr>
          <w:rFonts w:hint="default" w:ascii="Times New Roman" w:hAnsi="Times New Roman" w:eastAsia="宋体" w:cs="Times New Roman"/>
          <w:color w:val="auto"/>
          <w:highlight w:val="none"/>
        </w:rPr>
        <w:t>总占地面积161555.36</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rPr>
        <w:t>，建筑面积73630</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rPr>
        <w:t>，其中牛棚22000</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rPr>
        <w:t>，草棚13000</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rPr>
        <w:t>，办公室200</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rPr>
        <w:t>，宿舍1600</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rPr>
        <w:t>，消毒室50</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rPr>
        <w:t>，防疫室80</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rPr>
        <w:t>，青贮平台26000</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rPr>
        <w:t>，粪污处理池2700</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rPr>
        <w:t>，硬化8000</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rPr>
        <w:t>，存栏肉牛2500头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并进行相应的给排水，供电，供暖，通风，消防，道路及地面硬化，绿化等配套设施建设</w:t>
      </w:r>
      <w:r>
        <w:rPr>
          <w:rFonts w:hint="default" w:ascii="Times New Roman" w:hAnsi="Times New Roman" w:eastAsia="宋体" w:cs="Times New Roman"/>
          <w:color w:val="auto"/>
          <w:szCs w:val="24"/>
          <w:highlight w:val="none"/>
        </w:rPr>
        <w:t>。</w:t>
      </w:r>
    </w:p>
    <w:p w14:paraId="703F0793">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733" w:name="_Toc371696638"/>
      <w:bookmarkStart w:id="734" w:name="_Toc11913"/>
      <w:bookmarkStart w:id="735" w:name="_Toc487188690"/>
      <w:bookmarkStart w:id="736" w:name="_Toc523322412"/>
      <w:bookmarkStart w:id="737" w:name="_Toc494206412"/>
      <w:r>
        <w:rPr>
          <w:rFonts w:hint="default" w:ascii="Times New Roman" w:hAnsi="Times New Roman" w:eastAsia="宋体" w:cs="Times New Roman"/>
          <w:color w:val="auto"/>
          <w:highlight w:val="none"/>
        </w:rPr>
        <w:t>10.2</w:t>
      </w:r>
      <w:bookmarkEnd w:id="733"/>
      <w:r>
        <w:rPr>
          <w:rFonts w:hint="default" w:ascii="Times New Roman" w:hAnsi="Times New Roman" w:eastAsia="宋体" w:cs="Times New Roman"/>
          <w:color w:val="auto"/>
          <w:highlight w:val="none"/>
        </w:rPr>
        <w:t>环境可行性结论</w:t>
      </w:r>
      <w:bookmarkEnd w:id="734"/>
    </w:p>
    <w:p w14:paraId="14F8D051">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738" w:name="_Toc6397"/>
      <w:r>
        <w:rPr>
          <w:rFonts w:hint="default" w:ascii="Times New Roman" w:hAnsi="Times New Roman" w:eastAsia="宋体" w:cs="Times New Roman"/>
          <w:color w:val="auto"/>
          <w:highlight w:val="none"/>
        </w:rPr>
        <w:t>10.2.1产业政策符合性分析</w:t>
      </w:r>
      <w:bookmarkEnd w:id="735"/>
      <w:bookmarkEnd w:id="736"/>
      <w:bookmarkEnd w:id="737"/>
      <w:bookmarkEnd w:id="738"/>
    </w:p>
    <w:p w14:paraId="1FCC5A5E">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本项目为</w:t>
      </w:r>
      <w:r>
        <w:rPr>
          <w:rFonts w:hint="default" w:ascii="Times New Roman" w:hAnsi="Times New Roman" w:eastAsia="宋体" w:cs="Times New Roman"/>
          <w:color w:val="auto"/>
          <w:highlight w:val="none"/>
          <w:lang w:eastAsia="zh-CN"/>
        </w:rPr>
        <w:t>规模化肉牛养殖项目</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根据</w:t>
      </w:r>
      <w:r>
        <w:rPr>
          <w:rFonts w:hint="default" w:ascii="Times New Roman" w:hAnsi="Times New Roman" w:eastAsia="宋体" w:cs="Times New Roman"/>
          <w:color w:val="FF0000"/>
          <w:highlight w:val="none"/>
        </w:rPr>
        <w:t>《产业结构调整指导目录（20</w:t>
      </w:r>
      <w:r>
        <w:rPr>
          <w:rFonts w:hint="default" w:ascii="Times New Roman" w:hAnsi="Times New Roman" w:eastAsia="宋体" w:cs="Times New Roman"/>
          <w:color w:val="FF0000"/>
          <w:highlight w:val="none"/>
          <w:lang w:val="en-US" w:eastAsia="zh-CN"/>
        </w:rPr>
        <w:t>24</w:t>
      </w:r>
      <w:r>
        <w:rPr>
          <w:rFonts w:hint="default" w:ascii="Times New Roman" w:hAnsi="Times New Roman" w:eastAsia="宋体" w:cs="Times New Roman"/>
          <w:color w:val="FF0000"/>
          <w:highlight w:val="none"/>
        </w:rPr>
        <w:t>年本）》（</w:t>
      </w:r>
      <w:r>
        <w:rPr>
          <w:rFonts w:hint="default" w:ascii="Times New Roman" w:hAnsi="Times New Roman" w:eastAsia="宋体" w:cs="Times New Roman"/>
          <w:color w:val="FF0000"/>
          <w:highlight w:val="none"/>
          <w:lang w:eastAsia="zh-CN"/>
        </w:rPr>
        <w:t>中华人民共和国国家发展和改革委员会令第</w:t>
      </w:r>
      <w:r>
        <w:rPr>
          <w:rFonts w:hint="default" w:ascii="Times New Roman" w:hAnsi="Times New Roman" w:eastAsia="宋体" w:cs="Times New Roman"/>
          <w:color w:val="FF0000"/>
          <w:highlight w:val="none"/>
          <w:lang w:val="en-US" w:eastAsia="zh-CN"/>
        </w:rPr>
        <w:t>7</w:t>
      </w:r>
      <w:r>
        <w:rPr>
          <w:rFonts w:hint="default" w:ascii="Times New Roman" w:hAnsi="Times New Roman" w:eastAsia="宋体" w:cs="Times New Roman"/>
          <w:color w:val="FF0000"/>
          <w:highlight w:val="none"/>
          <w:lang w:eastAsia="zh-CN"/>
        </w:rPr>
        <w:t>号</w:t>
      </w:r>
      <w:r>
        <w:rPr>
          <w:rFonts w:hint="default" w:ascii="Times New Roman" w:hAnsi="Times New Roman" w:eastAsia="宋体" w:cs="Times New Roman"/>
          <w:color w:val="FF0000"/>
          <w:highlight w:val="none"/>
        </w:rPr>
        <w:t>）</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本</w:t>
      </w:r>
      <w:r>
        <w:rPr>
          <w:rFonts w:hint="default" w:ascii="Times New Roman" w:hAnsi="Times New Roman" w:eastAsia="宋体" w:cs="Times New Roman"/>
          <w:color w:val="auto"/>
          <w:highlight w:val="none"/>
        </w:rPr>
        <w:t>项目属于</w:t>
      </w:r>
      <w:r>
        <w:rPr>
          <w:rFonts w:hint="default" w:ascii="Times New Roman" w:hAnsi="Times New Roman" w:eastAsia="宋体" w:cs="Times New Roman"/>
          <w:color w:val="auto"/>
          <w:highlight w:val="none"/>
          <w:lang w:eastAsia="zh-CN"/>
        </w:rPr>
        <w:t>“第一类</w:t>
      </w:r>
      <w:r>
        <w:rPr>
          <w:rFonts w:hint="default" w:ascii="Times New Roman" w:hAnsi="Times New Roman" w:eastAsia="宋体" w:cs="Times New Roman"/>
          <w:color w:val="auto"/>
          <w:highlight w:val="none"/>
        </w:rPr>
        <w:t>鼓励类</w:t>
      </w:r>
      <w:r>
        <w:rPr>
          <w:rFonts w:hint="default" w:ascii="Times New Roman" w:hAnsi="Times New Roman" w:eastAsia="宋体" w:cs="Times New Roman"/>
          <w:color w:val="auto"/>
          <w:highlight w:val="none"/>
          <w:lang w:eastAsia="zh-CN"/>
        </w:rPr>
        <w:t>”中“一、农林业</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畜禽标准化规模养殖技术开发与应用</w:t>
      </w:r>
      <w:r>
        <w:rPr>
          <w:rFonts w:hint="default" w:ascii="Times New Roman" w:hAnsi="Times New Roman" w:eastAsia="宋体" w:cs="Times New Roman"/>
          <w:color w:val="auto"/>
          <w:highlight w:val="none"/>
          <w:lang w:eastAsia="zh-CN"/>
        </w:rPr>
        <w:t>”。</w:t>
      </w:r>
    </w:p>
    <w:p w14:paraId="76E39BF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本</w:t>
      </w:r>
      <w:r>
        <w:rPr>
          <w:rFonts w:hint="default" w:ascii="Times New Roman" w:hAnsi="Times New Roman" w:eastAsia="宋体" w:cs="Times New Roman"/>
          <w:color w:val="auto"/>
          <w:highlight w:val="none"/>
        </w:rPr>
        <w:t>项目</w:t>
      </w:r>
      <w:r>
        <w:rPr>
          <w:rFonts w:hint="default" w:ascii="Times New Roman" w:hAnsi="Times New Roman" w:eastAsia="宋体" w:cs="Times New Roman"/>
          <w:bCs/>
          <w:color w:val="auto"/>
          <w:szCs w:val="21"/>
          <w:highlight w:val="none"/>
          <w:lang w:val="en-US" w:eastAsia="zh-CN"/>
        </w:rPr>
        <w:t>于2022年8月9日</w:t>
      </w:r>
      <w:r>
        <w:rPr>
          <w:rFonts w:hint="default" w:ascii="Times New Roman" w:hAnsi="Times New Roman" w:eastAsia="宋体" w:cs="Times New Roman"/>
          <w:color w:val="auto"/>
          <w:highlight w:val="none"/>
        </w:rPr>
        <w:t>取得</w:t>
      </w:r>
      <w:r>
        <w:rPr>
          <w:rFonts w:hint="default" w:ascii="Times New Roman" w:hAnsi="Times New Roman" w:eastAsia="宋体" w:cs="Times New Roman"/>
          <w:color w:val="auto"/>
          <w:highlight w:val="none"/>
          <w:lang w:eastAsia="zh-CN"/>
        </w:rPr>
        <w:t>了乌拉特前旗发展和改革委员会出具的</w:t>
      </w:r>
      <w:r>
        <w:rPr>
          <w:rFonts w:hint="default" w:ascii="Times New Roman" w:hAnsi="Times New Roman" w:eastAsia="宋体" w:cs="Times New Roman"/>
          <w:color w:val="auto"/>
          <w:highlight w:val="none"/>
        </w:rPr>
        <w:t>《项目备案告知书》</w:t>
      </w:r>
      <w:r>
        <w:rPr>
          <w:rFonts w:hint="default" w:ascii="Times New Roman" w:hAnsi="Times New Roman" w:eastAsia="宋体" w:cs="Times New Roman"/>
          <w:color w:val="auto"/>
          <w:highlight w:val="none"/>
          <w:lang w:eastAsia="zh-CN"/>
        </w:rPr>
        <w:t>，项目代码：</w:t>
      </w:r>
      <w:r>
        <w:rPr>
          <w:rFonts w:hint="default" w:ascii="Times New Roman" w:hAnsi="Times New Roman" w:eastAsia="宋体" w:cs="Times New Roman"/>
          <w:color w:val="auto"/>
          <w:highlight w:val="none"/>
          <w:lang w:val="en-US" w:eastAsia="zh-CN"/>
        </w:rPr>
        <w:t>2208-150823-04-01-174832，本项目符合产业政策和市场准入标准</w:t>
      </w:r>
      <w:r>
        <w:rPr>
          <w:rFonts w:hint="default" w:ascii="Times New Roman" w:hAnsi="Times New Roman" w:eastAsia="宋体" w:cs="Times New Roman"/>
          <w:color w:val="auto"/>
          <w:highlight w:val="none"/>
        </w:rPr>
        <w:t>。</w:t>
      </w:r>
    </w:p>
    <w:p w14:paraId="2BE06A42">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739" w:name="_Toc6523"/>
      <w:r>
        <w:rPr>
          <w:rFonts w:hint="default" w:ascii="Times New Roman" w:hAnsi="Times New Roman" w:eastAsia="宋体" w:cs="Times New Roman"/>
          <w:color w:val="auto"/>
          <w:highlight w:val="none"/>
        </w:rPr>
        <w:t>10.2.2选址与相关规划符合性分析结论</w:t>
      </w:r>
      <w:bookmarkEnd w:id="739"/>
    </w:p>
    <w:p w14:paraId="28097B81">
      <w:pPr>
        <w:pageBreakBefore w:val="0"/>
        <w:widowControl w:val="0"/>
        <w:kinsoku/>
        <w:wordWrap/>
        <w:topLinePunct/>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本项目选址于</w:t>
      </w:r>
      <w:r>
        <w:rPr>
          <w:rFonts w:hint="default" w:ascii="Times New Roman" w:hAnsi="Times New Roman" w:eastAsia="宋体" w:cs="Times New Roman"/>
          <w:color w:val="auto"/>
          <w:sz w:val="24"/>
          <w:szCs w:val="24"/>
          <w:highlight w:val="none"/>
          <w:lang w:eastAsia="zh-CN"/>
        </w:rPr>
        <w:t>内蒙古自治区巴彦淖尔市乌拉特前旗大佘太镇马卜子村</w:t>
      </w:r>
      <w:r>
        <w:rPr>
          <w:rFonts w:hint="default" w:ascii="Times New Roman" w:hAnsi="Times New Roman" w:eastAsia="宋体" w:cs="Times New Roman"/>
          <w:color w:val="auto"/>
          <w:highlight w:val="none"/>
        </w:rPr>
        <w:t>，项目周围500m范围内无工业企业，区域环境质量良好，有利于畜禽的生长，并可以保持良好的健康状态。</w:t>
      </w:r>
    </w:p>
    <w:p w14:paraId="46594FD4">
      <w:pPr>
        <w:pageBreakBefore w:val="0"/>
        <w:widowControl w:val="0"/>
        <w:kinsoku/>
        <w:wordWrap/>
        <w:overflowPunct w:val="0"/>
        <w:topLinePunct/>
        <w:autoSpaceDE/>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FF0000"/>
          <w:highlight w:val="none"/>
          <w:lang w:eastAsia="zh-CN"/>
        </w:rPr>
      </w:pPr>
      <w:r>
        <w:rPr>
          <w:rFonts w:hint="default" w:ascii="Times New Roman" w:hAnsi="Times New Roman" w:eastAsia="宋体" w:cs="Times New Roman"/>
          <w:color w:val="auto"/>
          <w:highlight w:val="none"/>
        </w:rPr>
        <w:t>根据调查，项目周边</w:t>
      </w:r>
      <w:r>
        <w:rPr>
          <w:rFonts w:hint="default" w:ascii="Times New Roman" w:hAnsi="Times New Roman" w:eastAsia="宋体" w:cs="Times New Roman"/>
          <w:color w:val="auto"/>
          <w:highlight w:val="none"/>
          <w:lang w:eastAsia="zh-CN"/>
        </w:rPr>
        <w:t>土地性质</w:t>
      </w:r>
      <w:r>
        <w:rPr>
          <w:rFonts w:hint="default" w:ascii="Times New Roman" w:hAnsi="Times New Roman" w:eastAsia="宋体" w:cs="Times New Roman"/>
          <w:color w:val="auto"/>
          <w:highlight w:val="none"/>
        </w:rPr>
        <w:t>主要为</w:t>
      </w:r>
      <w:r>
        <w:rPr>
          <w:rFonts w:hint="default" w:ascii="Times New Roman" w:hAnsi="Times New Roman" w:eastAsia="宋体" w:cs="Times New Roman"/>
          <w:color w:val="auto"/>
          <w:highlight w:val="none"/>
          <w:lang w:eastAsia="zh-CN"/>
        </w:rPr>
        <w:t>其他草地、耕地和设施农用地</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FF0000"/>
          <w:highlight w:val="none"/>
          <w:lang w:eastAsia="zh-CN"/>
        </w:rPr>
        <w:t>根据巴彦淖尔市生态环境局乌拉特前旗分局于</w:t>
      </w:r>
      <w:r>
        <w:rPr>
          <w:rFonts w:hint="default" w:ascii="Times New Roman" w:hAnsi="Times New Roman" w:eastAsia="宋体" w:cs="Times New Roman"/>
          <w:color w:val="FF0000"/>
          <w:highlight w:val="none"/>
          <w:lang w:val="en-US" w:eastAsia="zh-CN"/>
        </w:rPr>
        <w:t>2023年8月8日出具的《关于核实乌拉特前旗大佘太中海禾牧养殖专业合作社新建肉牛养殖项目是否位于禁养区的复函》（乌环字</w:t>
      </w:r>
      <w:r>
        <w:rPr>
          <w:rFonts w:hint="default" w:ascii="Times New Roman" w:hAnsi="Times New Roman" w:eastAsia="宋体" w:cs="Times New Roman"/>
          <w:color w:val="FF0000"/>
          <w:highlight w:val="none"/>
          <w:lang w:val="en-US" w:eastAsia="zh-CN"/>
        </w:rPr>
        <w:t>〔</w:t>
      </w:r>
      <w:r>
        <w:rPr>
          <w:rFonts w:hint="default" w:ascii="Times New Roman" w:hAnsi="Times New Roman" w:eastAsia="宋体" w:cs="Times New Roman"/>
          <w:color w:val="FF0000"/>
          <w:highlight w:val="none"/>
          <w:lang w:val="en-US" w:eastAsia="zh-CN"/>
        </w:rPr>
        <w:t>2023</w:t>
      </w:r>
      <w:r>
        <w:rPr>
          <w:rFonts w:hint="default" w:ascii="Times New Roman" w:hAnsi="Times New Roman" w:eastAsia="宋体" w:cs="Times New Roman"/>
          <w:color w:val="FF0000"/>
          <w:highlight w:val="none"/>
          <w:lang w:val="en-US" w:eastAsia="zh-CN"/>
        </w:rPr>
        <w:t>〕</w:t>
      </w:r>
      <w:r>
        <w:rPr>
          <w:rFonts w:hint="default" w:ascii="Times New Roman" w:hAnsi="Times New Roman" w:eastAsia="宋体" w:cs="Times New Roman"/>
          <w:color w:val="FF0000"/>
          <w:highlight w:val="none"/>
          <w:lang w:val="en-US" w:eastAsia="zh-CN"/>
        </w:rPr>
        <w:t>196号），本项目不在乌拉特前旗已调整的禁养区内；根据乌拉特前旗自然资源局于2022年10月14日出具的《关于核查大佘太中海禾牧养殖专业合作社新建肉牛养殖项目是否位于生态保护红线的复函》（乌自然资函发〔2022〕291号），本项目用地不在乌拉特前旗生态保护红线范围内；</w:t>
      </w:r>
      <w:r>
        <w:rPr>
          <w:rFonts w:hint="default" w:ascii="Times New Roman" w:hAnsi="Times New Roman" w:eastAsia="宋体" w:cs="Times New Roman"/>
          <w:color w:val="FF0000"/>
          <w:highlight w:val="none"/>
          <w:lang w:eastAsia="zh-CN"/>
        </w:rPr>
        <w:t>根据巴彦淖尔市生态环境局乌拉特前旗分局于</w:t>
      </w:r>
      <w:r>
        <w:rPr>
          <w:rFonts w:hint="default" w:ascii="Times New Roman" w:hAnsi="Times New Roman" w:eastAsia="宋体" w:cs="Times New Roman"/>
          <w:color w:val="FF0000"/>
          <w:highlight w:val="none"/>
          <w:lang w:val="en-US" w:eastAsia="zh-CN"/>
        </w:rPr>
        <w:t>202</w:t>
      </w:r>
      <w:r>
        <w:rPr>
          <w:rFonts w:hint="default" w:ascii="Times New Roman" w:hAnsi="Times New Roman" w:eastAsia="宋体" w:cs="Times New Roman"/>
          <w:color w:val="FF0000"/>
          <w:highlight w:val="none"/>
          <w:lang w:val="en-US" w:eastAsia="zh-CN"/>
        </w:rPr>
        <w:t>2</w:t>
      </w:r>
      <w:r>
        <w:rPr>
          <w:rFonts w:hint="default" w:ascii="Times New Roman" w:hAnsi="Times New Roman" w:eastAsia="宋体" w:cs="Times New Roman"/>
          <w:color w:val="FF0000"/>
          <w:highlight w:val="none"/>
          <w:lang w:val="en-US" w:eastAsia="zh-CN"/>
        </w:rPr>
        <w:t>年</w:t>
      </w:r>
      <w:r>
        <w:rPr>
          <w:rFonts w:hint="default" w:ascii="Times New Roman" w:hAnsi="Times New Roman" w:eastAsia="宋体" w:cs="Times New Roman"/>
          <w:color w:val="FF0000"/>
          <w:highlight w:val="none"/>
          <w:lang w:val="en-US" w:eastAsia="zh-CN"/>
        </w:rPr>
        <w:t>10</w:t>
      </w:r>
      <w:r>
        <w:rPr>
          <w:rFonts w:hint="default" w:ascii="Times New Roman" w:hAnsi="Times New Roman" w:eastAsia="宋体" w:cs="Times New Roman"/>
          <w:color w:val="FF0000"/>
          <w:highlight w:val="none"/>
          <w:lang w:val="en-US" w:eastAsia="zh-CN"/>
        </w:rPr>
        <w:t>月</w:t>
      </w:r>
      <w:r>
        <w:rPr>
          <w:rFonts w:hint="default" w:ascii="Times New Roman" w:hAnsi="Times New Roman" w:eastAsia="宋体" w:cs="Times New Roman"/>
          <w:color w:val="FF0000"/>
          <w:highlight w:val="none"/>
          <w:lang w:val="en-US" w:eastAsia="zh-CN"/>
        </w:rPr>
        <w:t>11</w:t>
      </w:r>
      <w:r>
        <w:rPr>
          <w:rFonts w:hint="default" w:ascii="Times New Roman" w:hAnsi="Times New Roman" w:eastAsia="宋体" w:cs="Times New Roman"/>
          <w:color w:val="FF0000"/>
          <w:highlight w:val="none"/>
          <w:lang w:val="en-US" w:eastAsia="zh-CN"/>
        </w:rPr>
        <w:t>日出具的《关于核实乌拉特前旗大佘太中海禾牧养殖专业合作社新建肉牛养殖项目是否位于</w:t>
      </w:r>
      <w:r>
        <w:rPr>
          <w:rFonts w:hint="default" w:ascii="Times New Roman" w:hAnsi="Times New Roman" w:eastAsia="宋体" w:cs="Times New Roman"/>
          <w:color w:val="FF0000"/>
          <w:highlight w:val="none"/>
          <w:lang w:val="en-US" w:eastAsia="zh-CN"/>
        </w:rPr>
        <w:t>饮用水水源保护区</w:t>
      </w:r>
      <w:r>
        <w:rPr>
          <w:rFonts w:hint="default" w:ascii="Times New Roman" w:hAnsi="Times New Roman" w:eastAsia="宋体" w:cs="Times New Roman"/>
          <w:color w:val="FF0000"/>
          <w:highlight w:val="none"/>
          <w:lang w:val="en-US" w:eastAsia="zh-CN"/>
        </w:rPr>
        <w:t>的复函》（乌环字</w:t>
      </w:r>
      <w:r>
        <w:rPr>
          <w:rFonts w:hint="default" w:ascii="Times New Roman" w:hAnsi="Times New Roman" w:eastAsia="宋体" w:cs="Times New Roman"/>
          <w:color w:val="FF0000"/>
          <w:highlight w:val="none"/>
          <w:lang w:val="en-US" w:eastAsia="zh-CN"/>
        </w:rPr>
        <w:t>〔</w:t>
      </w:r>
      <w:r>
        <w:rPr>
          <w:rFonts w:hint="default" w:ascii="Times New Roman" w:hAnsi="Times New Roman" w:eastAsia="宋体" w:cs="Times New Roman"/>
          <w:color w:val="FF0000"/>
          <w:highlight w:val="none"/>
          <w:lang w:val="en-US" w:eastAsia="zh-CN"/>
        </w:rPr>
        <w:t>202</w:t>
      </w:r>
      <w:r>
        <w:rPr>
          <w:rFonts w:hint="default" w:ascii="Times New Roman" w:hAnsi="Times New Roman" w:eastAsia="宋体" w:cs="Times New Roman"/>
          <w:color w:val="FF0000"/>
          <w:highlight w:val="none"/>
          <w:lang w:val="en-US" w:eastAsia="zh-CN"/>
        </w:rPr>
        <w:t>2〕329</w:t>
      </w:r>
      <w:r>
        <w:rPr>
          <w:rFonts w:hint="default" w:ascii="Times New Roman" w:hAnsi="Times New Roman" w:eastAsia="宋体" w:cs="Times New Roman"/>
          <w:color w:val="FF0000"/>
          <w:highlight w:val="none"/>
          <w:lang w:val="en-US" w:eastAsia="zh-CN"/>
        </w:rPr>
        <w:t>号），本项目</w:t>
      </w:r>
      <w:r>
        <w:rPr>
          <w:rFonts w:hint="default" w:ascii="Times New Roman" w:hAnsi="Times New Roman" w:eastAsia="宋体" w:cs="Times New Roman"/>
          <w:color w:val="FF0000"/>
          <w:highlight w:val="none"/>
          <w:lang w:val="en-US" w:eastAsia="zh-CN"/>
        </w:rPr>
        <w:t>选址范围</w:t>
      </w:r>
      <w:r>
        <w:rPr>
          <w:rFonts w:hint="default" w:ascii="Times New Roman" w:hAnsi="Times New Roman" w:eastAsia="宋体" w:cs="Times New Roman"/>
          <w:color w:val="FF0000"/>
          <w:highlight w:val="none"/>
          <w:lang w:val="en-US" w:eastAsia="zh-CN"/>
        </w:rPr>
        <w:t>不在乌拉特前旗已</w:t>
      </w:r>
      <w:r>
        <w:rPr>
          <w:rFonts w:hint="default" w:ascii="Times New Roman" w:hAnsi="Times New Roman" w:eastAsia="宋体" w:cs="Times New Roman"/>
          <w:color w:val="FF0000"/>
          <w:highlight w:val="none"/>
          <w:lang w:val="en-US" w:eastAsia="zh-CN"/>
        </w:rPr>
        <w:t>批复的饮用水水源保护区</w:t>
      </w:r>
      <w:r>
        <w:rPr>
          <w:rFonts w:hint="default" w:ascii="Times New Roman" w:hAnsi="Times New Roman" w:eastAsia="宋体" w:cs="Times New Roman"/>
          <w:color w:val="FF0000"/>
          <w:highlight w:val="none"/>
          <w:lang w:val="en-US" w:eastAsia="zh-CN"/>
        </w:rPr>
        <w:t>内；</w:t>
      </w:r>
      <w:r>
        <w:rPr>
          <w:rFonts w:hint="default" w:ascii="Times New Roman" w:hAnsi="Times New Roman" w:eastAsia="宋体" w:cs="Times New Roman"/>
          <w:color w:val="FF0000"/>
          <w:highlight w:val="none"/>
        </w:rPr>
        <w:t>下风向1000m范围内无学校、医院、</w:t>
      </w:r>
      <w:r>
        <w:rPr>
          <w:rFonts w:hint="default" w:ascii="Times New Roman" w:hAnsi="Times New Roman" w:eastAsia="宋体" w:cs="Times New Roman"/>
          <w:color w:val="FF0000"/>
          <w:highlight w:val="none"/>
          <w:lang w:eastAsia="zh-CN"/>
        </w:rPr>
        <w:t>行政办公室</w:t>
      </w:r>
      <w:r>
        <w:rPr>
          <w:rFonts w:hint="default" w:ascii="Times New Roman" w:hAnsi="Times New Roman" w:eastAsia="宋体" w:cs="Times New Roman"/>
          <w:color w:val="FF0000"/>
          <w:highlight w:val="none"/>
        </w:rPr>
        <w:t>等敏感目标</w:t>
      </w:r>
      <w:r>
        <w:rPr>
          <w:rFonts w:hint="default" w:ascii="Times New Roman" w:hAnsi="Times New Roman" w:eastAsia="宋体" w:cs="Times New Roman"/>
          <w:color w:val="FF0000"/>
          <w:highlight w:val="none"/>
          <w:lang w:eastAsia="zh-CN"/>
        </w:rPr>
        <w:t>；本项目评价范围内无饮用水水源地、自然保护区、风景名胜区等特殊环境敏感区，不涉及重要生态功能区、生态敏感脆弱区、禁止开发区域以及其他各类保护地</w:t>
      </w:r>
      <w:r>
        <w:rPr>
          <w:rFonts w:hint="default" w:ascii="Times New Roman" w:hAnsi="Times New Roman" w:eastAsia="宋体" w:cs="Times New Roman"/>
          <w:bCs/>
          <w:color w:val="FF0000"/>
          <w:szCs w:val="21"/>
          <w:highlight w:val="none"/>
          <w:lang w:val="en-US" w:eastAsia="zh-CN"/>
        </w:rPr>
        <w:t>；</w:t>
      </w:r>
      <w:r>
        <w:rPr>
          <w:rFonts w:hint="default" w:ascii="Times New Roman" w:hAnsi="Times New Roman" w:eastAsia="宋体" w:cs="Times New Roman"/>
          <w:color w:val="FF0000"/>
          <w:highlight w:val="none"/>
        </w:rPr>
        <w:t>项目选址符合《关于做好畜禽规模养殖项目环境影响评价管理工作的通知》（环办环评</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rPr>
        <w:t>2018</w:t>
      </w:r>
      <w:r>
        <w:rPr>
          <w:rFonts w:hint="default" w:ascii="Times New Roman" w:hAnsi="Times New Roman" w:eastAsia="宋体" w:cs="Times New Roman"/>
          <w:color w:val="FF0000"/>
          <w:highlight w:val="none"/>
          <w:lang w:eastAsia="zh-CN"/>
        </w:rPr>
        <w:t>〕</w:t>
      </w:r>
      <w:r>
        <w:rPr>
          <w:rFonts w:hint="default" w:ascii="Times New Roman" w:hAnsi="Times New Roman" w:eastAsia="宋体" w:cs="Times New Roman"/>
          <w:color w:val="FF0000"/>
          <w:highlight w:val="none"/>
        </w:rPr>
        <w:t>31号）、《畜禽规模养殖污染防治条例》国务院令第643号、《畜禽养殖业污染防治技术规范》（HJ-T81-2001）、《畜禽场场区设计技术规范》（NY-T682-2003）等法律法规和行业规范的选址要求</w:t>
      </w:r>
      <w:r>
        <w:rPr>
          <w:rFonts w:hint="default" w:ascii="Times New Roman" w:hAnsi="Times New Roman" w:eastAsia="宋体" w:cs="Times New Roman"/>
          <w:color w:val="FF0000"/>
          <w:highlight w:val="none"/>
          <w:lang w:eastAsia="zh-CN"/>
        </w:rPr>
        <w:t>。</w:t>
      </w:r>
    </w:p>
    <w:p w14:paraId="78650C1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FF0000"/>
          <w:highlight w:val="none"/>
          <w:lang w:eastAsia="zh-CN"/>
        </w:rPr>
        <w:t>综上</w:t>
      </w:r>
      <w:r>
        <w:rPr>
          <w:rFonts w:hint="default" w:ascii="Times New Roman" w:hAnsi="Times New Roman" w:eastAsia="宋体" w:cs="Times New Roman"/>
          <w:color w:val="FF0000"/>
          <w:highlight w:val="none"/>
          <w:lang w:eastAsia="zh-CN"/>
        </w:rPr>
        <w:t>，本项目选址合理</w:t>
      </w:r>
      <w:r>
        <w:rPr>
          <w:rFonts w:hint="default" w:ascii="Times New Roman" w:hAnsi="Times New Roman" w:eastAsia="宋体" w:cs="Times New Roman"/>
          <w:color w:val="auto"/>
          <w:szCs w:val="24"/>
          <w:highlight w:val="none"/>
        </w:rPr>
        <w:t>。</w:t>
      </w:r>
    </w:p>
    <w:p w14:paraId="63823902">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740" w:name="_Toc13799"/>
      <w:r>
        <w:rPr>
          <w:rFonts w:hint="default" w:ascii="Times New Roman" w:hAnsi="Times New Roman" w:eastAsia="宋体" w:cs="Times New Roman"/>
          <w:color w:val="auto"/>
          <w:highlight w:val="none"/>
        </w:rPr>
        <w:t>10.2.3平面布局合理性分析结论</w:t>
      </w:r>
      <w:bookmarkEnd w:id="740"/>
    </w:p>
    <w:p w14:paraId="15C66318">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本项目养殖区和生活</w:t>
      </w:r>
      <w:r>
        <w:rPr>
          <w:rFonts w:hint="default" w:ascii="Times New Roman" w:hAnsi="Times New Roman" w:eastAsia="宋体" w:cs="Times New Roman"/>
          <w:color w:val="auto"/>
          <w:szCs w:val="24"/>
          <w:highlight w:val="none"/>
          <w:lang w:eastAsia="zh-CN"/>
        </w:rPr>
        <w:t>办公室</w:t>
      </w:r>
      <w:r>
        <w:rPr>
          <w:rFonts w:hint="default" w:ascii="Times New Roman" w:hAnsi="Times New Roman" w:eastAsia="宋体" w:cs="Times New Roman"/>
          <w:color w:val="auto"/>
          <w:szCs w:val="24"/>
          <w:highlight w:val="none"/>
        </w:rPr>
        <w:t>功能分区布置相对独立，通过合理组织功能分区，合理布置养殖区及粪污处理单元，合理组织交通运输使物料运输方便快捷；保证生产工艺流程畅通。场界四周及养殖区四周种植高大乔木，尽可能减轻恶臭气体对居民的影响因素。保证场区平面布置符合环境保护、安全生产、卫生防疫、绿化与工业企业卫生要求。</w:t>
      </w:r>
    </w:p>
    <w:p w14:paraId="3EEB774A">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741" w:name="_Toc523322413"/>
      <w:bookmarkStart w:id="742" w:name="_Toc11936"/>
      <w:bookmarkStart w:id="743" w:name="_Toc494206416"/>
      <w:bookmarkStart w:id="744" w:name="_Toc487188694"/>
      <w:r>
        <w:rPr>
          <w:rFonts w:hint="default" w:ascii="Times New Roman" w:hAnsi="Times New Roman" w:eastAsia="宋体" w:cs="Times New Roman"/>
          <w:color w:val="auto"/>
          <w:highlight w:val="none"/>
        </w:rPr>
        <w:t>10.3环境质量现状</w:t>
      </w:r>
      <w:bookmarkEnd w:id="741"/>
      <w:bookmarkEnd w:id="742"/>
      <w:bookmarkEnd w:id="743"/>
      <w:bookmarkEnd w:id="744"/>
    </w:p>
    <w:p w14:paraId="184DC3E6">
      <w:pPr>
        <w:pageBreakBefore w:val="0"/>
        <w:kinsoku/>
        <w:wordWrap/>
        <w:bidi w:val="0"/>
        <w:snapToGrid w:val="0"/>
        <w:spacing w:line="360" w:lineRule="auto"/>
        <w:ind w:left="0" w:leftChars="0" w:right="0" w:rightChars="0" w:firstLine="480"/>
        <w:outlineLvl w:val="1"/>
        <w:rPr>
          <w:rFonts w:hint="default" w:ascii="Times New Roman" w:hAnsi="Times New Roman" w:eastAsia="宋体" w:cs="Times New Roman"/>
          <w:color w:val="auto"/>
          <w:highlight w:val="none"/>
        </w:rPr>
      </w:pPr>
      <w:bookmarkStart w:id="745" w:name="_Toc25085"/>
      <w:bookmarkStart w:id="746" w:name="_Toc3411"/>
      <w:bookmarkStart w:id="747" w:name="_Toc487188695"/>
      <w:bookmarkStart w:id="748" w:name="_Toc494206417"/>
      <w:r>
        <w:rPr>
          <w:rFonts w:hint="default" w:ascii="Times New Roman" w:hAnsi="Times New Roman" w:eastAsia="宋体" w:cs="Times New Roman"/>
          <w:color w:val="auto"/>
          <w:highlight w:val="none"/>
        </w:rPr>
        <w:t>（1）环境空气</w:t>
      </w:r>
      <w:bookmarkEnd w:id="745"/>
      <w:bookmarkEnd w:id="746"/>
    </w:p>
    <w:p w14:paraId="115AA73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FF0000"/>
          <w:sz w:val="24"/>
          <w:szCs w:val="24"/>
          <w:highlight w:val="none"/>
        </w:rPr>
        <w:t>根据</w:t>
      </w:r>
      <w:r>
        <w:rPr>
          <w:rFonts w:hint="default" w:ascii="Times New Roman" w:hAnsi="Times New Roman" w:eastAsia="宋体" w:cs="Times New Roman"/>
          <w:color w:val="FF0000"/>
          <w:kern w:val="0"/>
          <w:sz w:val="24"/>
          <w:szCs w:val="24"/>
          <w:highlight w:val="none"/>
          <w:lang w:eastAsia="zh-CN"/>
        </w:rPr>
        <w:t>《</w:t>
      </w:r>
      <w:r>
        <w:rPr>
          <w:rFonts w:hint="default" w:ascii="Times New Roman" w:hAnsi="Times New Roman" w:eastAsia="宋体" w:cs="Times New Roman"/>
          <w:color w:val="FF0000"/>
          <w:kern w:val="0"/>
          <w:sz w:val="24"/>
          <w:szCs w:val="24"/>
          <w:highlight w:val="none"/>
          <w:lang w:eastAsia="zh-CN"/>
        </w:rPr>
        <w:t>巴彦淖尔市环境质量状况公报（2022年）</w:t>
      </w:r>
      <w:r>
        <w:rPr>
          <w:rFonts w:hint="default" w:ascii="Times New Roman" w:hAnsi="Times New Roman" w:eastAsia="宋体" w:cs="Times New Roman"/>
          <w:color w:val="FF0000"/>
          <w:kern w:val="0"/>
          <w:sz w:val="24"/>
          <w:szCs w:val="24"/>
          <w:highlight w:val="none"/>
          <w:lang w:eastAsia="zh-CN"/>
        </w:rPr>
        <w:t>》，本项目所在地巴彦淖尔市</w:t>
      </w:r>
      <w:r>
        <w:rPr>
          <w:rFonts w:hint="default" w:ascii="Times New Roman" w:hAnsi="Times New Roman" w:eastAsia="宋体" w:cs="Times New Roman"/>
          <w:color w:val="FF0000"/>
          <w:sz w:val="24"/>
          <w:szCs w:val="24"/>
          <w:highlight w:val="none"/>
          <w:lang w:eastAsia="zh-CN"/>
        </w:rPr>
        <w:t>乌拉特前旗</w:t>
      </w:r>
      <w:r>
        <w:rPr>
          <w:rFonts w:hint="default" w:ascii="Times New Roman" w:hAnsi="Times New Roman" w:eastAsia="宋体" w:cs="Times New Roman"/>
          <w:color w:val="FF0000"/>
          <w:kern w:val="0"/>
          <w:sz w:val="24"/>
          <w:szCs w:val="24"/>
          <w:highlight w:val="none"/>
          <w:lang w:val="en-US" w:eastAsia="zh-CN"/>
        </w:rPr>
        <w:t>202</w:t>
      </w:r>
      <w:r>
        <w:rPr>
          <w:rFonts w:hint="default" w:ascii="Times New Roman" w:hAnsi="Times New Roman" w:eastAsia="宋体" w:cs="Times New Roman"/>
          <w:color w:val="FF0000"/>
          <w:kern w:val="0"/>
          <w:sz w:val="24"/>
          <w:szCs w:val="24"/>
          <w:highlight w:val="none"/>
          <w:lang w:val="en-US" w:eastAsia="zh-CN"/>
        </w:rPr>
        <w:t>2</w:t>
      </w:r>
      <w:r>
        <w:rPr>
          <w:rFonts w:hint="default" w:ascii="Times New Roman" w:hAnsi="Times New Roman" w:eastAsia="宋体" w:cs="Times New Roman"/>
          <w:color w:val="FF0000"/>
          <w:kern w:val="0"/>
          <w:sz w:val="24"/>
          <w:szCs w:val="24"/>
          <w:highlight w:val="none"/>
          <w:lang w:val="en-US" w:eastAsia="zh-CN"/>
        </w:rPr>
        <w:t>年大气环境中6项</w:t>
      </w:r>
      <w:r>
        <w:rPr>
          <w:rFonts w:hint="default" w:ascii="Times New Roman" w:hAnsi="Times New Roman" w:eastAsia="宋体" w:cs="Times New Roman"/>
          <w:color w:val="FF0000"/>
          <w:kern w:val="0"/>
          <w:sz w:val="24"/>
          <w:szCs w:val="24"/>
          <w:highlight w:val="none"/>
        </w:rPr>
        <w:t>污染物</w:t>
      </w:r>
      <w:r>
        <w:rPr>
          <w:rFonts w:hint="default" w:ascii="Times New Roman" w:hAnsi="Times New Roman" w:eastAsia="宋体" w:cs="Times New Roman"/>
          <w:color w:val="FF0000"/>
          <w:kern w:val="0"/>
          <w:sz w:val="24"/>
          <w:szCs w:val="24"/>
          <w:highlight w:val="none"/>
          <w:lang w:eastAsia="zh-CN"/>
        </w:rPr>
        <w:t>中</w:t>
      </w:r>
      <w:r>
        <w:rPr>
          <w:rFonts w:hint="default" w:ascii="Times New Roman" w:hAnsi="Times New Roman" w:eastAsia="宋体" w:cs="Times New Roman"/>
          <w:color w:val="FF0000"/>
          <w:kern w:val="0"/>
          <w:sz w:val="24"/>
          <w:szCs w:val="24"/>
          <w:highlight w:val="none"/>
        </w:rPr>
        <w:t>SO</w:t>
      </w:r>
      <w:r>
        <w:rPr>
          <w:rFonts w:hint="default" w:ascii="Times New Roman" w:hAnsi="Times New Roman" w:eastAsia="宋体" w:cs="Times New Roman"/>
          <w:color w:val="FF0000"/>
          <w:kern w:val="0"/>
          <w:sz w:val="24"/>
          <w:szCs w:val="24"/>
          <w:highlight w:val="none"/>
          <w:vertAlign w:val="subscript"/>
        </w:rPr>
        <w:t>2</w:t>
      </w:r>
      <w:r>
        <w:rPr>
          <w:rFonts w:hint="default" w:ascii="Times New Roman" w:hAnsi="Times New Roman" w:eastAsia="宋体" w:cs="Times New Roman"/>
          <w:color w:val="FF0000"/>
          <w:kern w:val="0"/>
          <w:sz w:val="24"/>
          <w:szCs w:val="24"/>
          <w:highlight w:val="none"/>
        </w:rPr>
        <w:t>、NO</w:t>
      </w:r>
      <w:r>
        <w:rPr>
          <w:rFonts w:hint="default" w:ascii="Times New Roman" w:hAnsi="Times New Roman" w:eastAsia="宋体" w:cs="Times New Roman"/>
          <w:color w:val="FF0000"/>
          <w:kern w:val="0"/>
          <w:sz w:val="24"/>
          <w:szCs w:val="24"/>
          <w:highlight w:val="none"/>
          <w:vertAlign w:val="subscript"/>
        </w:rPr>
        <w:t>2</w:t>
      </w:r>
      <w:r>
        <w:rPr>
          <w:rFonts w:hint="default" w:ascii="Times New Roman" w:hAnsi="Times New Roman" w:eastAsia="宋体" w:cs="Times New Roman"/>
          <w:color w:val="FF0000"/>
          <w:kern w:val="0"/>
          <w:sz w:val="24"/>
          <w:szCs w:val="24"/>
          <w:highlight w:val="none"/>
        </w:rPr>
        <w:t>、PM</w:t>
      </w:r>
      <w:r>
        <w:rPr>
          <w:rFonts w:hint="default" w:ascii="Times New Roman" w:hAnsi="Times New Roman" w:eastAsia="宋体" w:cs="Times New Roman"/>
          <w:color w:val="FF0000"/>
          <w:kern w:val="0"/>
          <w:sz w:val="24"/>
          <w:szCs w:val="24"/>
          <w:highlight w:val="none"/>
          <w:vertAlign w:val="subscript"/>
        </w:rPr>
        <w:t>10</w:t>
      </w:r>
      <w:r>
        <w:rPr>
          <w:rFonts w:hint="default" w:ascii="Times New Roman" w:hAnsi="Times New Roman" w:eastAsia="宋体" w:cs="Times New Roman"/>
          <w:color w:val="FF0000"/>
          <w:kern w:val="0"/>
          <w:sz w:val="24"/>
          <w:szCs w:val="24"/>
          <w:highlight w:val="none"/>
        </w:rPr>
        <w:t>、PM</w:t>
      </w:r>
      <w:r>
        <w:rPr>
          <w:rFonts w:hint="default" w:ascii="Times New Roman" w:hAnsi="Times New Roman" w:eastAsia="宋体" w:cs="Times New Roman"/>
          <w:color w:val="FF0000"/>
          <w:kern w:val="0"/>
          <w:sz w:val="24"/>
          <w:szCs w:val="24"/>
          <w:highlight w:val="none"/>
          <w:vertAlign w:val="subscript"/>
        </w:rPr>
        <w:t>2.5</w:t>
      </w:r>
      <w:r>
        <w:rPr>
          <w:rFonts w:hint="default" w:ascii="Times New Roman" w:hAnsi="Times New Roman" w:eastAsia="宋体" w:cs="Times New Roman"/>
          <w:color w:val="FF0000"/>
          <w:kern w:val="0"/>
          <w:sz w:val="24"/>
          <w:szCs w:val="24"/>
          <w:highlight w:val="none"/>
        </w:rPr>
        <w:t>、CO和O</w:t>
      </w:r>
      <w:r>
        <w:rPr>
          <w:rFonts w:hint="default" w:ascii="Times New Roman" w:hAnsi="Times New Roman" w:eastAsia="宋体" w:cs="Times New Roman"/>
          <w:color w:val="FF0000"/>
          <w:kern w:val="0"/>
          <w:sz w:val="24"/>
          <w:szCs w:val="24"/>
          <w:highlight w:val="none"/>
          <w:vertAlign w:val="subscript"/>
        </w:rPr>
        <w:t>3</w:t>
      </w:r>
      <w:r>
        <w:rPr>
          <w:rFonts w:hint="default" w:ascii="Times New Roman" w:hAnsi="Times New Roman" w:eastAsia="宋体" w:cs="Times New Roman"/>
          <w:color w:val="FF0000"/>
          <w:kern w:val="0"/>
          <w:sz w:val="24"/>
          <w:szCs w:val="24"/>
          <w:highlight w:val="none"/>
        </w:rPr>
        <w:t>质量浓度</w:t>
      </w:r>
      <w:r>
        <w:rPr>
          <w:rFonts w:hint="default" w:ascii="Times New Roman" w:hAnsi="Times New Roman" w:eastAsia="宋体" w:cs="Times New Roman"/>
          <w:color w:val="FF0000"/>
          <w:kern w:val="0"/>
          <w:sz w:val="24"/>
          <w:szCs w:val="24"/>
          <w:highlight w:val="none"/>
          <w:lang w:eastAsia="zh-CN"/>
        </w:rPr>
        <w:t>均满足</w:t>
      </w:r>
      <w:r>
        <w:rPr>
          <w:rFonts w:hint="default" w:ascii="Times New Roman" w:hAnsi="Times New Roman" w:eastAsia="宋体" w:cs="Times New Roman"/>
          <w:color w:val="FF0000"/>
          <w:kern w:val="0"/>
          <w:sz w:val="24"/>
          <w:szCs w:val="24"/>
          <w:highlight w:val="none"/>
        </w:rPr>
        <w:t>《环境空气质量标准》（GB3095-2012）二级标准</w:t>
      </w:r>
      <w:r>
        <w:rPr>
          <w:rFonts w:hint="default" w:ascii="Times New Roman" w:hAnsi="Times New Roman" w:eastAsia="宋体" w:cs="Times New Roman"/>
          <w:color w:val="FF0000"/>
          <w:kern w:val="0"/>
          <w:sz w:val="24"/>
          <w:szCs w:val="24"/>
          <w:highlight w:val="none"/>
          <w:vertAlign w:val="baseline"/>
        </w:rPr>
        <w:t>限值</w:t>
      </w:r>
      <w:r>
        <w:rPr>
          <w:rFonts w:hint="default" w:ascii="Times New Roman" w:hAnsi="Times New Roman" w:eastAsia="宋体" w:cs="Times New Roman"/>
          <w:color w:val="FF0000"/>
          <w:kern w:val="0"/>
          <w:sz w:val="24"/>
          <w:szCs w:val="24"/>
          <w:highlight w:val="none"/>
          <w:lang w:eastAsia="zh-CN"/>
        </w:rPr>
        <w:t>，</w:t>
      </w:r>
      <w:r>
        <w:rPr>
          <w:rFonts w:hint="default" w:ascii="Times New Roman" w:hAnsi="Times New Roman" w:eastAsia="宋体" w:cs="Times New Roman"/>
          <w:color w:val="FF0000"/>
          <w:kern w:val="0"/>
          <w:sz w:val="24"/>
          <w:szCs w:val="24"/>
          <w:highlight w:val="none"/>
        </w:rPr>
        <w:t>由此可判断</w:t>
      </w:r>
      <w:r>
        <w:rPr>
          <w:rFonts w:hint="default" w:ascii="Times New Roman" w:hAnsi="Times New Roman" w:eastAsia="宋体" w:cs="Times New Roman"/>
          <w:color w:val="FF0000"/>
          <w:kern w:val="0"/>
          <w:sz w:val="24"/>
          <w:szCs w:val="24"/>
          <w:highlight w:val="none"/>
          <w:lang w:eastAsia="zh-CN"/>
        </w:rPr>
        <w:t>本项目所在地为</w:t>
      </w:r>
      <w:r>
        <w:rPr>
          <w:rFonts w:hint="default" w:ascii="Times New Roman" w:hAnsi="Times New Roman" w:eastAsia="宋体" w:cs="Times New Roman"/>
          <w:color w:val="FF0000"/>
          <w:kern w:val="0"/>
          <w:sz w:val="24"/>
          <w:szCs w:val="24"/>
          <w:highlight w:val="none"/>
        </w:rPr>
        <w:t>达标区</w:t>
      </w:r>
      <w:r>
        <w:rPr>
          <w:rFonts w:hint="default" w:ascii="Times New Roman" w:hAnsi="Times New Roman" w:eastAsia="宋体" w:cs="Times New Roman"/>
          <w:color w:val="FF0000"/>
          <w:kern w:val="0"/>
          <w:sz w:val="24"/>
          <w:szCs w:val="24"/>
          <w:highlight w:val="none"/>
          <w:lang w:eastAsia="zh-CN"/>
        </w:rPr>
        <w:t>；</w:t>
      </w:r>
      <w:r>
        <w:rPr>
          <w:rFonts w:hint="default" w:ascii="Times New Roman" w:hAnsi="Times New Roman" w:eastAsia="宋体" w:cs="Times New Roman"/>
          <w:color w:val="auto"/>
          <w:kern w:val="0"/>
          <w:sz w:val="24"/>
          <w:szCs w:val="24"/>
          <w:highlight w:val="none"/>
          <w:lang w:eastAsia="zh-CN"/>
        </w:rPr>
        <w:t>根据</w:t>
      </w:r>
      <w:r>
        <w:rPr>
          <w:rFonts w:hint="default" w:ascii="Times New Roman" w:hAnsi="Times New Roman" w:eastAsia="宋体" w:cs="Times New Roman"/>
          <w:color w:val="auto"/>
          <w:sz w:val="24"/>
          <w:highlight w:val="none"/>
        </w:rPr>
        <w:t>特征因子</w:t>
      </w:r>
      <w:r>
        <w:rPr>
          <w:rFonts w:hint="default" w:ascii="Times New Roman" w:hAnsi="Times New Roman" w:eastAsia="宋体" w:cs="Times New Roman"/>
          <w:color w:val="auto"/>
          <w:kern w:val="0"/>
          <w:sz w:val="24"/>
          <w:szCs w:val="24"/>
          <w:highlight w:val="none"/>
          <w:lang w:eastAsia="zh-CN"/>
        </w:rPr>
        <w:t>监测结果可知，</w:t>
      </w:r>
      <w:r>
        <w:rPr>
          <w:rFonts w:hint="default" w:ascii="Times New Roman" w:hAnsi="Times New Roman" w:eastAsia="宋体" w:cs="Times New Roman"/>
          <w:color w:val="auto"/>
          <w:kern w:val="0"/>
          <w:sz w:val="24"/>
          <w:szCs w:val="24"/>
          <w:highlight w:val="none"/>
          <w:lang w:val="en-US" w:eastAsia="zh-CN"/>
        </w:rPr>
        <w:t>TSP</w:t>
      </w:r>
      <w:r>
        <w:rPr>
          <w:rFonts w:hint="default" w:ascii="Times New Roman" w:hAnsi="Times New Roman" w:eastAsia="宋体" w:cs="Times New Roman"/>
          <w:color w:val="auto"/>
          <w:kern w:val="0"/>
          <w:sz w:val="24"/>
          <w:szCs w:val="24"/>
          <w:highlight w:val="none"/>
        </w:rPr>
        <w:t>质量浓度</w:t>
      </w:r>
      <w:r>
        <w:rPr>
          <w:rFonts w:hint="default" w:ascii="Times New Roman" w:hAnsi="Times New Roman" w:eastAsia="宋体" w:cs="Times New Roman"/>
          <w:color w:val="auto"/>
          <w:kern w:val="0"/>
          <w:sz w:val="24"/>
          <w:szCs w:val="24"/>
          <w:highlight w:val="none"/>
          <w:lang w:eastAsia="zh-CN"/>
        </w:rPr>
        <w:t>满足</w:t>
      </w:r>
      <w:r>
        <w:rPr>
          <w:rFonts w:hint="default" w:ascii="Times New Roman" w:hAnsi="Times New Roman" w:eastAsia="宋体" w:cs="Times New Roman"/>
          <w:color w:val="auto"/>
          <w:kern w:val="0"/>
          <w:sz w:val="24"/>
          <w:szCs w:val="24"/>
          <w:highlight w:val="none"/>
        </w:rPr>
        <w:t>《环境空气质量标准》（GB3095-2012）二级标准</w:t>
      </w:r>
      <w:r>
        <w:rPr>
          <w:rFonts w:hint="default" w:ascii="Times New Roman" w:hAnsi="Times New Roman" w:eastAsia="宋体" w:cs="Times New Roman"/>
          <w:color w:val="auto"/>
          <w:kern w:val="0"/>
          <w:sz w:val="24"/>
          <w:szCs w:val="24"/>
          <w:highlight w:val="none"/>
          <w:vertAlign w:val="baseline"/>
        </w:rPr>
        <w:t>限值</w:t>
      </w:r>
      <w:r>
        <w:rPr>
          <w:rFonts w:hint="default" w:ascii="Times New Roman" w:hAnsi="Times New Roman" w:eastAsia="宋体" w:cs="Times New Roman"/>
          <w:color w:val="auto"/>
          <w:kern w:val="0"/>
          <w:sz w:val="24"/>
          <w:szCs w:val="24"/>
          <w:highlight w:val="none"/>
          <w:vertAlign w:val="baseline"/>
          <w:lang w:eastAsia="zh-CN"/>
        </w:rPr>
        <w:t>；</w:t>
      </w:r>
      <w:r>
        <w:rPr>
          <w:rFonts w:hint="default" w:ascii="Times New Roman" w:hAnsi="Times New Roman" w:eastAsia="宋体" w:cs="Times New Roman"/>
          <w:color w:val="auto"/>
          <w:kern w:val="0"/>
          <w:sz w:val="24"/>
          <w:szCs w:val="24"/>
          <w:highlight w:val="none"/>
        </w:rPr>
        <w:t>H</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S、NH</w:t>
      </w:r>
      <w:r>
        <w:rPr>
          <w:rFonts w:hint="default" w:ascii="Times New Roman" w:hAnsi="Times New Roman" w:eastAsia="宋体" w:cs="Times New Roman"/>
          <w:color w:val="auto"/>
          <w:kern w:val="0"/>
          <w:sz w:val="24"/>
          <w:szCs w:val="24"/>
          <w:highlight w:val="none"/>
          <w:vertAlign w:val="subscript"/>
        </w:rPr>
        <w:t>3</w:t>
      </w:r>
      <w:r>
        <w:rPr>
          <w:rFonts w:hint="default" w:ascii="Times New Roman" w:hAnsi="Times New Roman" w:eastAsia="宋体" w:cs="Times New Roman"/>
          <w:color w:val="auto"/>
          <w:kern w:val="0"/>
          <w:sz w:val="24"/>
          <w:szCs w:val="24"/>
          <w:highlight w:val="none"/>
        </w:rPr>
        <w:t>质量浓度</w:t>
      </w:r>
      <w:r>
        <w:rPr>
          <w:rFonts w:hint="default" w:ascii="Times New Roman" w:hAnsi="Times New Roman" w:eastAsia="宋体" w:cs="Times New Roman"/>
          <w:color w:val="auto"/>
          <w:kern w:val="0"/>
          <w:sz w:val="24"/>
          <w:szCs w:val="24"/>
          <w:highlight w:val="none"/>
          <w:lang w:eastAsia="zh-CN"/>
        </w:rPr>
        <w:t>满足</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eastAsia="zh-CN"/>
        </w:rPr>
        <w:t>环境影响评价技术导则</w:t>
      </w:r>
      <w:r>
        <w:rPr>
          <w:rFonts w:hint="default" w:ascii="Times New Roman" w:hAnsi="Times New Roman" w:eastAsia="宋体" w:cs="Times New Roman"/>
          <w:color w:val="auto"/>
          <w:kern w:val="0"/>
          <w:sz w:val="24"/>
          <w:szCs w:val="24"/>
          <w:highlight w:val="none"/>
        </w:rPr>
        <w:t>大气环境》（HJ2.2-2018）附录D</w:t>
      </w:r>
      <w:r>
        <w:rPr>
          <w:rFonts w:hint="default" w:ascii="Times New Roman" w:hAnsi="Times New Roman" w:eastAsia="宋体" w:cs="Times New Roman"/>
          <w:color w:val="auto"/>
          <w:kern w:val="0"/>
          <w:sz w:val="24"/>
          <w:szCs w:val="24"/>
          <w:highlight w:val="none"/>
          <w:lang w:eastAsia="zh-CN"/>
        </w:rPr>
        <w:t>其他污染物空气质量浓度参考限值</w:t>
      </w:r>
      <w:r>
        <w:rPr>
          <w:rFonts w:hint="default" w:ascii="Times New Roman" w:hAnsi="Times New Roman" w:eastAsia="宋体" w:cs="Times New Roman"/>
          <w:color w:val="auto"/>
          <w:highlight w:val="none"/>
        </w:rPr>
        <w:t>。</w:t>
      </w:r>
    </w:p>
    <w:p w14:paraId="0A781FE5">
      <w:pPr>
        <w:pageBreakBefore w:val="0"/>
        <w:kinsoku/>
        <w:wordWrap/>
        <w:bidi w:val="0"/>
        <w:snapToGrid w:val="0"/>
        <w:spacing w:line="360" w:lineRule="auto"/>
        <w:ind w:left="0" w:leftChars="0" w:right="0" w:rightChars="0" w:firstLine="480"/>
        <w:outlineLvl w:val="1"/>
        <w:rPr>
          <w:rFonts w:hint="default" w:ascii="Times New Roman" w:hAnsi="Times New Roman" w:eastAsia="宋体" w:cs="Times New Roman"/>
          <w:color w:val="auto"/>
          <w:highlight w:val="none"/>
        </w:rPr>
      </w:pPr>
      <w:bookmarkStart w:id="749" w:name="_Toc24661"/>
      <w:bookmarkStart w:id="750" w:name="_Toc1841"/>
      <w:r>
        <w:rPr>
          <w:rFonts w:hint="default" w:ascii="Times New Roman" w:hAnsi="Times New Roman" w:eastAsia="宋体" w:cs="Times New Roman"/>
          <w:color w:val="auto"/>
          <w:highlight w:val="none"/>
        </w:rPr>
        <w:t>（2）地下水环境</w:t>
      </w:r>
      <w:bookmarkEnd w:id="749"/>
      <w:bookmarkEnd w:id="750"/>
    </w:p>
    <w:p w14:paraId="6C94576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从</w:t>
      </w:r>
      <w:r>
        <w:rPr>
          <w:rFonts w:hint="default" w:ascii="Times New Roman" w:hAnsi="Times New Roman" w:eastAsia="宋体" w:cs="Times New Roman"/>
          <w:color w:val="auto"/>
          <w:sz w:val="24"/>
          <w:szCs w:val="24"/>
          <w:highlight w:val="none"/>
        </w:rPr>
        <w:t>地下水监测结果可以看出，W1北侧水井</w:t>
      </w:r>
      <w:r>
        <w:rPr>
          <w:rFonts w:hint="default" w:ascii="Times New Roman" w:hAnsi="Times New Roman" w:eastAsia="宋体" w:cs="Times New Roman"/>
          <w:color w:val="auto"/>
          <w:sz w:val="24"/>
          <w:szCs w:val="24"/>
          <w:highlight w:val="none"/>
          <w:lang w:eastAsia="zh-CN"/>
        </w:rPr>
        <w:t>地下水环境各监测因子中</w:t>
      </w:r>
      <w:r>
        <w:rPr>
          <w:rFonts w:hint="default" w:ascii="Times New Roman" w:hAnsi="Times New Roman" w:eastAsia="宋体" w:cs="Times New Roman"/>
          <w:color w:val="auto"/>
          <w:sz w:val="24"/>
          <w:szCs w:val="24"/>
          <w:highlight w:val="none"/>
        </w:rPr>
        <w:t>总硬度、溶解性总固体、</w:t>
      </w:r>
      <w:r>
        <w:rPr>
          <w:rFonts w:hint="default" w:ascii="Times New Roman" w:hAnsi="Times New Roman" w:eastAsia="宋体" w:cs="Times New Roman"/>
          <w:color w:val="auto"/>
          <w:sz w:val="24"/>
          <w:szCs w:val="24"/>
          <w:highlight w:val="none"/>
          <w:lang w:eastAsia="zh-CN"/>
        </w:rPr>
        <w:t>硫酸盐、</w:t>
      </w:r>
      <w:r>
        <w:rPr>
          <w:rFonts w:hint="default" w:ascii="Times New Roman" w:hAnsi="Times New Roman" w:eastAsia="宋体" w:cs="Times New Roman"/>
          <w:color w:val="auto"/>
          <w:sz w:val="24"/>
          <w:szCs w:val="24"/>
          <w:highlight w:val="none"/>
        </w:rPr>
        <w:t>氯化物</w:t>
      </w:r>
      <w:r>
        <w:rPr>
          <w:rFonts w:hint="default" w:ascii="Times New Roman" w:hAnsi="Times New Roman" w:eastAsia="宋体" w:cs="Times New Roman"/>
          <w:color w:val="auto"/>
          <w:sz w:val="24"/>
          <w:szCs w:val="24"/>
          <w:highlight w:val="none"/>
          <w:lang w:eastAsia="zh-CN"/>
        </w:rPr>
        <w:t>等指标</w:t>
      </w:r>
      <w:r>
        <w:rPr>
          <w:rFonts w:hint="default" w:ascii="Times New Roman" w:hAnsi="Times New Roman" w:eastAsia="宋体" w:cs="Times New Roman"/>
          <w:color w:val="auto"/>
          <w:sz w:val="24"/>
          <w:szCs w:val="24"/>
          <w:highlight w:val="none"/>
        </w:rPr>
        <w:t>超</w:t>
      </w:r>
      <w:r>
        <w:rPr>
          <w:rFonts w:hint="default" w:ascii="Times New Roman" w:hAnsi="Times New Roman" w:eastAsia="宋体" w:cs="Times New Roman"/>
          <w:color w:val="auto"/>
          <w:sz w:val="24"/>
          <w:szCs w:val="24"/>
          <w:highlight w:val="none"/>
          <w:lang w:eastAsia="zh-CN"/>
        </w:rPr>
        <w:t>过</w:t>
      </w:r>
      <w:r>
        <w:rPr>
          <w:rFonts w:hint="default" w:ascii="Times New Roman" w:hAnsi="Times New Roman" w:eastAsia="宋体" w:cs="Times New Roman"/>
          <w:color w:val="auto"/>
          <w:sz w:val="24"/>
          <w:szCs w:val="24"/>
          <w:highlight w:val="none"/>
        </w:rPr>
        <w:t>《地下水质量标准》（GB/T14848-2017</w:t>
      </w:r>
      <w:r>
        <w:rPr>
          <w:rFonts w:hint="default" w:ascii="Times New Roman" w:hAnsi="Times New Roman" w:eastAsia="宋体" w:cs="Times New Roman"/>
          <w:color w:val="auto"/>
          <w:sz w:val="24"/>
          <w:szCs w:val="24"/>
          <w:highlight w:val="none"/>
          <w:lang w:eastAsia="zh-CN"/>
        </w:rPr>
        <w:t>）Ⅲ</w:t>
      </w:r>
      <w:r>
        <w:rPr>
          <w:rFonts w:hint="default" w:ascii="Times New Roman" w:hAnsi="Times New Roman" w:eastAsia="宋体" w:cs="Times New Roman"/>
          <w:color w:val="auto"/>
          <w:sz w:val="24"/>
          <w:szCs w:val="24"/>
          <w:highlight w:val="none"/>
        </w:rPr>
        <w:t>类标准，其它所检因子均符合《地下水质量标准》（GB/T14848</w:t>
      </w:r>
      <w:r>
        <w:rPr>
          <w:rFonts w:hint="default" w:ascii="Times New Roman" w:hAnsi="Times New Roman" w:eastAsia="宋体" w:cs="Times New Roman"/>
          <w:color w:val="auto"/>
          <w:highlight w:val="none"/>
        </w:rPr>
        <w:t>-2017</w:t>
      </w:r>
      <w:r>
        <w:rPr>
          <w:rFonts w:hint="default" w:ascii="Times New Roman" w:hAnsi="Times New Roman" w:eastAsia="宋体" w:cs="Times New Roman"/>
          <w:color w:val="auto"/>
          <w:highlight w:val="none"/>
          <w:lang w:eastAsia="zh-CN"/>
        </w:rPr>
        <w:t>）Ⅲ</w:t>
      </w:r>
      <w:r>
        <w:rPr>
          <w:rFonts w:hint="default" w:ascii="Times New Roman" w:hAnsi="Times New Roman" w:eastAsia="宋体" w:cs="Times New Roman"/>
          <w:color w:val="auto"/>
          <w:highlight w:val="none"/>
        </w:rPr>
        <w:t>类标准</w:t>
      </w:r>
      <w:r>
        <w:rPr>
          <w:rFonts w:hint="default" w:ascii="Times New Roman" w:hAnsi="Times New Roman" w:eastAsia="宋体" w:cs="Times New Roman"/>
          <w:color w:val="auto"/>
          <w:highlight w:val="none"/>
          <w:lang w:eastAsia="zh-CN"/>
        </w:rPr>
        <w:t>。</w:t>
      </w:r>
    </w:p>
    <w:p w14:paraId="7AE3CA0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W2场区水井</w:t>
      </w:r>
      <w:r>
        <w:rPr>
          <w:rFonts w:hint="default" w:ascii="Times New Roman" w:hAnsi="Times New Roman" w:eastAsia="宋体" w:cs="Times New Roman"/>
          <w:color w:val="auto"/>
          <w:sz w:val="24"/>
          <w:szCs w:val="24"/>
          <w:highlight w:val="none"/>
          <w:lang w:eastAsia="zh-CN"/>
        </w:rPr>
        <w:t>地下水环境各监测因子中</w:t>
      </w:r>
      <w:r>
        <w:rPr>
          <w:rFonts w:hint="default" w:ascii="Times New Roman" w:hAnsi="Times New Roman" w:eastAsia="宋体" w:cs="Times New Roman"/>
          <w:color w:val="auto"/>
          <w:sz w:val="24"/>
          <w:szCs w:val="24"/>
          <w:highlight w:val="none"/>
        </w:rPr>
        <w:t>总硬度、溶解性总固体、</w:t>
      </w:r>
      <w:r>
        <w:rPr>
          <w:rFonts w:hint="default" w:ascii="Times New Roman" w:hAnsi="Times New Roman" w:eastAsia="宋体" w:cs="Times New Roman"/>
          <w:color w:val="auto"/>
          <w:sz w:val="24"/>
          <w:szCs w:val="24"/>
          <w:highlight w:val="none"/>
          <w:lang w:eastAsia="zh-CN"/>
        </w:rPr>
        <w:t>硫酸盐、</w:t>
      </w:r>
      <w:r>
        <w:rPr>
          <w:rFonts w:hint="default" w:ascii="Times New Roman" w:hAnsi="Times New Roman" w:eastAsia="宋体" w:cs="Times New Roman"/>
          <w:color w:val="auto"/>
          <w:sz w:val="24"/>
          <w:szCs w:val="24"/>
          <w:highlight w:val="none"/>
        </w:rPr>
        <w:t>氯化物</w:t>
      </w:r>
      <w:r>
        <w:rPr>
          <w:rFonts w:hint="default" w:ascii="Times New Roman" w:hAnsi="Times New Roman" w:eastAsia="宋体" w:cs="Times New Roman"/>
          <w:color w:val="auto"/>
          <w:sz w:val="24"/>
          <w:szCs w:val="24"/>
          <w:highlight w:val="none"/>
          <w:lang w:eastAsia="zh-CN"/>
        </w:rPr>
        <w:t>等指标</w:t>
      </w:r>
      <w:r>
        <w:rPr>
          <w:rFonts w:hint="default" w:ascii="Times New Roman" w:hAnsi="Times New Roman" w:eastAsia="宋体" w:cs="Times New Roman"/>
          <w:color w:val="auto"/>
          <w:sz w:val="24"/>
          <w:szCs w:val="24"/>
          <w:highlight w:val="none"/>
        </w:rPr>
        <w:t>超</w:t>
      </w:r>
      <w:r>
        <w:rPr>
          <w:rFonts w:hint="default" w:ascii="Times New Roman" w:hAnsi="Times New Roman" w:eastAsia="宋体" w:cs="Times New Roman"/>
          <w:color w:val="auto"/>
          <w:sz w:val="24"/>
          <w:szCs w:val="24"/>
          <w:highlight w:val="none"/>
          <w:lang w:eastAsia="zh-CN"/>
        </w:rPr>
        <w:t>过</w:t>
      </w:r>
      <w:r>
        <w:rPr>
          <w:rFonts w:hint="default" w:ascii="Times New Roman" w:hAnsi="Times New Roman" w:eastAsia="宋体" w:cs="Times New Roman"/>
          <w:color w:val="auto"/>
          <w:sz w:val="24"/>
          <w:szCs w:val="24"/>
          <w:highlight w:val="none"/>
        </w:rPr>
        <w:t>《地下水质量标准》（GB/T14848-2017</w:t>
      </w:r>
      <w:r>
        <w:rPr>
          <w:rFonts w:hint="default" w:ascii="Times New Roman" w:hAnsi="Times New Roman" w:eastAsia="宋体" w:cs="Times New Roman"/>
          <w:color w:val="auto"/>
          <w:sz w:val="24"/>
          <w:szCs w:val="24"/>
          <w:highlight w:val="none"/>
          <w:lang w:eastAsia="zh-CN"/>
        </w:rPr>
        <w:t>）Ⅲ</w:t>
      </w:r>
      <w:r>
        <w:rPr>
          <w:rFonts w:hint="default" w:ascii="Times New Roman" w:hAnsi="Times New Roman" w:eastAsia="宋体" w:cs="Times New Roman"/>
          <w:color w:val="auto"/>
          <w:sz w:val="24"/>
          <w:szCs w:val="24"/>
          <w:highlight w:val="none"/>
        </w:rPr>
        <w:t>类标准，其它所检因子均符合《地下水质量标准》（GB/T14848</w:t>
      </w:r>
      <w:r>
        <w:rPr>
          <w:rFonts w:hint="default" w:ascii="Times New Roman" w:hAnsi="Times New Roman" w:eastAsia="宋体" w:cs="Times New Roman"/>
          <w:color w:val="auto"/>
          <w:highlight w:val="none"/>
        </w:rPr>
        <w:t>-2017</w:t>
      </w:r>
      <w:r>
        <w:rPr>
          <w:rFonts w:hint="default" w:ascii="Times New Roman" w:hAnsi="Times New Roman" w:eastAsia="宋体" w:cs="Times New Roman"/>
          <w:color w:val="auto"/>
          <w:highlight w:val="none"/>
          <w:lang w:eastAsia="zh-CN"/>
        </w:rPr>
        <w:t>）Ⅲ</w:t>
      </w:r>
      <w:r>
        <w:rPr>
          <w:rFonts w:hint="default" w:ascii="Times New Roman" w:hAnsi="Times New Roman" w:eastAsia="宋体" w:cs="Times New Roman"/>
          <w:color w:val="auto"/>
          <w:highlight w:val="none"/>
        </w:rPr>
        <w:t>类标准</w:t>
      </w:r>
      <w:r>
        <w:rPr>
          <w:rFonts w:hint="default" w:ascii="Times New Roman" w:hAnsi="Times New Roman" w:eastAsia="宋体" w:cs="Times New Roman"/>
          <w:color w:val="auto"/>
          <w:highlight w:val="none"/>
          <w:lang w:eastAsia="zh-CN"/>
        </w:rPr>
        <w:t>。</w:t>
      </w:r>
    </w:p>
    <w:p w14:paraId="153F25D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W3东南侧水井</w:t>
      </w:r>
      <w:r>
        <w:rPr>
          <w:rFonts w:hint="default" w:ascii="Times New Roman" w:hAnsi="Times New Roman" w:eastAsia="宋体" w:cs="Times New Roman"/>
          <w:color w:val="auto"/>
          <w:sz w:val="24"/>
          <w:szCs w:val="24"/>
          <w:highlight w:val="none"/>
          <w:lang w:eastAsia="zh-CN"/>
        </w:rPr>
        <w:t>地下水环境各监测因子中</w:t>
      </w:r>
      <w:r>
        <w:rPr>
          <w:rFonts w:hint="default" w:ascii="Times New Roman" w:hAnsi="Times New Roman" w:eastAsia="宋体" w:cs="Times New Roman"/>
          <w:color w:val="auto"/>
          <w:sz w:val="24"/>
          <w:szCs w:val="24"/>
          <w:highlight w:val="none"/>
        </w:rPr>
        <w:t>总硬度、溶解性总固体、</w:t>
      </w:r>
      <w:r>
        <w:rPr>
          <w:rFonts w:hint="default" w:ascii="Times New Roman" w:hAnsi="Times New Roman" w:eastAsia="宋体" w:cs="Times New Roman"/>
          <w:color w:val="auto"/>
          <w:sz w:val="24"/>
          <w:szCs w:val="24"/>
          <w:highlight w:val="none"/>
          <w:lang w:eastAsia="zh-CN"/>
        </w:rPr>
        <w:t>硫酸盐、</w:t>
      </w:r>
      <w:r>
        <w:rPr>
          <w:rFonts w:hint="default" w:ascii="Times New Roman" w:hAnsi="Times New Roman" w:eastAsia="宋体" w:cs="Times New Roman"/>
          <w:color w:val="auto"/>
          <w:sz w:val="24"/>
          <w:szCs w:val="24"/>
          <w:highlight w:val="none"/>
        </w:rPr>
        <w:t>氯化物</w:t>
      </w:r>
      <w:r>
        <w:rPr>
          <w:rFonts w:hint="default" w:ascii="Times New Roman" w:hAnsi="Times New Roman" w:eastAsia="宋体" w:cs="Times New Roman"/>
          <w:color w:val="auto"/>
          <w:sz w:val="24"/>
          <w:szCs w:val="24"/>
          <w:highlight w:val="none"/>
          <w:lang w:eastAsia="zh-CN"/>
        </w:rPr>
        <w:t>等指标</w:t>
      </w:r>
      <w:r>
        <w:rPr>
          <w:rFonts w:hint="default" w:ascii="Times New Roman" w:hAnsi="Times New Roman" w:eastAsia="宋体" w:cs="Times New Roman"/>
          <w:color w:val="auto"/>
          <w:sz w:val="24"/>
          <w:szCs w:val="24"/>
          <w:highlight w:val="none"/>
        </w:rPr>
        <w:t>超</w:t>
      </w:r>
      <w:r>
        <w:rPr>
          <w:rFonts w:hint="default" w:ascii="Times New Roman" w:hAnsi="Times New Roman" w:eastAsia="宋体" w:cs="Times New Roman"/>
          <w:color w:val="auto"/>
          <w:sz w:val="24"/>
          <w:szCs w:val="24"/>
          <w:highlight w:val="none"/>
          <w:lang w:eastAsia="zh-CN"/>
        </w:rPr>
        <w:t>过</w:t>
      </w:r>
      <w:r>
        <w:rPr>
          <w:rFonts w:hint="default" w:ascii="Times New Roman" w:hAnsi="Times New Roman" w:eastAsia="宋体" w:cs="Times New Roman"/>
          <w:color w:val="auto"/>
          <w:sz w:val="24"/>
          <w:szCs w:val="24"/>
          <w:highlight w:val="none"/>
        </w:rPr>
        <w:t>《地下水质量标准》（GB/T14848-2017</w:t>
      </w:r>
      <w:r>
        <w:rPr>
          <w:rFonts w:hint="default" w:ascii="Times New Roman" w:hAnsi="Times New Roman" w:eastAsia="宋体" w:cs="Times New Roman"/>
          <w:color w:val="auto"/>
          <w:sz w:val="24"/>
          <w:szCs w:val="24"/>
          <w:highlight w:val="none"/>
          <w:lang w:eastAsia="zh-CN"/>
        </w:rPr>
        <w:t>）Ⅲ</w:t>
      </w:r>
      <w:r>
        <w:rPr>
          <w:rFonts w:hint="default" w:ascii="Times New Roman" w:hAnsi="Times New Roman" w:eastAsia="宋体" w:cs="Times New Roman"/>
          <w:color w:val="auto"/>
          <w:sz w:val="24"/>
          <w:szCs w:val="24"/>
          <w:highlight w:val="none"/>
        </w:rPr>
        <w:t>类标准，其它所检因子均符合《地下水质量标准》（GB/T14848</w:t>
      </w:r>
      <w:r>
        <w:rPr>
          <w:rFonts w:hint="default" w:ascii="Times New Roman" w:hAnsi="Times New Roman" w:eastAsia="宋体" w:cs="Times New Roman"/>
          <w:color w:val="auto"/>
          <w:highlight w:val="none"/>
        </w:rPr>
        <w:t>-2017</w:t>
      </w:r>
      <w:r>
        <w:rPr>
          <w:rFonts w:hint="default" w:ascii="Times New Roman" w:hAnsi="Times New Roman" w:eastAsia="宋体" w:cs="Times New Roman"/>
          <w:color w:val="auto"/>
          <w:highlight w:val="none"/>
          <w:lang w:eastAsia="zh-CN"/>
        </w:rPr>
        <w:t>）Ⅲ</w:t>
      </w:r>
      <w:r>
        <w:rPr>
          <w:rFonts w:hint="default" w:ascii="Times New Roman" w:hAnsi="Times New Roman" w:eastAsia="宋体" w:cs="Times New Roman"/>
          <w:color w:val="auto"/>
          <w:highlight w:val="none"/>
        </w:rPr>
        <w:t>类标准</w:t>
      </w:r>
      <w:r>
        <w:rPr>
          <w:rFonts w:hint="default" w:ascii="Times New Roman" w:hAnsi="Times New Roman" w:eastAsia="宋体" w:cs="Times New Roman"/>
          <w:color w:val="auto"/>
          <w:highlight w:val="none"/>
          <w:lang w:eastAsia="zh-CN"/>
        </w:rPr>
        <w:t>。</w:t>
      </w:r>
    </w:p>
    <w:p w14:paraId="64B53BE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超标原因：总硬度、溶解性总固体、硫酸盐</w:t>
      </w:r>
      <w:r>
        <w:rPr>
          <w:rFonts w:hint="default" w:ascii="Times New Roman" w:hAnsi="Times New Roman" w:eastAsia="宋体" w:cs="Times New Roman"/>
          <w:color w:val="auto"/>
          <w:highlight w:val="none"/>
          <w:lang w:eastAsia="zh-CN"/>
        </w:rPr>
        <w:t>、氯化物等因子</w:t>
      </w:r>
      <w:r>
        <w:rPr>
          <w:rFonts w:hint="default" w:ascii="Times New Roman" w:hAnsi="Times New Roman" w:eastAsia="宋体" w:cs="Times New Roman"/>
          <w:color w:val="auto"/>
          <w:highlight w:val="none"/>
        </w:rPr>
        <w:t>出现超标，是评价区含水层形成环境与现状地下水特征所决定的。</w:t>
      </w:r>
    </w:p>
    <w:p w14:paraId="3D83DF1E">
      <w:pPr>
        <w:pageBreakBefore w:val="0"/>
        <w:kinsoku/>
        <w:wordWrap/>
        <w:bidi w:val="0"/>
        <w:snapToGrid w:val="0"/>
        <w:spacing w:line="360" w:lineRule="auto"/>
        <w:ind w:left="0" w:leftChars="0" w:right="0" w:rightChars="0" w:firstLine="480"/>
        <w:outlineLvl w:val="1"/>
        <w:rPr>
          <w:rFonts w:hint="default" w:ascii="Times New Roman" w:hAnsi="Times New Roman" w:eastAsia="宋体" w:cs="Times New Roman"/>
          <w:color w:val="auto"/>
          <w:highlight w:val="none"/>
        </w:rPr>
      </w:pPr>
      <w:bookmarkStart w:id="751" w:name="_Toc394"/>
      <w:bookmarkStart w:id="752" w:name="_Toc11539"/>
      <w:r>
        <w:rPr>
          <w:rFonts w:hint="default" w:ascii="Times New Roman" w:hAnsi="Times New Roman" w:eastAsia="宋体" w:cs="Times New Roman"/>
          <w:color w:val="auto"/>
          <w:highlight w:val="none"/>
        </w:rPr>
        <w:t>（3）土壤环境</w:t>
      </w:r>
      <w:bookmarkEnd w:id="751"/>
      <w:bookmarkEnd w:id="752"/>
    </w:p>
    <w:p w14:paraId="03BE7A6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根据检测结果，</w:t>
      </w:r>
      <w:r>
        <w:rPr>
          <w:rFonts w:hint="default" w:ascii="Times New Roman" w:hAnsi="Times New Roman" w:eastAsia="宋体" w:cs="Times New Roman"/>
          <w:color w:val="auto"/>
          <w:highlight w:val="none"/>
          <w:lang w:eastAsia="zh-CN"/>
        </w:rPr>
        <w:t>本项目</w:t>
      </w:r>
      <w:r>
        <w:rPr>
          <w:rFonts w:hint="default" w:ascii="Times New Roman" w:hAnsi="Times New Roman" w:eastAsia="宋体" w:cs="Times New Roman"/>
          <w:color w:val="auto"/>
          <w:highlight w:val="none"/>
        </w:rPr>
        <w:t>用地范围内各监测点</w:t>
      </w:r>
      <w:r>
        <w:rPr>
          <w:rFonts w:hint="default" w:ascii="Times New Roman" w:hAnsi="Times New Roman" w:eastAsia="宋体" w:cs="Times New Roman"/>
          <w:color w:val="auto"/>
          <w:highlight w:val="none"/>
          <w:lang w:eastAsia="zh-CN"/>
        </w:rPr>
        <w:t>土壤环境</w:t>
      </w:r>
      <w:r>
        <w:rPr>
          <w:rFonts w:hint="default" w:ascii="Times New Roman" w:hAnsi="Times New Roman" w:eastAsia="宋体" w:cs="Times New Roman"/>
          <w:color w:val="auto"/>
          <w:highlight w:val="none"/>
        </w:rPr>
        <w:t>各项监测指标均满足项目用地土壤</w:t>
      </w:r>
      <w:r>
        <w:rPr>
          <w:rFonts w:hint="default" w:ascii="Times New Roman" w:hAnsi="Times New Roman" w:eastAsia="宋体" w:cs="Times New Roman"/>
          <w:color w:val="auto"/>
          <w:highlight w:val="none"/>
          <w:lang w:eastAsia="zh-CN"/>
        </w:rPr>
        <w:t>环境质量</w:t>
      </w:r>
      <w:r>
        <w:rPr>
          <w:rFonts w:hint="default" w:ascii="Times New Roman" w:hAnsi="Times New Roman" w:eastAsia="宋体" w:cs="Times New Roman"/>
          <w:color w:val="auto"/>
          <w:highlight w:val="none"/>
        </w:rPr>
        <w:t>执行</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土壤环境质量农用地土壤污染风险管控标准</w:t>
      </w:r>
      <w:r>
        <w:rPr>
          <w:rFonts w:hint="default" w:ascii="Times New Roman" w:hAnsi="Times New Roman" w:eastAsia="宋体" w:cs="Times New Roman"/>
          <w:color w:val="auto"/>
          <w:highlight w:val="none"/>
          <w:lang w:eastAsia="zh-CN"/>
        </w:rPr>
        <w:t>（试行）》（GB15618-2018）表1农用地土壤污染风险筛选值（基本项目）--“其他”标准</w:t>
      </w:r>
      <w:r>
        <w:rPr>
          <w:rFonts w:hint="default" w:ascii="Times New Roman" w:hAnsi="Times New Roman" w:eastAsia="宋体" w:cs="Times New Roman"/>
          <w:color w:val="auto"/>
          <w:highlight w:val="none"/>
        </w:rPr>
        <w:t>，项目所在地土壤环境质量良好。</w:t>
      </w:r>
    </w:p>
    <w:p w14:paraId="3F326DA7">
      <w:pPr>
        <w:pageBreakBefore w:val="0"/>
        <w:kinsoku/>
        <w:wordWrap/>
        <w:bidi w:val="0"/>
        <w:snapToGrid w:val="0"/>
        <w:spacing w:line="360" w:lineRule="auto"/>
        <w:ind w:left="0" w:leftChars="0" w:right="0" w:rightChars="0" w:firstLine="480"/>
        <w:outlineLvl w:val="1"/>
        <w:rPr>
          <w:rFonts w:hint="default" w:ascii="Times New Roman" w:hAnsi="Times New Roman" w:eastAsia="宋体" w:cs="Times New Roman"/>
          <w:color w:val="auto"/>
          <w:highlight w:val="none"/>
        </w:rPr>
      </w:pPr>
      <w:bookmarkStart w:id="753" w:name="_Toc4601"/>
      <w:bookmarkStart w:id="754" w:name="_Toc28308"/>
      <w:r>
        <w:rPr>
          <w:rFonts w:hint="default" w:ascii="Times New Roman" w:hAnsi="Times New Roman" w:eastAsia="宋体" w:cs="Times New Roman"/>
          <w:color w:val="auto"/>
          <w:highlight w:val="none"/>
        </w:rPr>
        <w:t>（4）声环境</w:t>
      </w:r>
      <w:bookmarkEnd w:id="753"/>
      <w:bookmarkEnd w:id="754"/>
    </w:p>
    <w:p w14:paraId="22E6CD62">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根据本次噪声现状监测结果，项目区</w:t>
      </w:r>
      <w:r>
        <w:rPr>
          <w:rFonts w:hint="default" w:ascii="Times New Roman" w:hAnsi="Times New Roman" w:eastAsia="宋体" w:cs="Times New Roman"/>
          <w:color w:val="00B050"/>
          <w:highlight w:val="none"/>
        </w:rPr>
        <w:t>厂界四周及敏感点</w:t>
      </w:r>
      <w:r>
        <w:rPr>
          <w:rFonts w:hint="default" w:ascii="Times New Roman" w:hAnsi="Times New Roman" w:eastAsia="宋体" w:cs="Times New Roman"/>
          <w:color w:val="auto"/>
          <w:highlight w:val="none"/>
        </w:rPr>
        <w:t>各监测点昼间、夜间噪声值均满足《声环境质量标准》（GB3096-2008）</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类标准，项目区声环境质量较好。</w:t>
      </w:r>
    </w:p>
    <w:bookmarkEnd w:id="747"/>
    <w:bookmarkEnd w:id="748"/>
    <w:p w14:paraId="15A0A5DB">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755" w:name="_Toc5996"/>
      <w:bookmarkStart w:id="756" w:name="_Toc523322414"/>
      <w:r>
        <w:rPr>
          <w:rFonts w:hint="default" w:ascii="Times New Roman" w:hAnsi="Times New Roman" w:eastAsia="宋体" w:cs="Times New Roman"/>
          <w:color w:val="auto"/>
          <w:highlight w:val="none"/>
        </w:rPr>
        <w:t>10.4环境影响分析结论</w:t>
      </w:r>
      <w:bookmarkEnd w:id="755"/>
      <w:bookmarkEnd w:id="756"/>
    </w:p>
    <w:p w14:paraId="459045A5">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757" w:name="_Toc523322415"/>
      <w:bookmarkStart w:id="758" w:name="_Toc113"/>
      <w:bookmarkStart w:id="759" w:name="_Toc471227933"/>
      <w:r>
        <w:rPr>
          <w:rFonts w:hint="default" w:ascii="Times New Roman" w:hAnsi="Times New Roman" w:eastAsia="宋体" w:cs="Times New Roman"/>
          <w:color w:val="auto"/>
          <w:highlight w:val="none"/>
        </w:rPr>
        <w:t>10.4.1施工期环境影响</w:t>
      </w:r>
      <w:bookmarkEnd w:id="757"/>
      <w:bookmarkEnd w:id="758"/>
      <w:bookmarkEnd w:id="759"/>
    </w:p>
    <w:p w14:paraId="59450A31">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在项目施工期间各项施工活动产生噪声、废水、扬尘和固体废弃物，有可能对周围环境产生短期的、局部的影响。项目方对产生噪声的机械设备采取减振、隔声措施，施工期</w:t>
      </w:r>
      <w:r>
        <w:rPr>
          <w:rFonts w:hint="default" w:ascii="Times New Roman" w:hAnsi="Times New Roman" w:eastAsia="宋体" w:cs="Times New Roman"/>
          <w:color w:val="auto"/>
          <w:highlight w:val="none"/>
          <w:lang w:eastAsia="zh-CN"/>
        </w:rPr>
        <w:t>生活污水排入临时</w:t>
      </w:r>
      <w:r>
        <w:rPr>
          <w:rFonts w:hint="default" w:ascii="Times New Roman" w:hAnsi="Times New Roman" w:eastAsia="宋体" w:cs="Times New Roman"/>
          <w:color w:val="auto"/>
          <w:highlight w:val="none"/>
        </w:rPr>
        <w:t>旱厕，施工场地及运输道路定期洒水抑尘，材料堆放及运输粉状材料</w:t>
      </w:r>
      <w:r>
        <w:rPr>
          <w:rFonts w:hint="default" w:ascii="Times New Roman" w:hAnsi="Times New Roman" w:eastAsia="宋体" w:cs="Times New Roman"/>
          <w:color w:val="auto"/>
          <w:highlight w:val="none"/>
          <w:lang w:eastAsia="zh-CN"/>
        </w:rPr>
        <w:t>时</w:t>
      </w:r>
      <w:r>
        <w:rPr>
          <w:rFonts w:hint="default" w:ascii="Times New Roman" w:hAnsi="Times New Roman" w:eastAsia="宋体" w:cs="Times New Roman"/>
          <w:color w:val="auto"/>
          <w:highlight w:val="none"/>
        </w:rPr>
        <w:t>采取遮盖等措施，产生建筑垃圾部分全部利用，生活垃圾运至环卫部门指定地点等措施后，本项目施工期对周围环境的影响可以接受。</w:t>
      </w:r>
    </w:p>
    <w:p w14:paraId="229702AE">
      <w:pPr>
        <w:pStyle w:val="5"/>
        <w:pageBreakBefore w:val="0"/>
        <w:kinsoku/>
        <w:wordWrap/>
        <w:bidi w:val="0"/>
        <w:snapToGrid w:val="0"/>
        <w:spacing w:before="0" w:after="0" w:line="360" w:lineRule="auto"/>
        <w:ind w:left="0" w:leftChars="0" w:right="0" w:rightChars="0"/>
        <w:outlineLvl w:val="1"/>
        <w:rPr>
          <w:rFonts w:hint="default" w:ascii="Times New Roman" w:hAnsi="Times New Roman" w:eastAsia="宋体" w:cs="Times New Roman"/>
          <w:color w:val="auto"/>
          <w:highlight w:val="none"/>
        </w:rPr>
      </w:pPr>
      <w:bookmarkStart w:id="760" w:name="_Toc523322416"/>
      <w:bookmarkStart w:id="761" w:name="_Toc16489"/>
      <w:r>
        <w:rPr>
          <w:rFonts w:hint="default" w:ascii="Times New Roman" w:hAnsi="Times New Roman" w:eastAsia="宋体" w:cs="Times New Roman"/>
          <w:color w:val="auto"/>
          <w:highlight w:val="none"/>
        </w:rPr>
        <w:t>10.4.2运营期环境影响</w:t>
      </w:r>
      <w:bookmarkEnd w:id="760"/>
      <w:bookmarkEnd w:id="761"/>
    </w:p>
    <w:p w14:paraId="5AABA884">
      <w:pPr>
        <w:pageBreakBefore w:val="0"/>
        <w:kinsoku/>
        <w:wordWrap/>
        <w:bidi w:val="0"/>
        <w:snapToGrid w:val="0"/>
        <w:spacing w:line="360" w:lineRule="auto"/>
        <w:ind w:left="0" w:leftChars="0" w:right="0" w:rightChars="0" w:firstLine="480"/>
        <w:outlineLvl w:val="2"/>
        <w:rPr>
          <w:rFonts w:hint="default" w:ascii="Times New Roman" w:hAnsi="Times New Roman" w:eastAsia="宋体" w:cs="Times New Roman"/>
          <w:color w:val="auto"/>
          <w:sz w:val="24"/>
          <w:szCs w:val="24"/>
          <w:highlight w:val="none"/>
        </w:rPr>
      </w:pPr>
      <w:bookmarkStart w:id="762" w:name="_Toc494206423"/>
      <w:bookmarkStart w:id="763" w:name="_Toc24154"/>
      <w:bookmarkStart w:id="764" w:name="_Toc371696644"/>
      <w:bookmarkStart w:id="765" w:name="_Toc487188701"/>
      <w:bookmarkStart w:id="766" w:name="_Toc4743"/>
      <w:bookmarkStart w:id="767" w:name="_Toc371696648"/>
      <w:bookmarkStart w:id="768" w:name="_Toc487188707"/>
      <w:bookmarkStart w:id="769" w:name="_Toc494206429"/>
      <w:bookmarkStart w:id="770" w:name="_Toc523322418"/>
      <w:r>
        <w:rPr>
          <w:rFonts w:hint="default" w:ascii="Times New Roman" w:hAnsi="Times New Roman" w:eastAsia="宋体" w:cs="Times New Roman"/>
          <w:color w:val="auto"/>
          <w:sz w:val="24"/>
          <w:szCs w:val="24"/>
          <w:highlight w:val="none"/>
        </w:rPr>
        <w:t>（1）大气环境影响评价</w:t>
      </w:r>
      <w:bookmarkEnd w:id="762"/>
      <w:bookmarkEnd w:id="763"/>
      <w:bookmarkEnd w:id="764"/>
      <w:bookmarkEnd w:id="765"/>
      <w:bookmarkEnd w:id="766"/>
    </w:p>
    <w:p w14:paraId="506D1C5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bookmarkStart w:id="771" w:name="_Toc371696645"/>
      <w:bookmarkStart w:id="772" w:name="_Toc487188702"/>
      <w:bookmarkStart w:id="773" w:name="_Toc494206424"/>
      <w:r>
        <w:rPr>
          <w:rFonts w:hint="default" w:ascii="Times New Roman" w:hAnsi="Times New Roman" w:eastAsia="宋体" w:cs="Times New Roman"/>
          <w:color w:val="auto"/>
          <w:sz w:val="24"/>
          <w:szCs w:val="24"/>
          <w:highlight w:val="none"/>
        </w:rPr>
        <w:t>根据估算模式计算可知，本项目所产生的污染物的最大落地浓度的占标率均未超过10%，其中占标率相对较大的H</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S、NH</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占标率分别为</w:t>
      </w:r>
      <w:r>
        <w:rPr>
          <w:rFonts w:hint="default" w:ascii="Times New Roman" w:hAnsi="Times New Roman" w:eastAsia="宋体" w:cs="Times New Roman"/>
          <w:i w:val="0"/>
          <w:iCs w:val="0"/>
          <w:color w:val="auto"/>
          <w:sz w:val="24"/>
          <w:szCs w:val="24"/>
          <w:highlight w:val="none"/>
        </w:rPr>
        <w:t>2.4</w:t>
      </w:r>
      <w:r>
        <w:rPr>
          <w:rFonts w:hint="default" w:ascii="Times New Roman" w:hAnsi="Times New Roman" w:eastAsia="宋体" w:cs="Times New Roman"/>
          <w:i w:val="0"/>
          <w:iCs w:val="0"/>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i w:val="0"/>
          <w:iCs w:val="0"/>
          <w:color w:val="auto"/>
          <w:sz w:val="24"/>
          <w:szCs w:val="24"/>
          <w:highlight w:val="none"/>
        </w:rPr>
        <w:t>9.5</w:t>
      </w:r>
      <w:r>
        <w:rPr>
          <w:rFonts w:hint="default" w:ascii="Times New Roman" w:hAnsi="Times New Roman" w:eastAsia="宋体" w:cs="Times New Roman"/>
          <w:i w:val="0"/>
          <w:iCs w:val="0"/>
          <w:color w:val="auto"/>
          <w:sz w:val="24"/>
          <w:szCs w:val="24"/>
          <w:highlight w:val="none"/>
          <w:lang w:val="en-US" w:eastAsia="zh-CN"/>
        </w:rPr>
        <w:t>4</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其他的</w:t>
      </w:r>
      <w:r>
        <w:rPr>
          <w:rFonts w:hint="default" w:ascii="Times New Roman" w:hAnsi="Times New Roman" w:eastAsia="宋体" w:cs="Times New Roman"/>
          <w:color w:val="auto"/>
          <w:sz w:val="24"/>
          <w:szCs w:val="24"/>
          <w:highlight w:val="none"/>
        </w:rPr>
        <w:t>均相对较低，因此本项目产生的污染对周围环境产生的影响不大。</w:t>
      </w:r>
    </w:p>
    <w:p w14:paraId="43EE29EF">
      <w:pPr>
        <w:pageBreakBefore w:val="0"/>
        <w:kinsoku/>
        <w:wordWrap/>
        <w:bidi w:val="0"/>
        <w:snapToGrid w:val="0"/>
        <w:spacing w:line="360" w:lineRule="auto"/>
        <w:ind w:left="0" w:leftChars="0" w:right="0" w:rightChars="0" w:firstLine="480"/>
        <w:outlineLvl w:val="2"/>
        <w:rPr>
          <w:rFonts w:hint="default" w:ascii="Times New Roman" w:hAnsi="Times New Roman" w:eastAsia="宋体" w:cs="Times New Roman"/>
          <w:color w:val="auto"/>
          <w:highlight w:val="none"/>
        </w:rPr>
      </w:pPr>
      <w:bookmarkStart w:id="774" w:name="_Toc15911"/>
      <w:bookmarkStart w:id="775" w:name="_Toc12844"/>
      <w:r>
        <w:rPr>
          <w:rFonts w:hint="default" w:ascii="Times New Roman" w:hAnsi="Times New Roman" w:eastAsia="宋体" w:cs="Times New Roman"/>
          <w:color w:val="auto"/>
          <w:highlight w:val="none"/>
        </w:rPr>
        <w:t>（2）地表水环境影响评价</w:t>
      </w:r>
      <w:bookmarkEnd w:id="771"/>
      <w:bookmarkEnd w:id="772"/>
      <w:bookmarkEnd w:id="773"/>
      <w:bookmarkEnd w:id="774"/>
      <w:bookmarkEnd w:id="775"/>
    </w:p>
    <w:p w14:paraId="34FD7BB6">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color w:val="auto"/>
          <w:sz w:val="24"/>
          <w:szCs w:val="28"/>
          <w:highlight w:val="none"/>
        </w:rPr>
        <w:t>本项目</w:t>
      </w:r>
      <w:r>
        <w:rPr>
          <w:rFonts w:hint="default" w:ascii="Times New Roman" w:hAnsi="Times New Roman" w:eastAsia="宋体" w:cs="Times New Roman"/>
          <w:color w:val="auto"/>
          <w:kern w:val="0"/>
          <w:sz w:val="24"/>
          <w:szCs w:val="24"/>
          <w:highlight w:val="none"/>
          <w:lang w:eastAsia="zh-CN"/>
        </w:rPr>
        <w:t>肉牛饲养过程中饮用水量较少，排放的尿液较少，并且牛粪较为干燥，在</w:t>
      </w:r>
      <w:r>
        <w:rPr>
          <w:rFonts w:hint="default" w:ascii="Times New Roman" w:hAnsi="Times New Roman" w:eastAsia="宋体" w:cs="Times New Roman"/>
          <w:color w:val="auto"/>
          <w:kern w:val="0"/>
          <w:sz w:val="24"/>
          <w:szCs w:val="24"/>
          <w:highlight w:val="none"/>
        </w:rPr>
        <w:t>养殖区</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牛舍</w:t>
      </w:r>
      <w:r>
        <w:rPr>
          <w:rFonts w:hint="default" w:ascii="Times New Roman" w:hAnsi="Times New Roman" w:eastAsia="宋体" w:cs="Times New Roman"/>
          <w:color w:val="auto"/>
          <w:kern w:val="0"/>
          <w:sz w:val="24"/>
          <w:szCs w:val="24"/>
          <w:highlight w:val="none"/>
          <w:lang w:eastAsia="zh-CN"/>
        </w:rPr>
        <w:t>、运动场）排放的尿液大部分由于当地气候干燥蒸发，剩余尿液与粪便完全黏结混合在一起，一起运往粪污处理池</w:t>
      </w:r>
      <w:r>
        <w:rPr>
          <w:rFonts w:hint="default" w:ascii="Times New Roman" w:hAnsi="Times New Roman" w:eastAsia="宋体" w:cs="Times New Roman"/>
          <w:color w:val="auto"/>
          <w:kern w:val="0"/>
          <w:sz w:val="24"/>
          <w:szCs w:val="24"/>
          <w:highlight w:val="none"/>
        </w:rPr>
        <w:t>储存并堆肥</w:t>
      </w:r>
      <w:r>
        <w:rPr>
          <w:rFonts w:hint="default" w:ascii="Times New Roman" w:hAnsi="Times New Roman" w:eastAsia="宋体" w:cs="Times New Roman"/>
          <w:color w:val="auto"/>
          <w:kern w:val="0"/>
          <w:sz w:val="24"/>
          <w:szCs w:val="24"/>
          <w:highlight w:val="none"/>
          <w:lang w:eastAsia="zh-CN"/>
        </w:rPr>
        <w:t>，因此，没有尿液排放；</w:t>
      </w:r>
      <w:r>
        <w:rPr>
          <w:rFonts w:hint="default" w:ascii="Times New Roman" w:hAnsi="Times New Roman" w:eastAsia="宋体" w:cs="Times New Roman"/>
          <w:color w:val="auto"/>
          <w:kern w:val="0"/>
          <w:sz w:val="24"/>
          <w:szCs w:val="24"/>
          <w:highlight w:val="none"/>
        </w:rPr>
        <w:t>养殖区</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牛舍</w:t>
      </w:r>
      <w:r>
        <w:rPr>
          <w:rFonts w:hint="default" w:ascii="Times New Roman" w:hAnsi="Times New Roman" w:eastAsia="宋体" w:cs="Times New Roman"/>
          <w:color w:val="auto"/>
          <w:kern w:val="0"/>
          <w:sz w:val="24"/>
          <w:szCs w:val="24"/>
          <w:highlight w:val="none"/>
          <w:lang w:eastAsia="zh-CN"/>
        </w:rPr>
        <w:t>、运动场）场地不采取水冲洗方式清理，采用生石灰或者消毒水每周喷洒消毒</w:t>
      </w:r>
      <w:r>
        <w:rPr>
          <w:rFonts w:hint="default" w:ascii="Times New Roman" w:hAnsi="Times New Roman" w:eastAsia="宋体" w:cs="Times New Roman"/>
          <w:color w:val="auto"/>
          <w:kern w:val="0"/>
          <w:sz w:val="24"/>
          <w:szCs w:val="24"/>
          <w:highlight w:val="none"/>
          <w:lang w:val="en-US" w:eastAsia="zh-CN"/>
        </w:rPr>
        <w:t>2～3次</w:t>
      </w:r>
      <w:r>
        <w:rPr>
          <w:rFonts w:hint="default" w:ascii="Times New Roman" w:hAnsi="Times New Roman" w:eastAsia="宋体" w:cs="Times New Roman"/>
          <w:color w:val="auto"/>
          <w:kern w:val="0"/>
          <w:sz w:val="24"/>
          <w:szCs w:val="24"/>
          <w:highlight w:val="none"/>
          <w:lang w:eastAsia="zh-CN"/>
        </w:rPr>
        <w:t>，因此，</w:t>
      </w:r>
      <w:r>
        <w:rPr>
          <w:rFonts w:hint="default" w:ascii="Times New Roman" w:hAnsi="Times New Roman" w:eastAsia="宋体" w:cs="Times New Roman"/>
          <w:color w:val="auto"/>
          <w:kern w:val="0"/>
          <w:sz w:val="24"/>
          <w:szCs w:val="24"/>
          <w:highlight w:val="none"/>
        </w:rPr>
        <w:t>养殖区</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牛舍</w:t>
      </w:r>
      <w:r>
        <w:rPr>
          <w:rFonts w:hint="default" w:ascii="Times New Roman" w:hAnsi="Times New Roman" w:eastAsia="宋体" w:cs="Times New Roman"/>
          <w:color w:val="auto"/>
          <w:kern w:val="0"/>
          <w:sz w:val="24"/>
          <w:szCs w:val="24"/>
          <w:highlight w:val="none"/>
          <w:lang w:eastAsia="zh-CN"/>
        </w:rPr>
        <w:t>、运动场）</w:t>
      </w:r>
      <w:r>
        <w:rPr>
          <w:rFonts w:hint="default" w:ascii="Times New Roman" w:hAnsi="Times New Roman" w:eastAsia="宋体" w:cs="Times New Roman"/>
          <w:color w:val="auto"/>
          <w:kern w:val="0"/>
          <w:sz w:val="24"/>
          <w:szCs w:val="24"/>
          <w:highlight w:val="none"/>
        </w:rPr>
        <w:t>不产生冲洗废水</w:t>
      </w:r>
      <w:r>
        <w:rPr>
          <w:rFonts w:hint="default" w:ascii="Times New Roman" w:hAnsi="Times New Roman" w:eastAsia="宋体" w:cs="Times New Roman"/>
          <w:color w:val="auto"/>
          <w:kern w:val="0"/>
          <w:sz w:val="24"/>
          <w:szCs w:val="24"/>
          <w:highlight w:val="none"/>
          <w:lang w:eastAsia="zh-CN"/>
        </w:rPr>
        <w:t>。</w:t>
      </w:r>
    </w:p>
    <w:p w14:paraId="2F7DB5D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项目生活污水</w:t>
      </w:r>
      <w:r>
        <w:rPr>
          <w:rFonts w:hint="default" w:ascii="Times New Roman" w:hAnsi="Times New Roman" w:eastAsia="宋体" w:cs="Times New Roman"/>
          <w:color w:val="auto"/>
          <w:highlight w:val="none"/>
          <w:lang w:eastAsia="zh-CN"/>
        </w:rPr>
        <w:t>经化粪池处理后，定期由当地环卫部门清运处置</w:t>
      </w:r>
      <w:r>
        <w:rPr>
          <w:rFonts w:hint="default" w:ascii="Times New Roman" w:hAnsi="Times New Roman" w:eastAsia="宋体" w:cs="Times New Roman"/>
          <w:color w:val="auto"/>
          <w:highlight w:val="none"/>
        </w:rPr>
        <w:t>，因此对区域水环境影响很小。</w:t>
      </w:r>
    </w:p>
    <w:p w14:paraId="1C355864">
      <w:pPr>
        <w:pageBreakBefore w:val="0"/>
        <w:kinsoku/>
        <w:wordWrap/>
        <w:bidi w:val="0"/>
        <w:snapToGrid w:val="0"/>
        <w:spacing w:line="360" w:lineRule="auto"/>
        <w:ind w:left="0" w:leftChars="0" w:right="0" w:rightChars="0" w:firstLine="480"/>
        <w:outlineLvl w:val="2"/>
        <w:rPr>
          <w:rFonts w:hint="default" w:ascii="Times New Roman" w:hAnsi="Times New Roman" w:eastAsia="宋体" w:cs="Times New Roman"/>
          <w:color w:val="auto"/>
          <w:highlight w:val="none"/>
        </w:rPr>
      </w:pPr>
      <w:bookmarkStart w:id="776" w:name="_Toc487188703"/>
      <w:bookmarkStart w:id="777" w:name="_Toc25215"/>
      <w:bookmarkStart w:id="778" w:name="_Toc371696646"/>
      <w:bookmarkStart w:id="779" w:name="_Toc14420"/>
      <w:bookmarkStart w:id="780" w:name="_Toc494206425"/>
      <w:r>
        <w:rPr>
          <w:rFonts w:hint="default" w:ascii="Times New Roman" w:hAnsi="Times New Roman" w:eastAsia="宋体" w:cs="Times New Roman"/>
          <w:color w:val="auto"/>
          <w:highlight w:val="none"/>
        </w:rPr>
        <w:t>（3）地下水环境影响评价</w:t>
      </w:r>
      <w:bookmarkEnd w:id="776"/>
      <w:bookmarkEnd w:id="777"/>
      <w:bookmarkEnd w:id="778"/>
      <w:bookmarkEnd w:id="779"/>
      <w:bookmarkEnd w:id="780"/>
    </w:p>
    <w:p w14:paraId="5A7AC8D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危废暂存间</w:t>
      </w:r>
      <w:r>
        <w:rPr>
          <w:rFonts w:hint="default" w:ascii="Times New Roman" w:hAnsi="Times New Roman" w:eastAsia="宋体" w:cs="Times New Roman"/>
          <w:color w:val="auto"/>
          <w:highlight w:val="none"/>
        </w:rPr>
        <w:t>等场区重点防渗区渗透系数要求≤10</w:t>
      </w:r>
      <w:r>
        <w:rPr>
          <w:rFonts w:hint="default" w:ascii="Times New Roman" w:hAnsi="Times New Roman" w:eastAsia="宋体" w:cs="Times New Roman"/>
          <w:color w:val="auto"/>
          <w:highlight w:val="none"/>
          <w:vertAlign w:val="superscript"/>
        </w:rPr>
        <w:t>-10</w:t>
      </w:r>
      <w:r>
        <w:rPr>
          <w:rFonts w:hint="default" w:ascii="Times New Roman" w:hAnsi="Times New Roman" w:eastAsia="宋体" w:cs="Times New Roman"/>
          <w:color w:val="auto"/>
          <w:highlight w:val="none"/>
        </w:rPr>
        <w:t>cm/s；</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底部</w:t>
      </w:r>
      <w:r>
        <w:rPr>
          <w:rFonts w:hint="default" w:ascii="Times New Roman" w:hAnsi="Times New Roman" w:eastAsia="宋体" w:cs="Times New Roman"/>
          <w:color w:val="auto"/>
          <w:highlight w:val="none"/>
          <w:lang w:eastAsia="zh-CN"/>
        </w:rPr>
        <w:t>、化粪池</w:t>
      </w:r>
      <w:r>
        <w:rPr>
          <w:rFonts w:hint="default" w:ascii="Times New Roman" w:hAnsi="Times New Roman" w:eastAsia="宋体" w:cs="Times New Roman"/>
          <w:color w:val="auto"/>
          <w:highlight w:val="none"/>
        </w:rPr>
        <w:t>等一般防渗区渗透系数要求≤10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对于</w:t>
      </w:r>
      <w:r>
        <w:rPr>
          <w:rFonts w:hint="default" w:ascii="Times New Roman" w:hAnsi="Times New Roman" w:eastAsia="宋体" w:cs="Times New Roman"/>
          <w:color w:val="auto"/>
          <w:highlight w:val="none"/>
          <w:lang w:eastAsia="zh-CN"/>
        </w:rPr>
        <w:t>TMR车间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消毒室、</w:t>
      </w:r>
      <w:r>
        <w:rPr>
          <w:rFonts w:hint="default" w:ascii="Times New Roman" w:hAnsi="Times New Roman" w:eastAsia="宋体" w:cs="Times New Roman"/>
          <w:color w:val="auto"/>
          <w:highlight w:val="none"/>
          <w:lang w:eastAsia="zh-CN"/>
        </w:rPr>
        <w:t>青贮平台</w:t>
      </w:r>
      <w:r>
        <w:rPr>
          <w:rFonts w:hint="default" w:ascii="Times New Roman" w:hAnsi="Times New Roman" w:eastAsia="宋体" w:cs="Times New Roman"/>
          <w:color w:val="auto"/>
          <w:highlight w:val="none"/>
        </w:rPr>
        <w:t>、场区道路、牛舍饲料通道、运输道路单元等生产区，铺设防渗混凝土地面进行防渗。经防渗措施处理后该项目不会对附近地下水造成不良影响。</w:t>
      </w:r>
    </w:p>
    <w:p w14:paraId="7D483F64">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综上所述，项目在采用相应的措施后，对区域地下水产生的影响较小。</w:t>
      </w:r>
    </w:p>
    <w:p w14:paraId="658697A7">
      <w:pPr>
        <w:pageBreakBefore w:val="0"/>
        <w:kinsoku/>
        <w:wordWrap/>
        <w:bidi w:val="0"/>
        <w:snapToGrid w:val="0"/>
        <w:spacing w:line="360" w:lineRule="auto"/>
        <w:ind w:left="0" w:leftChars="0" w:right="0" w:rightChars="0" w:firstLine="480"/>
        <w:outlineLvl w:val="2"/>
        <w:rPr>
          <w:rFonts w:hint="default" w:ascii="Times New Roman" w:hAnsi="Times New Roman" w:eastAsia="宋体" w:cs="Times New Roman"/>
          <w:color w:val="auto"/>
          <w:highlight w:val="none"/>
        </w:rPr>
      </w:pPr>
      <w:bookmarkStart w:id="781" w:name="_Toc371696647"/>
      <w:bookmarkStart w:id="782" w:name="_Toc27073"/>
      <w:bookmarkStart w:id="783" w:name="_Toc487188704"/>
      <w:bookmarkStart w:id="784" w:name="_Toc12530"/>
      <w:bookmarkStart w:id="785" w:name="_Toc494206426"/>
      <w:r>
        <w:rPr>
          <w:rFonts w:hint="default" w:ascii="Times New Roman" w:hAnsi="Times New Roman" w:eastAsia="宋体" w:cs="Times New Roman"/>
          <w:color w:val="auto"/>
          <w:highlight w:val="none"/>
        </w:rPr>
        <w:t>（4）声环境影响评价</w:t>
      </w:r>
      <w:bookmarkEnd w:id="781"/>
      <w:bookmarkEnd w:id="782"/>
      <w:bookmarkEnd w:id="783"/>
      <w:bookmarkEnd w:id="784"/>
      <w:bookmarkEnd w:id="785"/>
    </w:p>
    <w:p w14:paraId="59FE0AD9">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FFC000"/>
          <w:highlight w:val="none"/>
        </w:rPr>
      </w:pPr>
      <w:r>
        <w:rPr>
          <w:rFonts w:hint="default" w:ascii="Times New Roman" w:hAnsi="Times New Roman" w:eastAsia="宋体" w:cs="Times New Roman"/>
          <w:color w:val="FFC000"/>
          <w:highlight w:val="none"/>
        </w:rPr>
        <w:t>采取措施后，本项目厂界噪声昼夜间均可满足《工业企业厂界环境噪声排放标准》（GB12348-2008）</w:t>
      </w:r>
      <w:r>
        <w:rPr>
          <w:rFonts w:hint="default" w:ascii="Times New Roman" w:hAnsi="Times New Roman" w:eastAsia="宋体" w:cs="Times New Roman"/>
          <w:color w:val="FFC000"/>
          <w:highlight w:val="none"/>
          <w:lang w:eastAsia="zh-CN"/>
        </w:rPr>
        <w:t>表</w:t>
      </w:r>
      <w:r>
        <w:rPr>
          <w:rFonts w:hint="default" w:ascii="Times New Roman" w:hAnsi="Times New Roman" w:eastAsia="宋体" w:cs="Times New Roman"/>
          <w:color w:val="FFC000"/>
          <w:highlight w:val="none"/>
          <w:lang w:val="en-US" w:eastAsia="zh-CN"/>
        </w:rPr>
        <w:t>1工业企业厂界环境噪声排放限值中</w:t>
      </w:r>
      <w:r>
        <w:rPr>
          <w:rFonts w:hint="default" w:ascii="Times New Roman" w:hAnsi="Times New Roman" w:eastAsia="宋体" w:cs="Times New Roman"/>
          <w:color w:val="FFC000"/>
          <w:highlight w:val="none"/>
          <w:lang w:val="en-US" w:eastAsia="zh-CN"/>
        </w:rPr>
        <w:t>1</w:t>
      </w:r>
      <w:r>
        <w:rPr>
          <w:rFonts w:hint="default" w:ascii="Times New Roman" w:hAnsi="Times New Roman" w:eastAsia="宋体" w:cs="Times New Roman"/>
          <w:color w:val="FFC000"/>
          <w:highlight w:val="none"/>
          <w:lang w:val="en-US" w:eastAsia="zh-CN"/>
        </w:rPr>
        <w:t>类功能区排放限值</w:t>
      </w:r>
      <w:r>
        <w:rPr>
          <w:rFonts w:hint="default" w:ascii="Times New Roman" w:hAnsi="Times New Roman" w:eastAsia="宋体" w:cs="Times New Roman"/>
          <w:color w:val="FFC000"/>
          <w:highlight w:val="none"/>
        </w:rPr>
        <w:t>，</w:t>
      </w:r>
      <w:r>
        <w:rPr>
          <w:rFonts w:hint="default" w:ascii="Times New Roman" w:hAnsi="Times New Roman" w:eastAsia="宋体" w:cs="Times New Roman"/>
          <w:color w:val="FFC000"/>
          <w:highlight w:val="none"/>
          <w:lang w:eastAsia="zh-CN"/>
        </w:rPr>
        <w:t>对周围</w:t>
      </w:r>
      <w:r>
        <w:rPr>
          <w:rFonts w:hint="default" w:ascii="Times New Roman" w:hAnsi="Times New Roman" w:eastAsia="宋体" w:cs="Times New Roman"/>
          <w:color w:val="FFC000"/>
          <w:highlight w:val="none"/>
        </w:rPr>
        <w:t>声环境影响</w:t>
      </w:r>
      <w:r>
        <w:rPr>
          <w:rFonts w:hint="default" w:ascii="Times New Roman" w:hAnsi="Times New Roman" w:eastAsia="宋体" w:cs="Times New Roman"/>
          <w:color w:val="FFC000"/>
          <w:highlight w:val="none"/>
          <w:lang w:eastAsia="zh-CN"/>
        </w:rPr>
        <w:t>较小</w:t>
      </w:r>
      <w:r>
        <w:rPr>
          <w:rFonts w:hint="default" w:ascii="Times New Roman" w:hAnsi="Times New Roman" w:eastAsia="宋体" w:cs="Times New Roman"/>
          <w:color w:val="FFC000"/>
          <w:highlight w:val="none"/>
        </w:rPr>
        <w:t>。</w:t>
      </w:r>
    </w:p>
    <w:p w14:paraId="4EE24ED1">
      <w:pPr>
        <w:pageBreakBefore w:val="0"/>
        <w:kinsoku/>
        <w:wordWrap/>
        <w:bidi w:val="0"/>
        <w:snapToGrid w:val="0"/>
        <w:spacing w:line="360" w:lineRule="auto"/>
        <w:ind w:left="0" w:leftChars="0" w:right="0" w:rightChars="0" w:firstLine="480"/>
        <w:outlineLvl w:val="2"/>
        <w:rPr>
          <w:rFonts w:hint="default" w:ascii="Times New Roman" w:hAnsi="Times New Roman" w:eastAsia="宋体" w:cs="Times New Roman"/>
          <w:color w:val="auto"/>
          <w:highlight w:val="none"/>
        </w:rPr>
      </w:pPr>
      <w:bookmarkStart w:id="786" w:name="_Toc494206427"/>
      <w:bookmarkStart w:id="787" w:name="_Toc16327"/>
      <w:bookmarkStart w:id="788" w:name="_Toc28554"/>
      <w:bookmarkStart w:id="789" w:name="_Toc487188705"/>
      <w:r>
        <w:rPr>
          <w:rFonts w:hint="default" w:ascii="Times New Roman" w:hAnsi="Times New Roman" w:eastAsia="宋体" w:cs="Times New Roman"/>
          <w:color w:val="auto"/>
          <w:highlight w:val="none"/>
        </w:rPr>
        <w:t>（5）固体废物影响评价</w:t>
      </w:r>
      <w:bookmarkEnd w:id="786"/>
      <w:bookmarkEnd w:id="787"/>
      <w:bookmarkEnd w:id="788"/>
      <w:bookmarkEnd w:id="789"/>
    </w:p>
    <w:p w14:paraId="1D261E5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项目产生的养殖过程由于疾病等原因产生的</w:t>
      </w:r>
      <w:r>
        <w:rPr>
          <w:rFonts w:hint="default" w:ascii="Times New Roman" w:hAnsi="Times New Roman" w:eastAsia="宋体" w:cs="Times New Roman"/>
          <w:color w:val="auto"/>
          <w:highlight w:val="none"/>
          <w:lang w:eastAsia="zh-CN"/>
        </w:rPr>
        <w:t>病死牛</w:t>
      </w:r>
      <w:r>
        <w:rPr>
          <w:rFonts w:hint="default" w:ascii="Times New Roman" w:hAnsi="Times New Roman" w:eastAsia="宋体" w:cs="Times New Roman"/>
          <w:color w:val="auto"/>
          <w:highlight w:val="none"/>
        </w:rPr>
        <w:t>等应按照当地兽医局的相关文件规定处理，交由巴彦淖尔市绿之源生物技术发展有限公司进行无害化处理；运营过程产生的</w:t>
      </w:r>
      <w:r>
        <w:rPr>
          <w:rFonts w:hint="default" w:ascii="Times New Roman" w:hAnsi="Times New Roman" w:eastAsia="宋体" w:cs="Times New Roman"/>
          <w:color w:val="auto"/>
          <w:highlight w:val="none"/>
          <w:lang w:eastAsia="zh-CN"/>
        </w:rPr>
        <w:t>医疗垃圾</w:t>
      </w:r>
      <w:r>
        <w:rPr>
          <w:rFonts w:hint="default" w:ascii="Times New Roman" w:hAnsi="Times New Roman" w:eastAsia="宋体" w:cs="Times New Roman"/>
          <w:color w:val="auto"/>
          <w:highlight w:val="none"/>
        </w:rPr>
        <w:t>，暂存</w:t>
      </w:r>
      <w:r>
        <w:rPr>
          <w:rFonts w:hint="default" w:ascii="Times New Roman" w:hAnsi="Times New Roman" w:eastAsia="宋体" w:cs="Times New Roman"/>
          <w:color w:val="auto"/>
          <w:highlight w:val="none"/>
          <w:lang w:eastAsia="zh-CN"/>
        </w:rPr>
        <w:t>于危废暂存间定期</w:t>
      </w:r>
      <w:r>
        <w:rPr>
          <w:rFonts w:hint="default" w:ascii="Times New Roman" w:hAnsi="Times New Roman" w:eastAsia="宋体" w:cs="Times New Roman"/>
          <w:color w:val="auto"/>
          <w:highlight w:val="none"/>
        </w:rPr>
        <w:t>交由有资质单位处理；</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采取干清粪工艺清运至</w:t>
      </w:r>
      <w:r>
        <w:rPr>
          <w:rFonts w:hint="default" w:ascii="Times New Roman" w:hAnsi="Times New Roman" w:eastAsia="宋体" w:cs="Times New Roman"/>
          <w:color w:val="auto"/>
          <w:highlight w:val="none"/>
          <w:lang w:eastAsia="zh-CN"/>
        </w:rPr>
        <w:t>粪污处理池</w:t>
      </w:r>
      <w:r>
        <w:rPr>
          <w:rFonts w:hint="default" w:ascii="Times New Roman" w:hAnsi="Times New Roman" w:eastAsia="宋体" w:cs="Times New Roman"/>
          <w:color w:val="auto"/>
          <w:highlight w:val="none"/>
        </w:rPr>
        <w:t>，堆肥后最终作为有机肥进行资源化利用；生活垃圾</w:t>
      </w:r>
      <w:r>
        <w:rPr>
          <w:rFonts w:hint="default" w:ascii="Times New Roman" w:hAnsi="Times New Roman" w:eastAsia="宋体" w:cs="Times New Roman"/>
          <w:color w:val="auto"/>
          <w:highlight w:val="none"/>
          <w:lang w:bidi="zh-CN"/>
        </w:rPr>
        <w:t>清运到环卫部门指定的地点集中处理</w:t>
      </w:r>
      <w:r>
        <w:rPr>
          <w:rFonts w:hint="default" w:ascii="Times New Roman" w:hAnsi="Times New Roman" w:eastAsia="宋体" w:cs="Times New Roman"/>
          <w:color w:val="auto"/>
          <w:highlight w:val="none"/>
        </w:rPr>
        <w:t>。</w:t>
      </w:r>
    </w:p>
    <w:p w14:paraId="20246ED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本项目根据固体废物的不同性质采取了不同的处理措施，能利用的废物均被有效利用，不能利用的固废也均能得到妥善处置，因此本项目固体废物处置合理，基本不会对周围环境产生影响。</w:t>
      </w:r>
    </w:p>
    <w:p w14:paraId="4B9A3F55">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790" w:name="_Toc25140"/>
      <w:r>
        <w:rPr>
          <w:rFonts w:hint="default" w:ascii="Times New Roman" w:hAnsi="Times New Roman" w:eastAsia="宋体" w:cs="Times New Roman"/>
          <w:color w:val="auto"/>
          <w:highlight w:val="none"/>
        </w:rPr>
        <w:t>10.5污染防治措施</w:t>
      </w:r>
      <w:bookmarkEnd w:id="767"/>
      <w:bookmarkEnd w:id="768"/>
      <w:bookmarkEnd w:id="769"/>
      <w:bookmarkEnd w:id="770"/>
      <w:bookmarkEnd w:id="790"/>
    </w:p>
    <w:p w14:paraId="5951AC04">
      <w:pPr>
        <w:pageBreakBefore w:val="0"/>
        <w:kinsoku/>
        <w:wordWrap/>
        <w:bidi w:val="0"/>
        <w:snapToGrid w:val="0"/>
        <w:spacing w:line="360" w:lineRule="auto"/>
        <w:ind w:left="0" w:leftChars="0" w:right="0" w:rightChars="0" w:firstLine="480"/>
        <w:outlineLvl w:val="1"/>
        <w:rPr>
          <w:rFonts w:hint="default" w:ascii="Times New Roman" w:hAnsi="Times New Roman" w:eastAsia="宋体" w:cs="Times New Roman"/>
          <w:color w:val="auto"/>
          <w:highlight w:val="none"/>
        </w:rPr>
      </w:pPr>
      <w:bookmarkStart w:id="791" w:name="_Toc7191"/>
      <w:bookmarkStart w:id="792" w:name="_Toc18331"/>
      <w:bookmarkStart w:id="793" w:name="_Toc487188708"/>
      <w:bookmarkStart w:id="794" w:name="_Toc494206430"/>
      <w:bookmarkStart w:id="795" w:name="_Toc371696649"/>
      <w:bookmarkStart w:id="796" w:name="_Toc523322419"/>
      <w:r>
        <w:rPr>
          <w:rFonts w:hint="default" w:ascii="Times New Roman" w:hAnsi="Times New Roman" w:eastAsia="宋体" w:cs="Times New Roman"/>
          <w:color w:val="auto"/>
          <w:highlight w:val="none"/>
        </w:rPr>
        <w:t>（1）大气污染防治措施</w:t>
      </w:r>
      <w:bookmarkEnd w:id="791"/>
      <w:bookmarkEnd w:id="792"/>
    </w:p>
    <w:p w14:paraId="22C30A4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本项目对养殖过程产生的无组织恶臭采用科学喂养、通风换气、粪污日产日清、控制圈养密度、饲料添加EM剂益生菌等治理措施；并对厂区进行绿化，使企业厂界无组织</w:t>
      </w:r>
      <w:r>
        <w:rPr>
          <w:rFonts w:hint="default" w:ascii="Times New Roman" w:hAnsi="Times New Roman" w:eastAsia="宋体" w:cs="Times New Roman"/>
          <w:color w:val="auto"/>
          <w:highlight w:val="none"/>
          <w:lang w:eastAsia="zh-CN"/>
        </w:rPr>
        <w:t>氨和硫化氢</w:t>
      </w:r>
      <w:r>
        <w:rPr>
          <w:rFonts w:hint="default" w:ascii="Times New Roman" w:hAnsi="Times New Roman" w:eastAsia="宋体" w:cs="Times New Roman"/>
          <w:color w:val="auto"/>
          <w:highlight w:val="none"/>
        </w:rPr>
        <w:t>排放满足《恶臭污染物排放标准》（GB14554-93）表1恶臭污染物厂界标准值中“二级、新扩改建”标准要求</w:t>
      </w:r>
      <w:r>
        <w:rPr>
          <w:rFonts w:hint="default" w:ascii="Times New Roman" w:hAnsi="Times New Roman" w:eastAsia="宋体" w:cs="Times New Roman"/>
          <w:color w:val="auto"/>
          <w:highlight w:val="none"/>
          <w:lang w:eastAsia="zh-CN"/>
        </w:rPr>
        <w:t>、臭气浓度排放满足</w:t>
      </w:r>
      <w:r>
        <w:rPr>
          <w:rFonts w:hint="default" w:ascii="Times New Roman" w:hAnsi="Times New Roman" w:eastAsia="宋体" w:cs="Times New Roman"/>
          <w:color w:val="auto"/>
          <w:highlight w:val="none"/>
        </w:rPr>
        <w:t>《畜禽养殖业污染物排放标准》（GB18596-2001）表7集约化畜禽养殖业恶臭污染物排放标准。</w:t>
      </w:r>
    </w:p>
    <w:p w14:paraId="419F263A">
      <w:pPr>
        <w:pageBreakBefore w:val="0"/>
        <w:kinsoku/>
        <w:wordWrap/>
        <w:bidi w:val="0"/>
        <w:snapToGrid w:val="0"/>
        <w:spacing w:line="360" w:lineRule="auto"/>
        <w:ind w:left="0" w:leftChars="0" w:right="0" w:rightChars="0" w:firstLine="480"/>
        <w:outlineLvl w:val="1"/>
        <w:rPr>
          <w:rFonts w:hint="default" w:ascii="Times New Roman" w:hAnsi="Times New Roman" w:eastAsia="宋体" w:cs="Times New Roman"/>
          <w:color w:val="auto"/>
          <w:highlight w:val="none"/>
        </w:rPr>
      </w:pPr>
      <w:bookmarkStart w:id="797" w:name="_Toc17125"/>
      <w:bookmarkStart w:id="798" w:name="_Toc16890"/>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eastAsia="zh-CN"/>
        </w:rPr>
        <w:t>废</w:t>
      </w:r>
      <w:r>
        <w:rPr>
          <w:rFonts w:hint="default" w:ascii="Times New Roman" w:hAnsi="Times New Roman" w:eastAsia="宋体" w:cs="Times New Roman"/>
          <w:color w:val="auto"/>
          <w:highlight w:val="none"/>
        </w:rPr>
        <w:t>水污染防治措施</w:t>
      </w:r>
      <w:bookmarkEnd w:id="797"/>
      <w:bookmarkEnd w:id="798"/>
    </w:p>
    <w:p w14:paraId="5569E5CA">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场区严格实行雨污分流制度</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项目设置严格的分区防渗措施并在场地</w:t>
      </w:r>
      <w:r>
        <w:rPr>
          <w:rFonts w:hint="default" w:ascii="Times New Roman" w:hAnsi="Times New Roman" w:eastAsia="宋体" w:cs="Times New Roman"/>
          <w:color w:val="auto"/>
          <w:highlight w:val="none"/>
          <w:lang w:eastAsia="zh-CN"/>
        </w:rPr>
        <w:t>内</w:t>
      </w:r>
      <w:r>
        <w:rPr>
          <w:rFonts w:hint="default" w:ascii="Times New Roman" w:hAnsi="Times New Roman" w:eastAsia="宋体" w:cs="Times New Roman"/>
          <w:color w:val="auto"/>
          <w:highlight w:val="none"/>
        </w:rPr>
        <w:t>设置1眼地下水监控井，综上项目水污染防治措施是可行的。</w:t>
      </w:r>
    </w:p>
    <w:p w14:paraId="76C1D666">
      <w:pPr>
        <w:pageBreakBefore w:val="0"/>
        <w:kinsoku/>
        <w:wordWrap/>
        <w:bidi w:val="0"/>
        <w:snapToGrid w:val="0"/>
        <w:spacing w:line="360" w:lineRule="auto"/>
        <w:ind w:left="0" w:leftChars="0" w:right="0" w:rightChars="0" w:firstLine="480"/>
        <w:outlineLvl w:val="1"/>
        <w:rPr>
          <w:rFonts w:hint="default" w:ascii="Times New Roman" w:hAnsi="Times New Roman" w:eastAsia="宋体" w:cs="Times New Roman"/>
          <w:color w:val="auto"/>
          <w:highlight w:val="none"/>
        </w:rPr>
      </w:pPr>
      <w:bookmarkStart w:id="799" w:name="_Toc25462"/>
      <w:bookmarkStart w:id="800" w:name="_Toc6955"/>
      <w:r>
        <w:rPr>
          <w:rFonts w:hint="default" w:ascii="Times New Roman" w:hAnsi="Times New Roman" w:eastAsia="宋体" w:cs="Times New Roman"/>
          <w:color w:val="auto"/>
          <w:highlight w:val="none"/>
        </w:rPr>
        <w:t>（3）噪声污染防治措施</w:t>
      </w:r>
      <w:bookmarkEnd w:id="799"/>
      <w:bookmarkEnd w:id="800"/>
    </w:p>
    <w:p w14:paraId="539C9DE7">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主要通过合理布局、优先选择低噪声设备，将设备置于室内，并进行基础减振，尽可能满足牛群饮食需要，避免因饥饿或口渴而发出叫声。对于水泵，在水泵底部安装</w:t>
      </w:r>
      <w:r>
        <w:rPr>
          <w:rFonts w:hint="default" w:ascii="Times New Roman" w:hAnsi="Times New Roman" w:eastAsia="宋体" w:cs="Times New Roman"/>
          <w:color w:val="auto"/>
          <w:highlight w:val="none"/>
          <w:lang w:eastAsia="zh-CN"/>
        </w:rPr>
        <w:t>减振</w:t>
      </w:r>
      <w:r>
        <w:rPr>
          <w:rFonts w:hint="default" w:ascii="Times New Roman" w:hAnsi="Times New Roman" w:eastAsia="宋体" w:cs="Times New Roman"/>
          <w:color w:val="auto"/>
          <w:highlight w:val="none"/>
        </w:rPr>
        <w:t>垫、使用软性接头，设置于独立的泵房内；将噪声大的噪声源远离厂界和敏感点，通过距离衰减降噪。同时可在牛场周围种植高大树木，起到吸声降噪的效果。</w:t>
      </w:r>
    </w:p>
    <w:p w14:paraId="0F579272">
      <w:pPr>
        <w:pageBreakBefore w:val="0"/>
        <w:kinsoku/>
        <w:wordWrap/>
        <w:bidi w:val="0"/>
        <w:snapToGrid w:val="0"/>
        <w:spacing w:line="360" w:lineRule="auto"/>
        <w:ind w:left="0" w:leftChars="0" w:right="0" w:rightChars="0" w:firstLine="480"/>
        <w:outlineLvl w:val="1"/>
        <w:rPr>
          <w:rFonts w:hint="default" w:ascii="Times New Roman" w:hAnsi="Times New Roman" w:eastAsia="宋体" w:cs="Times New Roman"/>
          <w:color w:val="auto"/>
          <w:highlight w:val="none"/>
        </w:rPr>
      </w:pPr>
      <w:bookmarkStart w:id="801" w:name="_Toc19367"/>
      <w:bookmarkStart w:id="802" w:name="_Toc17916"/>
      <w:r>
        <w:rPr>
          <w:rFonts w:hint="default" w:ascii="Times New Roman" w:hAnsi="Times New Roman" w:eastAsia="宋体" w:cs="Times New Roman"/>
          <w:color w:val="auto"/>
          <w:highlight w:val="none"/>
        </w:rPr>
        <w:t>（4）固体废物污染防治措施</w:t>
      </w:r>
      <w:bookmarkEnd w:id="801"/>
      <w:bookmarkEnd w:id="802"/>
    </w:p>
    <w:bookmarkEnd w:id="793"/>
    <w:bookmarkEnd w:id="794"/>
    <w:bookmarkEnd w:id="795"/>
    <w:p w14:paraId="16B9894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固废按照“无害化、资源化、减量化”原则实行管理，</w:t>
      </w:r>
      <w:r>
        <w:rPr>
          <w:rFonts w:hint="default" w:ascii="Times New Roman" w:hAnsi="Times New Roman" w:eastAsia="宋体" w:cs="Times New Roman"/>
          <w:color w:val="auto"/>
          <w:highlight w:val="none"/>
          <w:lang w:eastAsia="zh-CN"/>
        </w:rPr>
        <w:t>牛粪便</w:t>
      </w:r>
      <w:r>
        <w:rPr>
          <w:rFonts w:hint="default" w:ascii="Times New Roman" w:hAnsi="Times New Roman" w:eastAsia="宋体" w:cs="Times New Roman"/>
          <w:color w:val="auto"/>
          <w:highlight w:val="none"/>
        </w:rPr>
        <w:t>经好氧堆肥后用于农肥；</w:t>
      </w:r>
      <w:r>
        <w:rPr>
          <w:rFonts w:hint="default" w:ascii="Times New Roman" w:hAnsi="Times New Roman" w:eastAsia="宋体" w:cs="Times New Roman"/>
          <w:color w:val="auto"/>
          <w:highlight w:val="none"/>
          <w:lang w:eastAsia="zh-CN"/>
        </w:rPr>
        <w:t>病死牛</w:t>
      </w:r>
      <w:r>
        <w:rPr>
          <w:rFonts w:hint="default" w:ascii="Times New Roman" w:hAnsi="Times New Roman" w:eastAsia="宋体" w:cs="Times New Roman"/>
          <w:color w:val="auto"/>
          <w:highlight w:val="none"/>
        </w:rPr>
        <w:t>交第三方按照规范进行处理；危险废物委托有资质单位进行处理。本项目根据固体废物的性质采取了不同的处理措施，能利用的废物均被有效利用，不能利用的固废也均能得到妥善处置，不会产生二次污染。</w:t>
      </w:r>
    </w:p>
    <w:p w14:paraId="2266699D">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803" w:name="_Toc29143"/>
      <w:r>
        <w:rPr>
          <w:rFonts w:hint="default" w:ascii="Times New Roman" w:hAnsi="Times New Roman" w:eastAsia="宋体" w:cs="Times New Roman"/>
          <w:color w:val="auto"/>
          <w:highlight w:val="none"/>
        </w:rPr>
        <w:t>10.6总量控制指标</w:t>
      </w:r>
      <w:bookmarkEnd w:id="796"/>
      <w:bookmarkEnd w:id="803"/>
    </w:p>
    <w:p w14:paraId="23EB146D">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szCs w:val="20"/>
          <w:highlight w:val="none"/>
        </w:rPr>
      </w:pPr>
      <w:bookmarkStart w:id="804" w:name="_Toc523322420"/>
      <w:r>
        <w:rPr>
          <w:rFonts w:hint="default" w:ascii="Times New Roman" w:hAnsi="Times New Roman" w:eastAsia="宋体" w:cs="Times New Roman"/>
          <w:color w:val="auto"/>
          <w:szCs w:val="20"/>
          <w:highlight w:val="none"/>
          <w:lang w:eastAsia="zh-CN"/>
        </w:rPr>
        <w:t>无</w:t>
      </w:r>
      <w:r>
        <w:rPr>
          <w:rFonts w:hint="default" w:ascii="Times New Roman" w:hAnsi="Times New Roman" w:eastAsia="宋体" w:cs="Times New Roman"/>
          <w:color w:val="auto"/>
          <w:szCs w:val="20"/>
          <w:highlight w:val="none"/>
        </w:rPr>
        <w:t>。</w:t>
      </w:r>
    </w:p>
    <w:p w14:paraId="0C952E53">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805" w:name="_Toc28079"/>
      <w:r>
        <w:rPr>
          <w:rFonts w:hint="default" w:ascii="Times New Roman" w:hAnsi="Times New Roman" w:eastAsia="宋体" w:cs="Times New Roman"/>
          <w:color w:val="auto"/>
          <w:highlight w:val="none"/>
        </w:rPr>
        <w:t>10.7环境影响经济损益分析</w:t>
      </w:r>
      <w:bookmarkEnd w:id="804"/>
      <w:bookmarkEnd w:id="805"/>
    </w:p>
    <w:p w14:paraId="3ABDFA0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本项目总投资</w:t>
      </w:r>
      <w:r>
        <w:rPr>
          <w:rFonts w:hint="default" w:ascii="Times New Roman" w:hAnsi="Times New Roman" w:eastAsia="宋体" w:cs="Times New Roman"/>
          <w:color w:val="auto"/>
          <w:highlight w:val="none"/>
          <w:lang w:val="en-US" w:eastAsia="zh-CN"/>
        </w:rPr>
        <w:t>7000万元</w:t>
      </w:r>
      <w:r>
        <w:rPr>
          <w:rFonts w:hint="default" w:ascii="Times New Roman" w:hAnsi="Times New Roman" w:eastAsia="宋体" w:cs="Times New Roman"/>
          <w:color w:val="auto"/>
          <w:highlight w:val="none"/>
        </w:rPr>
        <w:t>，环保投资</w:t>
      </w:r>
      <w:r>
        <w:rPr>
          <w:rFonts w:hint="default" w:ascii="Times New Roman" w:hAnsi="Times New Roman" w:eastAsia="宋体" w:cs="Times New Roman"/>
          <w:color w:val="auto"/>
          <w:highlight w:val="none"/>
          <w:lang w:eastAsia="zh-CN"/>
        </w:rPr>
        <w:t>128.1</w:t>
      </w:r>
      <w:r>
        <w:rPr>
          <w:rFonts w:hint="default" w:ascii="Times New Roman" w:hAnsi="Times New Roman" w:eastAsia="宋体" w:cs="Times New Roman"/>
          <w:color w:val="auto"/>
          <w:highlight w:val="none"/>
        </w:rPr>
        <w:t>万元，占总投资比例为</w:t>
      </w:r>
      <w:r>
        <w:rPr>
          <w:rFonts w:hint="default" w:ascii="Times New Roman" w:hAnsi="Times New Roman" w:eastAsia="宋体" w:cs="Times New Roman"/>
          <w:color w:val="auto"/>
          <w:highlight w:val="none"/>
          <w:lang w:val="en-US" w:eastAsia="zh-CN"/>
        </w:rPr>
        <w:t>1.83</w:t>
      </w:r>
      <w:r>
        <w:rPr>
          <w:rFonts w:hint="default" w:ascii="Times New Roman" w:hAnsi="Times New Roman" w:eastAsia="宋体" w:cs="Times New Roman"/>
          <w:color w:val="auto"/>
          <w:highlight w:val="none"/>
        </w:rPr>
        <w:t>%。项目建设具有良好的经济效益和社会效益，但对环境的损害是存在的。建设单位要加强污染防治的投资与环境管理，把污染控制在最低限度，保证项目经济效益、社会效益和环境效益的同步发展。</w:t>
      </w:r>
    </w:p>
    <w:p w14:paraId="43B6BF71">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806" w:name="_Toc523322422"/>
      <w:bookmarkStart w:id="807" w:name="_Toc20192"/>
      <w:r>
        <w:rPr>
          <w:rFonts w:hint="default" w:ascii="Times New Roman" w:hAnsi="Times New Roman" w:eastAsia="宋体" w:cs="Times New Roman"/>
          <w:color w:val="auto"/>
          <w:highlight w:val="none"/>
        </w:rPr>
        <w:t>10.8环境管理和监测计划</w:t>
      </w:r>
      <w:bookmarkEnd w:id="806"/>
      <w:bookmarkEnd w:id="807"/>
    </w:p>
    <w:p w14:paraId="054B476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企业应配置环保管理机构、监测人员等。按环境影响报告书的要求严格落实环保要求，明确职责，专人管理，切实搞好环境管理和监测、验收工作，保证环保设施的正常运行，规范各排污口。</w:t>
      </w:r>
    </w:p>
    <w:p w14:paraId="75CAB648">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808" w:name="_Toc3406"/>
      <w:r>
        <w:rPr>
          <w:rFonts w:hint="default" w:ascii="Times New Roman" w:hAnsi="Times New Roman" w:eastAsia="宋体" w:cs="Times New Roman"/>
          <w:color w:val="auto"/>
          <w:highlight w:val="none"/>
        </w:rPr>
        <w:t>10.9公众参与情况</w:t>
      </w:r>
      <w:bookmarkEnd w:id="808"/>
    </w:p>
    <w:p w14:paraId="3DF5855C">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bookmarkStart w:id="809" w:name="_Toc487188715"/>
      <w:bookmarkStart w:id="810" w:name="_Toc523322423"/>
      <w:bookmarkStart w:id="811" w:name="_Toc371696657"/>
      <w:bookmarkStart w:id="812" w:name="_Toc494206436"/>
      <w:r>
        <w:rPr>
          <w:rFonts w:hint="default" w:ascii="Times New Roman" w:hAnsi="Times New Roman" w:eastAsia="宋体" w:cs="Times New Roman"/>
          <w:color w:val="auto"/>
          <w:highlight w:val="none"/>
        </w:rPr>
        <w:t>建设单位按照《环境影响评价公众参与办法》要求，在本项目环境影响评价报告书编制阶段开展了公众参与工作，根据建设单位提供的公众参与调查说明，202</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月</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日</w:t>
      </w:r>
      <w:r>
        <w:rPr>
          <w:rFonts w:hint="default" w:ascii="Times New Roman" w:hAnsi="Times New Roman" w:eastAsia="宋体" w:cs="Times New Roman"/>
          <w:color w:val="auto"/>
          <w:highlight w:val="none"/>
          <w:lang w:eastAsia="zh-CN"/>
        </w:rPr>
        <w:t>乌拉特前旗大佘太中海禾牧养殖专业合作社</w:t>
      </w:r>
      <w:r>
        <w:rPr>
          <w:rFonts w:hint="default" w:ascii="Times New Roman" w:hAnsi="Times New Roman" w:eastAsia="宋体" w:cs="Times New Roman"/>
          <w:color w:val="auto"/>
          <w:highlight w:val="none"/>
        </w:rPr>
        <w:t>在</w:t>
      </w:r>
      <w:r>
        <w:rPr>
          <w:rFonts w:hint="default" w:ascii="Times New Roman" w:hAnsi="Times New Roman" w:eastAsia="宋体" w:cs="Times New Roman"/>
          <w:color w:val="auto"/>
          <w:highlight w:val="none"/>
          <w:lang w:eastAsia="zh-CN"/>
        </w:rPr>
        <w:t>乌拉特前旗</w:t>
      </w:r>
      <w:r>
        <w:rPr>
          <w:rFonts w:hint="default" w:ascii="Times New Roman" w:hAnsi="Times New Roman" w:eastAsia="宋体" w:cs="Times New Roman"/>
          <w:color w:val="auto"/>
          <w:highlight w:val="none"/>
        </w:rPr>
        <w:t>人民政府网进行了第一次公众参与公告，20</w:t>
      </w:r>
      <w:r>
        <w:rPr>
          <w:rFonts w:hint="default" w:ascii="Times New Roman" w:hAnsi="Times New Roman" w:eastAsia="宋体" w:cs="Times New Roman"/>
          <w:color w:val="auto"/>
          <w:highlight w:val="none"/>
          <w:lang w:val="en-US" w:eastAsia="zh-CN"/>
        </w:rPr>
        <w:t>22</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月</w:t>
      </w:r>
      <w:r>
        <w:rPr>
          <w:rFonts w:hint="default" w:ascii="Times New Roman" w:hAnsi="Times New Roman" w:eastAsia="宋体" w:cs="Times New Roman"/>
          <w:color w:val="auto"/>
          <w:highlight w:val="none"/>
          <w:lang w:val="en-US" w:eastAsia="zh-CN"/>
        </w:rPr>
        <w:t>11</w:t>
      </w:r>
      <w:r>
        <w:rPr>
          <w:rFonts w:hint="default" w:ascii="Times New Roman" w:hAnsi="Times New Roman" w:eastAsia="宋体" w:cs="Times New Roman"/>
          <w:color w:val="auto"/>
          <w:highlight w:val="none"/>
        </w:rPr>
        <w:t>日在</w:t>
      </w:r>
      <w:r>
        <w:rPr>
          <w:rFonts w:hint="default" w:ascii="Times New Roman" w:hAnsi="Times New Roman" w:eastAsia="宋体" w:cs="Times New Roman"/>
          <w:color w:val="auto"/>
          <w:highlight w:val="none"/>
          <w:lang w:eastAsia="zh-CN"/>
        </w:rPr>
        <w:t>乌拉特前旗</w:t>
      </w:r>
      <w:r>
        <w:rPr>
          <w:rFonts w:hint="default" w:ascii="Times New Roman" w:hAnsi="Times New Roman" w:eastAsia="宋体" w:cs="Times New Roman"/>
          <w:color w:val="auto"/>
          <w:highlight w:val="none"/>
        </w:rPr>
        <w:t>人民政府网进行了环境影响评价征求意见稿网上公示，公示时间为公布之日起十个工作日，同期进行了登报公示，并在项目区附近张贴了公示信息。</w:t>
      </w:r>
    </w:p>
    <w:p w14:paraId="6FE920DD">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对于本项目的建设，无公众提出文字性意见和建议。建设单位已编制公众参与说明书，其相关内容详见说明书。</w:t>
      </w:r>
    </w:p>
    <w:p w14:paraId="6D07ACFC">
      <w:pPr>
        <w:pStyle w:val="3"/>
        <w:pageBreakBefore w:val="0"/>
        <w:kinsoku/>
        <w:wordWrap/>
        <w:bidi w:val="0"/>
        <w:snapToGrid w:val="0"/>
        <w:spacing w:before="0" w:after="0" w:line="360" w:lineRule="auto"/>
        <w:ind w:left="0" w:leftChars="0" w:right="0" w:rightChars="0"/>
        <w:outlineLvl w:val="0"/>
        <w:rPr>
          <w:rFonts w:hint="default" w:ascii="Times New Roman" w:hAnsi="Times New Roman" w:eastAsia="宋体" w:cs="Times New Roman"/>
          <w:color w:val="auto"/>
          <w:highlight w:val="none"/>
        </w:rPr>
      </w:pPr>
      <w:bookmarkStart w:id="813" w:name="_Toc19312"/>
      <w:r>
        <w:rPr>
          <w:rFonts w:hint="default" w:ascii="Times New Roman" w:hAnsi="Times New Roman" w:eastAsia="宋体" w:cs="Times New Roman"/>
          <w:color w:val="auto"/>
          <w:highlight w:val="none"/>
        </w:rPr>
        <w:t>10.10总结论</w:t>
      </w:r>
      <w:bookmarkEnd w:id="809"/>
      <w:bookmarkEnd w:id="810"/>
      <w:bookmarkEnd w:id="811"/>
      <w:bookmarkEnd w:id="812"/>
      <w:bookmarkEnd w:id="813"/>
    </w:p>
    <w:p w14:paraId="60EA8F57">
      <w:pPr>
        <w:pageBreakBefore w:val="0"/>
        <w:kinsoku/>
        <w:wordWrap/>
        <w:bidi w:val="0"/>
        <w:snapToGrid w:val="0"/>
        <w:spacing w:line="360" w:lineRule="auto"/>
        <w:ind w:left="0" w:leftChars="0" w:right="0" w:rightChars="0" w:firstLine="480"/>
        <w:outlineLvl w:val="1"/>
        <w:rPr>
          <w:rFonts w:hint="default" w:ascii="Times New Roman" w:hAnsi="Times New Roman" w:eastAsia="宋体" w:cs="Times New Roman"/>
          <w:color w:val="auto"/>
          <w:highlight w:val="none"/>
        </w:rPr>
      </w:pPr>
      <w:bookmarkStart w:id="814" w:name="_Toc28511"/>
      <w:bookmarkStart w:id="815" w:name="_Toc1652"/>
      <w:r>
        <w:rPr>
          <w:rFonts w:hint="default" w:ascii="Times New Roman" w:hAnsi="Times New Roman" w:eastAsia="宋体" w:cs="Times New Roman"/>
          <w:color w:val="auto"/>
          <w:highlight w:val="none"/>
        </w:rPr>
        <w:t>（1）结论</w:t>
      </w:r>
      <w:bookmarkEnd w:id="814"/>
      <w:bookmarkEnd w:id="815"/>
    </w:p>
    <w:p w14:paraId="101BBBBE">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乌拉特前旗大佘太中海禾牧养殖专业合作社新建肉牛养殖项目</w:t>
      </w:r>
      <w:r>
        <w:rPr>
          <w:rFonts w:hint="default" w:ascii="Times New Roman" w:hAnsi="Times New Roman" w:eastAsia="宋体" w:cs="Times New Roman"/>
          <w:color w:val="auto"/>
          <w:highlight w:val="none"/>
        </w:rPr>
        <w:t>采用农业循环经济发展模式进行</w:t>
      </w:r>
      <w:r>
        <w:rPr>
          <w:rFonts w:hint="default" w:ascii="Times New Roman" w:hAnsi="Times New Roman" w:eastAsia="宋体" w:cs="Times New Roman"/>
          <w:color w:val="auto"/>
          <w:highlight w:val="none"/>
          <w:lang w:eastAsia="zh-CN"/>
        </w:rPr>
        <w:t>肉牛</w:t>
      </w:r>
      <w:r>
        <w:rPr>
          <w:rFonts w:hint="default" w:ascii="Times New Roman" w:hAnsi="Times New Roman" w:eastAsia="宋体" w:cs="Times New Roman"/>
          <w:color w:val="auto"/>
          <w:highlight w:val="none"/>
        </w:rPr>
        <w:t>养殖并配套消纳土地实现粪污资源化利用，符合国家当前产业政策及内蒙古自治区农业发展规划的要求，其选址符合</w:t>
      </w:r>
      <w:r>
        <w:rPr>
          <w:rFonts w:hint="default" w:ascii="Times New Roman" w:hAnsi="Times New Roman" w:eastAsia="宋体" w:cs="Times New Roman"/>
          <w:color w:val="auto"/>
          <w:highlight w:val="none"/>
          <w:lang w:eastAsia="zh-CN"/>
        </w:rPr>
        <w:t>乌拉特前旗</w:t>
      </w:r>
      <w:r>
        <w:rPr>
          <w:rFonts w:hint="default" w:ascii="Times New Roman" w:hAnsi="Times New Roman" w:eastAsia="宋体" w:cs="Times New Roman"/>
          <w:color w:val="auto"/>
          <w:highlight w:val="none"/>
        </w:rPr>
        <w:t>农业发展规划，不属于禁养区和限养区范围内，场址选址可行，具有良好的社会经济效益。</w:t>
      </w:r>
    </w:p>
    <w:p w14:paraId="34D1C93F">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的建设符合国家“三线一单”的管控原则，拟定的各项环保措施可行有效，项目所产生的污染物均能合规利用或达标排放并满足总量控制要求，对周边环境影响较小；项目发生环境风险事故的概率较低，其潜在的风险水平可以接受。因此，只要该项目在下一步的建设和运行中，认真落实本报告提出的各项环保措施，并严格执行环保“三同时”制度，本次评价认为：从环境保护的角度分析，该项目建设是可行的。</w:t>
      </w:r>
    </w:p>
    <w:p w14:paraId="63E4F469">
      <w:pPr>
        <w:pageBreakBefore w:val="0"/>
        <w:kinsoku/>
        <w:wordWrap/>
        <w:bidi w:val="0"/>
        <w:snapToGrid w:val="0"/>
        <w:spacing w:line="360" w:lineRule="auto"/>
        <w:ind w:left="0" w:leftChars="0" w:right="0" w:rightChars="0" w:firstLine="480"/>
        <w:outlineLvl w:val="1"/>
        <w:rPr>
          <w:rFonts w:hint="default" w:ascii="Times New Roman" w:hAnsi="Times New Roman" w:eastAsia="宋体" w:cs="Times New Roman"/>
          <w:color w:val="auto"/>
          <w:highlight w:val="none"/>
        </w:rPr>
      </w:pPr>
      <w:bookmarkStart w:id="816" w:name="_Toc5864"/>
      <w:bookmarkStart w:id="817" w:name="_Toc4122"/>
      <w:bookmarkStart w:id="818" w:name="_Toc19199707"/>
      <w:r>
        <w:rPr>
          <w:rFonts w:hint="default" w:ascii="Times New Roman" w:hAnsi="Times New Roman" w:eastAsia="宋体" w:cs="Times New Roman"/>
          <w:color w:val="auto"/>
          <w:highlight w:val="none"/>
        </w:rPr>
        <w:t>（2）建议</w:t>
      </w:r>
      <w:bookmarkEnd w:id="816"/>
      <w:bookmarkEnd w:id="817"/>
      <w:bookmarkEnd w:id="818"/>
    </w:p>
    <w:p w14:paraId="3B1BD445">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1）污染</w:t>
      </w:r>
      <w:r>
        <w:rPr>
          <w:rFonts w:hint="default" w:ascii="Times New Roman" w:hAnsi="Times New Roman" w:eastAsia="宋体" w:cs="Times New Roman"/>
          <w:color w:val="auto"/>
          <w:szCs w:val="16"/>
          <w:highlight w:val="none"/>
        </w:rPr>
        <w:t>防治措施必须与项目主体工程同时设计、同时施工、同时投产使用。</w:t>
      </w:r>
      <w:r>
        <w:rPr>
          <w:rFonts w:hint="default" w:ascii="Times New Roman" w:hAnsi="Times New Roman" w:eastAsia="宋体" w:cs="Times New Roman"/>
          <w:color w:val="auto"/>
          <w:szCs w:val="24"/>
          <w:highlight w:val="none"/>
        </w:rPr>
        <w:t>项目运行期间，需加强环保设施的维护及管理，保证环保设施的正常运行，提高其运行效率，确保污染物达标排放或合规利用，减少对环境的影响。</w:t>
      </w:r>
    </w:p>
    <w:p w14:paraId="3C497ED0">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2）全面实施场区除臭方案，加强场区边界恶臭污染因子浓度监测，保证项目场区边界及周围各敏感点恶臭污染因子浓度达标。</w:t>
      </w:r>
    </w:p>
    <w:p w14:paraId="21A1A813">
      <w:pPr>
        <w:pageBreakBefore w:val="0"/>
        <w:kinsoku/>
        <w:wordWrap/>
        <w:bidi w:val="0"/>
        <w:snapToGrid w:val="0"/>
        <w:spacing w:line="360" w:lineRule="auto"/>
        <w:ind w:left="0" w:leftChars="0" w:right="0" w:rightChars="0"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3）企业应建立健全的环保规章制度，配备专职环保人员，加强管理，杜绝生产过程中的跑、冒、滴、漏。加强设备、管道、各项治污措施的定期检修和维护工作。做好病死畜、危险废物管理制度</w:t>
      </w:r>
      <w:r>
        <w:rPr>
          <w:rFonts w:hint="default" w:ascii="Times New Roman" w:hAnsi="Times New Roman" w:eastAsia="宋体" w:cs="Times New Roman"/>
          <w:color w:val="auto"/>
          <w:highlight w:val="none"/>
          <w:lang w:eastAsia="zh-CN"/>
        </w:rPr>
        <w:t>。</w:t>
      </w:r>
    </w:p>
    <w:p w14:paraId="7C0AF5C8">
      <w:pPr>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lang w:eastAsia="zh-CN"/>
        </w:rPr>
      </w:pPr>
    </w:p>
    <w:p w14:paraId="5984A4EE">
      <w:pPr>
        <w:pageBreakBefore w:val="0"/>
        <w:kinsoku/>
        <w:wordWrap/>
        <w:bidi w:val="0"/>
        <w:snapToGrid w:val="0"/>
        <w:spacing w:line="360" w:lineRule="auto"/>
        <w:ind w:left="0" w:leftChars="0" w:right="0" w:rightChars="0"/>
        <w:rPr>
          <w:rFonts w:hint="default" w:ascii="Times New Roman" w:hAnsi="Times New Roman" w:eastAsia="宋体" w:cs="Times New Roman"/>
          <w:color w:val="auto"/>
          <w:highlight w:val="none"/>
          <w:lang w:eastAsia="zh-CN"/>
        </w:rPr>
      </w:pPr>
    </w:p>
    <w:sectPr>
      <w:pgSz w:w="11906" w:h="16838"/>
      <w:pgMar w:top="1440" w:right="1800" w:bottom="1440" w:left="1800" w:header="851" w:footer="1134" w:gutter="0"/>
      <w:pgBorders>
        <w:top w:val="none" w:sz="0" w:space="0"/>
        <w:left w:val="none" w:sz="0" w:space="0"/>
        <w:bottom w:val="none" w:sz="0" w:space="0"/>
        <w:right w:val="none" w:sz="0" w:space="0"/>
      </w:pgBorders>
      <w:pgNumType w:fmt="decimal"/>
      <w:cols w:space="425"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Verdana">
    <w:panose1 w:val="020B0604030504040204"/>
    <w:charset w:val="00"/>
    <w:family w:val="swiss"/>
    <w:pitch w:val="default"/>
    <w:sig w:usb0="A00006FF" w:usb1="4000205B" w:usb2="00000010" w:usb3="00000000" w:csb0="2000019F" w:csb1="00000000"/>
  </w:font>
  <w:font w:name="仿宋">
    <w:panose1 w:val="02010609060101010101"/>
    <w:charset w:val="86"/>
    <w:family w:val="auto"/>
    <w:pitch w:val="default"/>
    <w:sig w:usb0="800002BF" w:usb1="38CF7CFA" w:usb2="00000016" w:usb3="00000000" w:csb0="00040001" w:csb1="00000000"/>
  </w:font>
  <w:font w:name="Cambria Math">
    <w:panose1 w:val="02040503050406030204"/>
    <w:charset w:val="00"/>
    <w:family w:val="roman"/>
    <w:pitch w:val="default"/>
    <w:sig w:usb0="E00006FF" w:usb1="420024FF" w:usb2="02000000" w:usb3="00000000" w:csb0="2000019F" w:csb1="00000000"/>
  </w:font>
  <w:font w:name="MS Mincho">
    <w:altName w:val="AMGDT"/>
    <w:panose1 w:val="00000000000000000000"/>
    <w:charset w:val="00"/>
    <w:family w:val="auto"/>
    <w:pitch w:val="default"/>
    <w:sig w:usb0="00000000" w:usb1="00000000" w:usb2="00000000" w:usb3="00000000" w:csb0="00000000" w:csb1="00000000"/>
  </w:font>
  <w:font w:name="AMGDT">
    <w:panose1 w:val="02000400000000000000"/>
    <w:charset w:val="00"/>
    <w:family w:val="auto"/>
    <w:pitch w:val="default"/>
    <w:sig w:usb0="80000003" w:usb1="10000000" w:usb2="00000000" w:usb3="00000000" w:csb0="00000001" w:csb1="00000000"/>
  </w:font>
  <w:font w:name="Arial">
    <w:panose1 w:val="020B0604020202020204"/>
    <w:charset w:val="00"/>
    <w:family w:val="auto"/>
    <w:pitch w:val="default"/>
    <w:sig w:usb0="E0002EFF" w:usb1="C000785B" w:usb2="00000009" w:usb3="00000000" w:csb0="400001FF" w:csb1="FFFF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1A6AB8">
    <w:pPr>
      <w:pStyle w:val="26"/>
      <w:ind w:firstLine="48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8F6280">
    <w:pPr>
      <w:ind w:firstLine="4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62718332"/>
    </w:sdtPr>
    <w:sdtContent>
      <w:p w14:paraId="4BEF0BD6">
        <w:pPr>
          <w:pStyle w:val="26"/>
          <w:ind w:firstLine="480"/>
          <w:jc w:val="center"/>
        </w:pPr>
        <w:r>
          <w:fldChar w:fldCharType="begin"/>
        </w:r>
        <w:r>
          <w:instrText xml:space="preserve">PAGE   \* MERGEFORMAT</w:instrText>
        </w:r>
        <w:r>
          <w:fldChar w:fldCharType="separate"/>
        </w:r>
        <w:r>
          <w:rPr>
            <w:lang w:val="zh-CN"/>
          </w:rPr>
          <w:t>X</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1B5E5A">
    <w:pPr>
      <w:pStyle w:val="26"/>
      <w:ind w:firstLine="480"/>
      <w:jc w:val="center"/>
    </w:pPr>
    <w:r>
      <w:rPr>
        <w:sz w:val="21"/>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540EB7">
                          <w:pPr>
                            <w:pStyle w:val="26"/>
                          </w:pPr>
                          <w:r>
                            <w:fldChar w:fldCharType="begin"/>
                          </w:r>
                          <w:r>
                            <w:instrText xml:space="preserve"> PAGE  \* MERGEFORMAT </w:instrText>
                          </w:r>
                          <w:r>
                            <w:fldChar w:fldCharType="separate"/>
                          </w:r>
                          <w:r>
                            <w:t>- 1 -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JUQ0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JUQ0zAgAAYwQAAA4AAAAAAAAAAQAgAAAAHwEAAGRycy9lMm9Eb2MueG1sUEsF&#10;BgAAAAAGAAYAWQEAAMQFAAAAAA==&#10;">
              <v:fill on="f" focussize="0,0"/>
              <v:stroke on="f" weight="0.5pt"/>
              <v:imagedata o:title=""/>
              <o:lock v:ext="edit" aspectratio="f"/>
              <v:textbox inset="0mm,0mm,0mm,0mm" style="mso-fit-shape-to-text:t;">
                <w:txbxContent>
                  <w:p w14:paraId="75540EB7">
                    <w:pPr>
                      <w:pStyle w:val="26"/>
                    </w:pPr>
                    <w:r>
                      <w:fldChar w:fldCharType="begin"/>
                    </w:r>
                    <w:r>
                      <w:instrText xml:space="preserve"> PAGE  \* MERGEFORMAT </w:instrText>
                    </w:r>
                    <w:r>
                      <w:fldChar w:fldCharType="separate"/>
                    </w:r>
                    <w:r>
                      <w:t>- 1 -</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E1F8F5">
    <w:pPr>
      <w:pStyle w:val="28"/>
      <w:pBdr>
        <w:bottom w:val="double" w:color="auto" w:sz="8" w:space="1"/>
      </w:pBdr>
      <w:ind w:firstLine="420"/>
      <w:rPr>
        <w:rFonts w:hint="eastAsia" w:eastAsia="宋体"/>
        <w:sz w:val="22"/>
        <w:szCs w:val="22"/>
        <w:lang w:eastAsia="zh-CN"/>
      </w:rPr>
    </w:pPr>
    <w:r>
      <w:rPr>
        <w:rFonts w:hint="eastAsia"/>
        <w:sz w:val="22"/>
        <w:szCs w:val="22"/>
        <w:lang w:eastAsia="zh-CN"/>
      </w:rPr>
      <w:t>乌拉特前旗大佘太中海禾牧养殖专业合作社新建肉牛养殖项目</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02CAB2">
    <w:pPr>
      <w:ind w:firstLine="0" w:firstLineChars="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3F879BA"/>
    <w:multiLevelType w:val="singleLevel"/>
    <w:tmpl w:val="C3F879BA"/>
    <w:lvl w:ilvl="0" w:tentative="0">
      <w:start w:val="1"/>
      <w:numFmt w:val="bullet"/>
      <w:pStyle w:val="21"/>
      <w:lvlText w:val=""/>
      <w:lvlJc w:val="left"/>
      <w:pPr>
        <w:tabs>
          <w:tab w:val="left" w:pos="2040"/>
        </w:tabs>
        <w:ind w:left="2040" w:hanging="360"/>
      </w:pPr>
      <w:rPr>
        <w:rFonts w:hint="default" w:ascii="Wingdings" w:hAnsi="Wingdings"/>
      </w:rPr>
    </w:lvl>
  </w:abstractNum>
  <w:abstractNum w:abstractNumId="1">
    <w:nsid w:val="4C8C5312"/>
    <w:multiLevelType w:val="multilevel"/>
    <w:tmpl w:val="4C8C5312"/>
    <w:lvl w:ilvl="0" w:tentative="0">
      <w:start w:val="1"/>
      <w:numFmt w:val="decimal"/>
      <w:lvlText w:val="%1."/>
      <w:lvlJc w:val="left"/>
      <w:pPr>
        <w:tabs>
          <w:tab w:val="left" w:pos="425"/>
        </w:tabs>
        <w:ind w:left="425" w:hanging="425"/>
      </w:pPr>
      <w:rPr>
        <w:rFonts w:hint="eastAsia"/>
      </w:rPr>
    </w:lvl>
    <w:lvl w:ilvl="1" w:tentative="0">
      <w:start w:val="1"/>
      <w:numFmt w:val="decimal"/>
      <w:lvlText w:val="%1.%2."/>
      <w:lvlJc w:val="left"/>
      <w:pPr>
        <w:tabs>
          <w:tab w:val="left" w:pos="567"/>
        </w:tabs>
        <w:ind w:left="567" w:hanging="567"/>
      </w:pPr>
      <w:rPr>
        <w:rFonts w:hint="default" w:ascii="Times New Roman" w:hAnsi="Times New Roman" w:cs="Times New Roman"/>
        <w:sz w:val="30"/>
        <w:szCs w:val="30"/>
      </w:rPr>
    </w:lvl>
    <w:lvl w:ilvl="2" w:tentative="0">
      <w:start w:val="1"/>
      <w:numFmt w:val="decimal"/>
      <w:lvlText w:val="%1.%2.%3."/>
      <w:lvlJc w:val="left"/>
      <w:pPr>
        <w:tabs>
          <w:tab w:val="left" w:pos="0"/>
        </w:tabs>
        <w:ind w:left="0" w:firstLine="0"/>
      </w:pPr>
      <w:rPr>
        <w:rFonts w:hint="eastAsia"/>
      </w:rPr>
    </w:lvl>
    <w:lvl w:ilvl="3" w:tentative="0">
      <w:start w:val="1"/>
      <w:numFmt w:val="decimal"/>
      <w:pStyle w:val="4"/>
      <w:lvlText w:val="%1.%2.%3.%4."/>
      <w:lvlJc w:val="left"/>
      <w:pPr>
        <w:tabs>
          <w:tab w:val="left" w:pos="851"/>
        </w:tabs>
        <w:ind w:left="851" w:hanging="851"/>
      </w:pPr>
      <w:rPr>
        <w:rFonts w:hint="eastAsia"/>
        <w:b/>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bordersDoNotSurroundHeader w:val="0"/>
  <w:bordersDoNotSurroundFooter w:val="0"/>
  <w:gutterAtTop/>
  <w:hideSpellingErrors/>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A3ZTg5MTU0MDZiYTZmNDA3Y2E1NzA1YzFmNDBhODAifQ=="/>
  </w:docVars>
  <w:rsids>
    <w:rsidRoot w:val="008E14A2"/>
    <w:rsid w:val="00000098"/>
    <w:rsid w:val="000003C2"/>
    <w:rsid w:val="00000777"/>
    <w:rsid w:val="00000CF0"/>
    <w:rsid w:val="00000E94"/>
    <w:rsid w:val="000013D6"/>
    <w:rsid w:val="00001AD7"/>
    <w:rsid w:val="00002925"/>
    <w:rsid w:val="0000311E"/>
    <w:rsid w:val="0000317A"/>
    <w:rsid w:val="00003189"/>
    <w:rsid w:val="0000366E"/>
    <w:rsid w:val="0000427E"/>
    <w:rsid w:val="00004647"/>
    <w:rsid w:val="000047A0"/>
    <w:rsid w:val="00005A39"/>
    <w:rsid w:val="00006083"/>
    <w:rsid w:val="00006412"/>
    <w:rsid w:val="00006AA7"/>
    <w:rsid w:val="000076FD"/>
    <w:rsid w:val="00007B11"/>
    <w:rsid w:val="00010750"/>
    <w:rsid w:val="00010C6E"/>
    <w:rsid w:val="00011584"/>
    <w:rsid w:val="00011A62"/>
    <w:rsid w:val="00012557"/>
    <w:rsid w:val="00013D16"/>
    <w:rsid w:val="00014005"/>
    <w:rsid w:val="00014184"/>
    <w:rsid w:val="0001450A"/>
    <w:rsid w:val="00014A6E"/>
    <w:rsid w:val="0001515A"/>
    <w:rsid w:val="0001554D"/>
    <w:rsid w:val="00015A18"/>
    <w:rsid w:val="0001616B"/>
    <w:rsid w:val="000162E2"/>
    <w:rsid w:val="000168CD"/>
    <w:rsid w:val="000170D7"/>
    <w:rsid w:val="000177D4"/>
    <w:rsid w:val="000217FE"/>
    <w:rsid w:val="0002217B"/>
    <w:rsid w:val="000238F3"/>
    <w:rsid w:val="00024180"/>
    <w:rsid w:val="00024287"/>
    <w:rsid w:val="00026AB5"/>
    <w:rsid w:val="00026D25"/>
    <w:rsid w:val="00026E3B"/>
    <w:rsid w:val="0002798E"/>
    <w:rsid w:val="0003053F"/>
    <w:rsid w:val="000307C0"/>
    <w:rsid w:val="00030C18"/>
    <w:rsid w:val="00032F70"/>
    <w:rsid w:val="00033205"/>
    <w:rsid w:val="00033359"/>
    <w:rsid w:val="00033493"/>
    <w:rsid w:val="000336FD"/>
    <w:rsid w:val="00033F2F"/>
    <w:rsid w:val="000344E3"/>
    <w:rsid w:val="00034D6A"/>
    <w:rsid w:val="000351D9"/>
    <w:rsid w:val="00035B43"/>
    <w:rsid w:val="00036850"/>
    <w:rsid w:val="00040C00"/>
    <w:rsid w:val="00041391"/>
    <w:rsid w:val="0004205A"/>
    <w:rsid w:val="0004254E"/>
    <w:rsid w:val="00042A80"/>
    <w:rsid w:val="00042D03"/>
    <w:rsid w:val="0004313F"/>
    <w:rsid w:val="00044BDB"/>
    <w:rsid w:val="00045214"/>
    <w:rsid w:val="00045A93"/>
    <w:rsid w:val="00046007"/>
    <w:rsid w:val="00046B35"/>
    <w:rsid w:val="000478C8"/>
    <w:rsid w:val="00047A49"/>
    <w:rsid w:val="000503AC"/>
    <w:rsid w:val="00050759"/>
    <w:rsid w:val="0005101D"/>
    <w:rsid w:val="000524D8"/>
    <w:rsid w:val="00052E7B"/>
    <w:rsid w:val="00053CBF"/>
    <w:rsid w:val="00053E2E"/>
    <w:rsid w:val="00054E57"/>
    <w:rsid w:val="00055E05"/>
    <w:rsid w:val="00055F31"/>
    <w:rsid w:val="00057443"/>
    <w:rsid w:val="00057678"/>
    <w:rsid w:val="000577C1"/>
    <w:rsid w:val="00057A23"/>
    <w:rsid w:val="00060DE1"/>
    <w:rsid w:val="000619DE"/>
    <w:rsid w:val="000619F6"/>
    <w:rsid w:val="00062317"/>
    <w:rsid w:val="00064572"/>
    <w:rsid w:val="00066AD7"/>
    <w:rsid w:val="000672CB"/>
    <w:rsid w:val="0006733E"/>
    <w:rsid w:val="000702FC"/>
    <w:rsid w:val="00070403"/>
    <w:rsid w:val="0007103F"/>
    <w:rsid w:val="0007189F"/>
    <w:rsid w:val="00071FC2"/>
    <w:rsid w:val="00073B60"/>
    <w:rsid w:val="00074460"/>
    <w:rsid w:val="00075C74"/>
    <w:rsid w:val="00076227"/>
    <w:rsid w:val="00076470"/>
    <w:rsid w:val="00076FF3"/>
    <w:rsid w:val="00077768"/>
    <w:rsid w:val="00077821"/>
    <w:rsid w:val="00077AB6"/>
    <w:rsid w:val="000801E8"/>
    <w:rsid w:val="0008043C"/>
    <w:rsid w:val="00080B32"/>
    <w:rsid w:val="000818C5"/>
    <w:rsid w:val="00081AB3"/>
    <w:rsid w:val="0008202C"/>
    <w:rsid w:val="000820A3"/>
    <w:rsid w:val="00083E1E"/>
    <w:rsid w:val="0008647B"/>
    <w:rsid w:val="00086A86"/>
    <w:rsid w:val="00086F18"/>
    <w:rsid w:val="00087841"/>
    <w:rsid w:val="000907D0"/>
    <w:rsid w:val="00090D2D"/>
    <w:rsid w:val="00091083"/>
    <w:rsid w:val="0009201D"/>
    <w:rsid w:val="00092035"/>
    <w:rsid w:val="0009241E"/>
    <w:rsid w:val="000936CB"/>
    <w:rsid w:val="00093A9D"/>
    <w:rsid w:val="00093DE8"/>
    <w:rsid w:val="00095722"/>
    <w:rsid w:val="0009574C"/>
    <w:rsid w:val="000962DC"/>
    <w:rsid w:val="00097530"/>
    <w:rsid w:val="000A0049"/>
    <w:rsid w:val="000A0A8B"/>
    <w:rsid w:val="000A0B28"/>
    <w:rsid w:val="000A1749"/>
    <w:rsid w:val="000A1A2E"/>
    <w:rsid w:val="000A2966"/>
    <w:rsid w:val="000A33EE"/>
    <w:rsid w:val="000A36EF"/>
    <w:rsid w:val="000A43F9"/>
    <w:rsid w:val="000A676C"/>
    <w:rsid w:val="000A6C8A"/>
    <w:rsid w:val="000A6D2B"/>
    <w:rsid w:val="000B0153"/>
    <w:rsid w:val="000B094D"/>
    <w:rsid w:val="000B0B9D"/>
    <w:rsid w:val="000B114F"/>
    <w:rsid w:val="000B16B9"/>
    <w:rsid w:val="000B19FA"/>
    <w:rsid w:val="000B1E16"/>
    <w:rsid w:val="000B4222"/>
    <w:rsid w:val="000B44C0"/>
    <w:rsid w:val="000B4A72"/>
    <w:rsid w:val="000B502A"/>
    <w:rsid w:val="000B548D"/>
    <w:rsid w:val="000B69A6"/>
    <w:rsid w:val="000B7C29"/>
    <w:rsid w:val="000C0252"/>
    <w:rsid w:val="000C08D1"/>
    <w:rsid w:val="000C16A3"/>
    <w:rsid w:val="000C192C"/>
    <w:rsid w:val="000C1B14"/>
    <w:rsid w:val="000C1CDC"/>
    <w:rsid w:val="000C28E9"/>
    <w:rsid w:val="000C2B7F"/>
    <w:rsid w:val="000C2BDF"/>
    <w:rsid w:val="000C378E"/>
    <w:rsid w:val="000C39B0"/>
    <w:rsid w:val="000C4411"/>
    <w:rsid w:val="000C552E"/>
    <w:rsid w:val="000C6155"/>
    <w:rsid w:val="000C68FF"/>
    <w:rsid w:val="000C73C4"/>
    <w:rsid w:val="000C7DA2"/>
    <w:rsid w:val="000D01E1"/>
    <w:rsid w:val="000D063B"/>
    <w:rsid w:val="000D216F"/>
    <w:rsid w:val="000D21F5"/>
    <w:rsid w:val="000D314F"/>
    <w:rsid w:val="000D4057"/>
    <w:rsid w:val="000D4932"/>
    <w:rsid w:val="000D4BF4"/>
    <w:rsid w:val="000D57FE"/>
    <w:rsid w:val="000D63CB"/>
    <w:rsid w:val="000D6F41"/>
    <w:rsid w:val="000D71BD"/>
    <w:rsid w:val="000E0A89"/>
    <w:rsid w:val="000E0EEA"/>
    <w:rsid w:val="000E149A"/>
    <w:rsid w:val="000E2107"/>
    <w:rsid w:val="000E22B4"/>
    <w:rsid w:val="000E257A"/>
    <w:rsid w:val="000E2968"/>
    <w:rsid w:val="000E2A00"/>
    <w:rsid w:val="000E2D85"/>
    <w:rsid w:val="000E4A5C"/>
    <w:rsid w:val="000E5E01"/>
    <w:rsid w:val="000E7AB8"/>
    <w:rsid w:val="000F0AE5"/>
    <w:rsid w:val="000F15C5"/>
    <w:rsid w:val="000F1648"/>
    <w:rsid w:val="000F2401"/>
    <w:rsid w:val="000F2E79"/>
    <w:rsid w:val="000F4EEF"/>
    <w:rsid w:val="000F5ED7"/>
    <w:rsid w:val="000F5FEF"/>
    <w:rsid w:val="000F6FDF"/>
    <w:rsid w:val="000F7456"/>
    <w:rsid w:val="000F7C5F"/>
    <w:rsid w:val="00100672"/>
    <w:rsid w:val="001009A2"/>
    <w:rsid w:val="00100B30"/>
    <w:rsid w:val="00103A7C"/>
    <w:rsid w:val="0010415D"/>
    <w:rsid w:val="00104447"/>
    <w:rsid w:val="001057F8"/>
    <w:rsid w:val="001060FC"/>
    <w:rsid w:val="00106169"/>
    <w:rsid w:val="00107078"/>
    <w:rsid w:val="00107443"/>
    <w:rsid w:val="001077B3"/>
    <w:rsid w:val="00111754"/>
    <w:rsid w:val="001117CA"/>
    <w:rsid w:val="00111A4D"/>
    <w:rsid w:val="00112B62"/>
    <w:rsid w:val="00113313"/>
    <w:rsid w:val="0011331B"/>
    <w:rsid w:val="001138BA"/>
    <w:rsid w:val="00113EEF"/>
    <w:rsid w:val="00113F9F"/>
    <w:rsid w:val="00114020"/>
    <w:rsid w:val="00114D22"/>
    <w:rsid w:val="0011671C"/>
    <w:rsid w:val="00116A0A"/>
    <w:rsid w:val="0012040F"/>
    <w:rsid w:val="00124239"/>
    <w:rsid w:val="0012477A"/>
    <w:rsid w:val="00124FAC"/>
    <w:rsid w:val="00124FCE"/>
    <w:rsid w:val="00125FCF"/>
    <w:rsid w:val="0012685A"/>
    <w:rsid w:val="00126B5D"/>
    <w:rsid w:val="001279AB"/>
    <w:rsid w:val="00127A0C"/>
    <w:rsid w:val="001301AD"/>
    <w:rsid w:val="001301BB"/>
    <w:rsid w:val="0013058D"/>
    <w:rsid w:val="001311B8"/>
    <w:rsid w:val="001312CE"/>
    <w:rsid w:val="0013164A"/>
    <w:rsid w:val="00131741"/>
    <w:rsid w:val="00132310"/>
    <w:rsid w:val="00133AF3"/>
    <w:rsid w:val="00133F47"/>
    <w:rsid w:val="0013567A"/>
    <w:rsid w:val="00135B20"/>
    <w:rsid w:val="00135D32"/>
    <w:rsid w:val="00136279"/>
    <w:rsid w:val="001369DE"/>
    <w:rsid w:val="00137243"/>
    <w:rsid w:val="0013745F"/>
    <w:rsid w:val="001375C6"/>
    <w:rsid w:val="00142B86"/>
    <w:rsid w:val="00143F0A"/>
    <w:rsid w:val="001445F0"/>
    <w:rsid w:val="0014493A"/>
    <w:rsid w:val="0014615A"/>
    <w:rsid w:val="001478EC"/>
    <w:rsid w:val="001500F6"/>
    <w:rsid w:val="00150345"/>
    <w:rsid w:val="00150F25"/>
    <w:rsid w:val="001512B8"/>
    <w:rsid w:val="00153828"/>
    <w:rsid w:val="00154BFF"/>
    <w:rsid w:val="00154E02"/>
    <w:rsid w:val="001555EB"/>
    <w:rsid w:val="00156292"/>
    <w:rsid w:val="001569A5"/>
    <w:rsid w:val="00156A6A"/>
    <w:rsid w:val="001573C5"/>
    <w:rsid w:val="001573F7"/>
    <w:rsid w:val="00160362"/>
    <w:rsid w:val="00161328"/>
    <w:rsid w:val="00161ADE"/>
    <w:rsid w:val="00161C5C"/>
    <w:rsid w:val="00162B8F"/>
    <w:rsid w:val="00162BB4"/>
    <w:rsid w:val="00163A0B"/>
    <w:rsid w:val="00164B74"/>
    <w:rsid w:val="00164CCC"/>
    <w:rsid w:val="00166635"/>
    <w:rsid w:val="00167D0E"/>
    <w:rsid w:val="00170998"/>
    <w:rsid w:val="001711D9"/>
    <w:rsid w:val="00171D3B"/>
    <w:rsid w:val="00171F45"/>
    <w:rsid w:val="00171FF3"/>
    <w:rsid w:val="001746DE"/>
    <w:rsid w:val="001748CE"/>
    <w:rsid w:val="00174ABA"/>
    <w:rsid w:val="00174F22"/>
    <w:rsid w:val="00175978"/>
    <w:rsid w:val="00175B9B"/>
    <w:rsid w:val="00175C16"/>
    <w:rsid w:val="0017716C"/>
    <w:rsid w:val="0017767F"/>
    <w:rsid w:val="00180885"/>
    <w:rsid w:val="0018105E"/>
    <w:rsid w:val="00181F74"/>
    <w:rsid w:val="00182285"/>
    <w:rsid w:val="00182C63"/>
    <w:rsid w:val="00182CA8"/>
    <w:rsid w:val="00182D53"/>
    <w:rsid w:val="00183095"/>
    <w:rsid w:val="001842BC"/>
    <w:rsid w:val="00184B2B"/>
    <w:rsid w:val="00184E43"/>
    <w:rsid w:val="0018522D"/>
    <w:rsid w:val="00185553"/>
    <w:rsid w:val="00185DB6"/>
    <w:rsid w:val="001872F3"/>
    <w:rsid w:val="00191434"/>
    <w:rsid w:val="001922C9"/>
    <w:rsid w:val="001933EB"/>
    <w:rsid w:val="00193EB1"/>
    <w:rsid w:val="00194230"/>
    <w:rsid w:val="00194C5A"/>
    <w:rsid w:val="00196338"/>
    <w:rsid w:val="00196659"/>
    <w:rsid w:val="00196C0F"/>
    <w:rsid w:val="0019735E"/>
    <w:rsid w:val="00197424"/>
    <w:rsid w:val="00197D41"/>
    <w:rsid w:val="001A05AE"/>
    <w:rsid w:val="001A1354"/>
    <w:rsid w:val="001A1C43"/>
    <w:rsid w:val="001A1DC1"/>
    <w:rsid w:val="001A320E"/>
    <w:rsid w:val="001A3A81"/>
    <w:rsid w:val="001A4625"/>
    <w:rsid w:val="001A495F"/>
    <w:rsid w:val="001A53F2"/>
    <w:rsid w:val="001A6F40"/>
    <w:rsid w:val="001A7E21"/>
    <w:rsid w:val="001A7F92"/>
    <w:rsid w:val="001B08E7"/>
    <w:rsid w:val="001B0CF4"/>
    <w:rsid w:val="001B13E2"/>
    <w:rsid w:val="001B15D2"/>
    <w:rsid w:val="001B2145"/>
    <w:rsid w:val="001B5452"/>
    <w:rsid w:val="001B55C5"/>
    <w:rsid w:val="001B5F4A"/>
    <w:rsid w:val="001B614F"/>
    <w:rsid w:val="001B68C4"/>
    <w:rsid w:val="001B7229"/>
    <w:rsid w:val="001B75A9"/>
    <w:rsid w:val="001B7835"/>
    <w:rsid w:val="001B7928"/>
    <w:rsid w:val="001C037B"/>
    <w:rsid w:val="001C0A0D"/>
    <w:rsid w:val="001C0B7F"/>
    <w:rsid w:val="001C1884"/>
    <w:rsid w:val="001C1B7C"/>
    <w:rsid w:val="001C275B"/>
    <w:rsid w:val="001C3AB9"/>
    <w:rsid w:val="001C430F"/>
    <w:rsid w:val="001C495C"/>
    <w:rsid w:val="001C5483"/>
    <w:rsid w:val="001C5846"/>
    <w:rsid w:val="001C5B53"/>
    <w:rsid w:val="001C75BF"/>
    <w:rsid w:val="001D0321"/>
    <w:rsid w:val="001D05AF"/>
    <w:rsid w:val="001D09C6"/>
    <w:rsid w:val="001D0A06"/>
    <w:rsid w:val="001D1174"/>
    <w:rsid w:val="001D16E7"/>
    <w:rsid w:val="001D24C1"/>
    <w:rsid w:val="001D3710"/>
    <w:rsid w:val="001D3EAA"/>
    <w:rsid w:val="001D4BEF"/>
    <w:rsid w:val="001D6061"/>
    <w:rsid w:val="001D723F"/>
    <w:rsid w:val="001D7C24"/>
    <w:rsid w:val="001D7DD2"/>
    <w:rsid w:val="001E01D4"/>
    <w:rsid w:val="001E1132"/>
    <w:rsid w:val="001E13DE"/>
    <w:rsid w:val="001E1999"/>
    <w:rsid w:val="001E1BFD"/>
    <w:rsid w:val="001E1D68"/>
    <w:rsid w:val="001E23F4"/>
    <w:rsid w:val="001E2AC1"/>
    <w:rsid w:val="001E3218"/>
    <w:rsid w:val="001E388D"/>
    <w:rsid w:val="001E4028"/>
    <w:rsid w:val="001E4204"/>
    <w:rsid w:val="001E4B72"/>
    <w:rsid w:val="001E5950"/>
    <w:rsid w:val="001E5D11"/>
    <w:rsid w:val="001E68FC"/>
    <w:rsid w:val="001E71D5"/>
    <w:rsid w:val="001E7919"/>
    <w:rsid w:val="001E7E63"/>
    <w:rsid w:val="001F0437"/>
    <w:rsid w:val="001F0F5B"/>
    <w:rsid w:val="001F1541"/>
    <w:rsid w:val="001F22AA"/>
    <w:rsid w:val="001F2401"/>
    <w:rsid w:val="001F2605"/>
    <w:rsid w:val="001F296A"/>
    <w:rsid w:val="001F2A8B"/>
    <w:rsid w:val="001F3580"/>
    <w:rsid w:val="001F459E"/>
    <w:rsid w:val="001F4FBB"/>
    <w:rsid w:val="001F4FE8"/>
    <w:rsid w:val="001F5002"/>
    <w:rsid w:val="001F5830"/>
    <w:rsid w:val="001F5949"/>
    <w:rsid w:val="001F692C"/>
    <w:rsid w:val="001F6965"/>
    <w:rsid w:val="001F6A43"/>
    <w:rsid w:val="001F6E90"/>
    <w:rsid w:val="001F7528"/>
    <w:rsid w:val="001F7A5D"/>
    <w:rsid w:val="001F7B46"/>
    <w:rsid w:val="001F7DC7"/>
    <w:rsid w:val="001F7EFF"/>
    <w:rsid w:val="0020081A"/>
    <w:rsid w:val="00200A3D"/>
    <w:rsid w:val="00201526"/>
    <w:rsid w:val="00202282"/>
    <w:rsid w:val="00202D8E"/>
    <w:rsid w:val="00202E81"/>
    <w:rsid w:val="002037F3"/>
    <w:rsid w:val="00203939"/>
    <w:rsid w:val="00203BF3"/>
    <w:rsid w:val="00204ACF"/>
    <w:rsid w:val="00204E0B"/>
    <w:rsid w:val="00205673"/>
    <w:rsid w:val="00205F32"/>
    <w:rsid w:val="002065DA"/>
    <w:rsid w:val="002073C0"/>
    <w:rsid w:val="00207A22"/>
    <w:rsid w:val="00210A54"/>
    <w:rsid w:val="00210D94"/>
    <w:rsid w:val="00211408"/>
    <w:rsid w:val="00211BD7"/>
    <w:rsid w:val="002120B0"/>
    <w:rsid w:val="002126B4"/>
    <w:rsid w:val="00212975"/>
    <w:rsid w:val="00212BB0"/>
    <w:rsid w:val="00213D58"/>
    <w:rsid w:val="00213F5E"/>
    <w:rsid w:val="00215AC7"/>
    <w:rsid w:val="002160BC"/>
    <w:rsid w:val="00217D38"/>
    <w:rsid w:val="00220C32"/>
    <w:rsid w:val="00221386"/>
    <w:rsid w:val="00221918"/>
    <w:rsid w:val="00221F35"/>
    <w:rsid w:val="00222262"/>
    <w:rsid w:val="0022241D"/>
    <w:rsid w:val="002226CF"/>
    <w:rsid w:val="00222BBC"/>
    <w:rsid w:val="00222FD8"/>
    <w:rsid w:val="002236BB"/>
    <w:rsid w:val="0022492C"/>
    <w:rsid w:val="00224AE2"/>
    <w:rsid w:val="00225642"/>
    <w:rsid w:val="0022578D"/>
    <w:rsid w:val="0022593F"/>
    <w:rsid w:val="00225A76"/>
    <w:rsid w:val="00225B1B"/>
    <w:rsid w:val="00226427"/>
    <w:rsid w:val="002266FD"/>
    <w:rsid w:val="00226DBC"/>
    <w:rsid w:val="002272F8"/>
    <w:rsid w:val="00227309"/>
    <w:rsid w:val="00227AA7"/>
    <w:rsid w:val="002305CF"/>
    <w:rsid w:val="002309EE"/>
    <w:rsid w:val="00232211"/>
    <w:rsid w:val="0023238D"/>
    <w:rsid w:val="00232828"/>
    <w:rsid w:val="00232948"/>
    <w:rsid w:val="00232F15"/>
    <w:rsid w:val="00234FEA"/>
    <w:rsid w:val="0023509A"/>
    <w:rsid w:val="0023541F"/>
    <w:rsid w:val="002358C1"/>
    <w:rsid w:val="00236930"/>
    <w:rsid w:val="00236D19"/>
    <w:rsid w:val="0023720A"/>
    <w:rsid w:val="00237DDD"/>
    <w:rsid w:val="0024098F"/>
    <w:rsid w:val="00240A60"/>
    <w:rsid w:val="00240D4C"/>
    <w:rsid w:val="00241F3D"/>
    <w:rsid w:val="0024218B"/>
    <w:rsid w:val="0024322A"/>
    <w:rsid w:val="0024555A"/>
    <w:rsid w:val="00246171"/>
    <w:rsid w:val="00246559"/>
    <w:rsid w:val="00246A54"/>
    <w:rsid w:val="00246B35"/>
    <w:rsid w:val="002472A6"/>
    <w:rsid w:val="0024740B"/>
    <w:rsid w:val="002478F3"/>
    <w:rsid w:val="00247F91"/>
    <w:rsid w:val="00252C8F"/>
    <w:rsid w:val="002533EE"/>
    <w:rsid w:val="00253951"/>
    <w:rsid w:val="002555E3"/>
    <w:rsid w:val="00255ECE"/>
    <w:rsid w:val="002569DD"/>
    <w:rsid w:val="00256CA5"/>
    <w:rsid w:val="00260681"/>
    <w:rsid w:val="00262968"/>
    <w:rsid w:val="00263E96"/>
    <w:rsid w:val="00264812"/>
    <w:rsid w:val="00265838"/>
    <w:rsid w:val="00265EF1"/>
    <w:rsid w:val="00266693"/>
    <w:rsid w:val="002670A4"/>
    <w:rsid w:val="00267BBF"/>
    <w:rsid w:val="00267BD7"/>
    <w:rsid w:val="00270418"/>
    <w:rsid w:val="002709DD"/>
    <w:rsid w:val="002718F3"/>
    <w:rsid w:val="00272090"/>
    <w:rsid w:val="00272F2C"/>
    <w:rsid w:val="00273143"/>
    <w:rsid w:val="00273400"/>
    <w:rsid w:val="002743D1"/>
    <w:rsid w:val="00274E35"/>
    <w:rsid w:val="002753E6"/>
    <w:rsid w:val="00276562"/>
    <w:rsid w:val="00276694"/>
    <w:rsid w:val="00276DF5"/>
    <w:rsid w:val="00276F1A"/>
    <w:rsid w:val="002771F3"/>
    <w:rsid w:val="0028064C"/>
    <w:rsid w:val="00280A22"/>
    <w:rsid w:val="00281605"/>
    <w:rsid w:val="00281CBC"/>
    <w:rsid w:val="002831C8"/>
    <w:rsid w:val="00284247"/>
    <w:rsid w:val="002842D9"/>
    <w:rsid w:val="00284D6B"/>
    <w:rsid w:val="00286036"/>
    <w:rsid w:val="00286262"/>
    <w:rsid w:val="002864F7"/>
    <w:rsid w:val="00286B8F"/>
    <w:rsid w:val="00287F54"/>
    <w:rsid w:val="0029030D"/>
    <w:rsid w:val="0029089F"/>
    <w:rsid w:val="0029157B"/>
    <w:rsid w:val="00293B2C"/>
    <w:rsid w:val="00293F8A"/>
    <w:rsid w:val="002942C6"/>
    <w:rsid w:val="002942D1"/>
    <w:rsid w:val="0029456B"/>
    <w:rsid w:val="00295E08"/>
    <w:rsid w:val="00296155"/>
    <w:rsid w:val="00296B1A"/>
    <w:rsid w:val="002A0841"/>
    <w:rsid w:val="002A0B3D"/>
    <w:rsid w:val="002A0D34"/>
    <w:rsid w:val="002A0F92"/>
    <w:rsid w:val="002A1454"/>
    <w:rsid w:val="002A1847"/>
    <w:rsid w:val="002A2092"/>
    <w:rsid w:val="002A30D9"/>
    <w:rsid w:val="002A3606"/>
    <w:rsid w:val="002A5254"/>
    <w:rsid w:val="002A527F"/>
    <w:rsid w:val="002A6817"/>
    <w:rsid w:val="002A697B"/>
    <w:rsid w:val="002A6B37"/>
    <w:rsid w:val="002A7AF0"/>
    <w:rsid w:val="002A7FA3"/>
    <w:rsid w:val="002B00E0"/>
    <w:rsid w:val="002B0525"/>
    <w:rsid w:val="002B05C6"/>
    <w:rsid w:val="002B1098"/>
    <w:rsid w:val="002B1259"/>
    <w:rsid w:val="002B1642"/>
    <w:rsid w:val="002B1CEC"/>
    <w:rsid w:val="002B1E8B"/>
    <w:rsid w:val="002B240D"/>
    <w:rsid w:val="002B3462"/>
    <w:rsid w:val="002B3534"/>
    <w:rsid w:val="002B367C"/>
    <w:rsid w:val="002B47FD"/>
    <w:rsid w:val="002B4D42"/>
    <w:rsid w:val="002B5C88"/>
    <w:rsid w:val="002B6088"/>
    <w:rsid w:val="002C014F"/>
    <w:rsid w:val="002C12FC"/>
    <w:rsid w:val="002C134C"/>
    <w:rsid w:val="002C2A5B"/>
    <w:rsid w:val="002C2AD8"/>
    <w:rsid w:val="002C2B97"/>
    <w:rsid w:val="002C3022"/>
    <w:rsid w:val="002C383B"/>
    <w:rsid w:val="002C3C47"/>
    <w:rsid w:val="002C579E"/>
    <w:rsid w:val="002C6122"/>
    <w:rsid w:val="002C6BF8"/>
    <w:rsid w:val="002D03DD"/>
    <w:rsid w:val="002D1796"/>
    <w:rsid w:val="002D21A6"/>
    <w:rsid w:val="002D23D9"/>
    <w:rsid w:val="002D2775"/>
    <w:rsid w:val="002D2979"/>
    <w:rsid w:val="002D2CBB"/>
    <w:rsid w:val="002D39E1"/>
    <w:rsid w:val="002D41F6"/>
    <w:rsid w:val="002D43AA"/>
    <w:rsid w:val="002D45CC"/>
    <w:rsid w:val="002D5446"/>
    <w:rsid w:val="002D5A70"/>
    <w:rsid w:val="002D5AA8"/>
    <w:rsid w:val="002D6545"/>
    <w:rsid w:val="002D6AB7"/>
    <w:rsid w:val="002D7D19"/>
    <w:rsid w:val="002E06AF"/>
    <w:rsid w:val="002E18A2"/>
    <w:rsid w:val="002E36E7"/>
    <w:rsid w:val="002E5967"/>
    <w:rsid w:val="002E5ED6"/>
    <w:rsid w:val="002E6683"/>
    <w:rsid w:val="002E7A61"/>
    <w:rsid w:val="002E7C3E"/>
    <w:rsid w:val="002E7EAB"/>
    <w:rsid w:val="002F04C3"/>
    <w:rsid w:val="002F070A"/>
    <w:rsid w:val="002F07DB"/>
    <w:rsid w:val="002F0B0F"/>
    <w:rsid w:val="002F0EDC"/>
    <w:rsid w:val="002F1614"/>
    <w:rsid w:val="002F193E"/>
    <w:rsid w:val="002F22BE"/>
    <w:rsid w:val="002F28DA"/>
    <w:rsid w:val="002F2EB7"/>
    <w:rsid w:val="002F3757"/>
    <w:rsid w:val="002F39EC"/>
    <w:rsid w:val="002F4085"/>
    <w:rsid w:val="002F40BD"/>
    <w:rsid w:val="002F516D"/>
    <w:rsid w:val="002F7086"/>
    <w:rsid w:val="002F79AF"/>
    <w:rsid w:val="003007D6"/>
    <w:rsid w:val="00300E12"/>
    <w:rsid w:val="00301A8C"/>
    <w:rsid w:val="00301C26"/>
    <w:rsid w:val="00301F53"/>
    <w:rsid w:val="00303137"/>
    <w:rsid w:val="0030367C"/>
    <w:rsid w:val="00303E89"/>
    <w:rsid w:val="0030473A"/>
    <w:rsid w:val="00304C1A"/>
    <w:rsid w:val="00304F6E"/>
    <w:rsid w:val="00305383"/>
    <w:rsid w:val="003073EF"/>
    <w:rsid w:val="00307DEF"/>
    <w:rsid w:val="0031004D"/>
    <w:rsid w:val="00310365"/>
    <w:rsid w:val="00310EE8"/>
    <w:rsid w:val="00310F00"/>
    <w:rsid w:val="003114D1"/>
    <w:rsid w:val="00311E43"/>
    <w:rsid w:val="0031236E"/>
    <w:rsid w:val="0031259B"/>
    <w:rsid w:val="00313B3A"/>
    <w:rsid w:val="003148A3"/>
    <w:rsid w:val="00314BA0"/>
    <w:rsid w:val="00314D98"/>
    <w:rsid w:val="0031539B"/>
    <w:rsid w:val="00315BBA"/>
    <w:rsid w:val="00316395"/>
    <w:rsid w:val="0031686A"/>
    <w:rsid w:val="00316B9F"/>
    <w:rsid w:val="0031731B"/>
    <w:rsid w:val="00317878"/>
    <w:rsid w:val="003223B4"/>
    <w:rsid w:val="00322EE9"/>
    <w:rsid w:val="00322F4D"/>
    <w:rsid w:val="0032430F"/>
    <w:rsid w:val="003246B6"/>
    <w:rsid w:val="00324A39"/>
    <w:rsid w:val="00325539"/>
    <w:rsid w:val="00325D73"/>
    <w:rsid w:val="00326BC8"/>
    <w:rsid w:val="00327C77"/>
    <w:rsid w:val="00331E37"/>
    <w:rsid w:val="0033226C"/>
    <w:rsid w:val="00332312"/>
    <w:rsid w:val="003324CB"/>
    <w:rsid w:val="00332D41"/>
    <w:rsid w:val="0033339E"/>
    <w:rsid w:val="00336A63"/>
    <w:rsid w:val="00336E61"/>
    <w:rsid w:val="0033763C"/>
    <w:rsid w:val="00340906"/>
    <w:rsid w:val="00340C31"/>
    <w:rsid w:val="00341A57"/>
    <w:rsid w:val="0034259C"/>
    <w:rsid w:val="00342D0D"/>
    <w:rsid w:val="00342E89"/>
    <w:rsid w:val="00344639"/>
    <w:rsid w:val="003446CF"/>
    <w:rsid w:val="003455D3"/>
    <w:rsid w:val="0034586B"/>
    <w:rsid w:val="0034597E"/>
    <w:rsid w:val="00345A9A"/>
    <w:rsid w:val="00345C36"/>
    <w:rsid w:val="00346C47"/>
    <w:rsid w:val="00346F4C"/>
    <w:rsid w:val="0034712E"/>
    <w:rsid w:val="0034773A"/>
    <w:rsid w:val="003508AB"/>
    <w:rsid w:val="003508C6"/>
    <w:rsid w:val="0035235B"/>
    <w:rsid w:val="003523D9"/>
    <w:rsid w:val="00352EBC"/>
    <w:rsid w:val="00353B46"/>
    <w:rsid w:val="003544FB"/>
    <w:rsid w:val="003546CE"/>
    <w:rsid w:val="00354888"/>
    <w:rsid w:val="00354EC0"/>
    <w:rsid w:val="003559A7"/>
    <w:rsid w:val="003563FA"/>
    <w:rsid w:val="003571CB"/>
    <w:rsid w:val="003576AF"/>
    <w:rsid w:val="00360083"/>
    <w:rsid w:val="00360727"/>
    <w:rsid w:val="00360D25"/>
    <w:rsid w:val="00360FBA"/>
    <w:rsid w:val="00361784"/>
    <w:rsid w:val="00361802"/>
    <w:rsid w:val="00361DA5"/>
    <w:rsid w:val="0036214B"/>
    <w:rsid w:val="003624C1"/>
    <w:rsid w:val="00362F10"/>
    <w:rsid w:val="003633BA"/>
    <w:rsid w:val="00363818"/>
    <w:rsid w:val="003638BC"/>
    <w:rsid w:val="00363F4C"/>
    <w:rsid w:val="0036417A"/>
    <w:rsid w:val="00364195"/>
    <w:rsid w:val="003646A1"/>
    <w:rsid w:val="00365E1E"/>
    <w:rsid w:val="00367371"/>
    <w:rsid w:val="003674AC"/>
    <w:rsid w:val="0036763B"/>
    <w:rsid w:val="003705D5"/>
    <w:rsid w:val="00370869"/>
    <w:rsid w:val="00371AEE"/>
    <w:rsid w:val="00372365"/>
    <w:rsid w:val="00372C61"/>
    <w:rsid w:val="003740BB"/>
    <w:rsid w:val="0037529B"/>
    <w:rsid w:val="00375664"/>
    <w:rsid w:val="00375C16"/>
    <w:rsid w:val="00376445"/>
    <w:rsid w:val="0037714E"/>
    <w:rsid w:val="0037722B"/>
    <w:rsid w:val="00377496"/>
    <w:rsid w:val="003775D7"/>
    <w:rsid w:val="0037779B"/>
    <w:rsid w:val="0038029E"/>
    <w:rsid w:val="00380423"/>
    <w:rsid w:val="00380457"/>
    <w:rsid w:val="003807AF"/>
    <w:rsid w:val="00381E63"/>
    <w:rsid w:val="00384242"/>
    <w:rsid w:val="003844BD"/>
    <w:rsid w:val="00384D48"/>
    <w:rsid w:val="003850C1"/>
    <w:rsid w:val="003852AB"/>
    <w:rsid w:val="0038780B"/>
    <w:rsid w:val="00387C9B"/>
    <w:rsid w:val="00387DFC"/>
    <w:rsid w:val="00387FB3"/>
    <w:rsid w:val="003910E1"/>
    <w:rsid w:val="00391D3B"/>
    <w:rsid w:val="00392CE0"/>
    <w:rsid w:val="003940EF"/>
    <w:rsid w:val="003970AD"/>
    <w:rsid w:val="003971BB"/>
    <w:rsid w:val="003971D8"/>
    <w:rsid w:val="003A05F9"/>
    <w:rsid w:val="003A0C0D"/>
    <w:rsid w:val="003A0F18"/>
    <w:rsid w:val="003A1A98"/>
    <w:rsid w:val="003A1E00"/>
    <w:rsid w:val="003A3595"/>
    <w:rsid w:val="003A35DC"/>
    <w:rsid w:val="003A3CFB"/>
    <w:rsid w:val="003A4060"/>
    <w:rsid w:val="003A40BA"/>
    <w:rsid w:val="003A4E66"/>
    <w:rsid w:val="003A60B9"/>
    <w:rsid w:val="003A690E"/>
    <w:rsid w:val="003A7049"/>
    <w:rsid w:val="003B033E"/>
    <w:rsid w:val="003B0473"/>
    <w:rsid w:val="003B1F99"/>
    <w:rsid w:val="003B23F5"/>
    <w:rsid w:val="003B4601"/>
    <w:rsid w:val="003B4668"/>
    <w:rsid w:val="003B648B"/>
    <w:rsid w:val="003B64CC"/>
    <w:rsid w:val="003B78C6"/>
    <w:rsid w:val="003C07DB"/>
    <w:rsid w:val="003C0A28"/>
    <w:rsid w:val="003C19EC"/>
    <w:rsid w:val="003C1C45"/>
    <w:rsid w:val="003C1CF7"/>
    <w:rsid w:val="003C1D2E"/>
    <w:rsid w:val="003C1F5F"/>
    <w:rsid w:val="003C2E08"/>
    <w:rsid w:val="003C6772"/>
    <w:rsid w:val="003C79E9"/>
    <w:rsid w:val="003C7B5F"/>
    <w:rsid w:val="003D003C"/>
    <w:rsid w:val="003D0283"/>
    <w:rsid w:val="003D032C"/>
    <w:rsid w:val="003D1640"/>
    <w:rsid w:val="003D2194"/>
    <w:rsid w:val="003D25ED"/>
    <w:rsid w:val="003D304B"/>
    <w:rsid w:val="003D308F"/>
    <w:rsid w:val="003D3E89"/>
    <w:rsid w:val="003D3FDE"/>
    <w:rsid w:val="003D6513"/>
    <w:rsid w:val="003D6C00"/>
    <w:rsid w:val="003E3DB9"/>
    <w:rsid w:val="003E5B45"/>
    <w:rsid w:val="003E5CDF"/>
    <w:rsid w:val="003E6AE5"/>
    <w:rsid w:val="003F0332"/>
    <w:rsid w:val="003F0FEC"/>
    <w:rsid w:val="003F17E6"/>
    <w:rsid w:val="003F1FAC"/>
    <w:rsid w:val="003F224C"/>
    <w:rsid w:val="003F26E8"/>
    <w:rsid w:val="003F2A3E"/>
    <w:rsid w:val="003F2FF5"/>
    <w:rsid w:val="003F4339"/>
    <w:rsid w:val="003F4E9E"/>
    <w:rsid w:val="003F51BA"/>
    <w:rsid w:val="003F5745"/>
    <w:rsid w:val="003F707C"/>
    <w:rsid w:val="003F7446"/>
    <w:rsid w:val="003F7872"/>
    <w:rsid w:val="003F7A43"/>
    <w:rsid w:val="004004A2"/>
    <w:rsid w:val="00400E72"/>
    <w:rsid w:val="004016FA"/>
    <w:rsid w:val="00402296"/>
    <w:rsid w:val="00403581"/>
    <w:rsid w:val="004037F5"/>
    <w:rsid w:val="004045E0"/>
    <w:rsid w:val="0040532C"/>
    <w:rsid w:val="004057EA"/>
    <w:rsid w:val="0040661D"/>
    <w:rsid w:val="00411327"/>
    <w:rsid w:val="00412176"/>
    <w:rsid w:val="004124F5"/>
    <w:rsid w:val="00412DF2"/>
    <w:rsid w:val="00412EB4"/>
    <w:rsid w:val="004133DC"/>
    <w:rsid w:val="0041489B"/>
    <w:rsid w:val="00414D55"/>
    <w:rsid w:val="00416785"/>
    <w:rsid w:val="00416B4E"/>
    <w:rsid w:val="00417267"/>
    <w:rsid w:val="00417497"/>
    <w:rsid w:val="0042072D"/>
    <w:rsid w:val="00420DBD"/>
    <w:rsid w:val="00421812"/>
    <w:rsid w:val="0042212E"/>
    <w:rsid w:val="00422C5F"/>
    <w:rsid w:val="004232D6"/>
    <w:rsid w:val="00423525"/>
    <w:rsid w:val="0042366C"/>
    <w:rsid w:val="00423FD9"/>
    <w:rsid w:val="004242F4"/>
    <w:rsid w:val="00424586"/>
    <w:rsid w:val="00424AFE"/>
    <w:rsid w:val="004251A1"/>
    <w:rsid w:val="00425227"/>
    <w:rsid w:val="0042547F"/>
    <w:rsid w:val="00426651"/>
    <w:rsid w:val="00427314"/>
    <w:rsid w:val="004300DD"/>
    <w:rsid w:val="0043050D"/>
    <w:rsid w:val="004334C1"/>
    <w:rsid w:val="00434400"/>
    <w:rsid w:val="00434E65"/>
    <w:rsid w:val="00434E98"/>
    <w:rsid w:val="00435354"/>
    <w:rsid w:val="00437725"/>
    <w:rsid w:val="004401A6"/>
    <w:rsid w:val="00441B76"/>
    <w:rsid w:val="00442392"/>
    <w:rsid w:val="004423CE"/>
    <w:rsid w:val="004433BF"/>
    <w:rsid w:val="0044373E"/>
    <w:rsid w:val="00443AD2"/>
    <w:rsid w:val="00444791"/>
    <w:rsid w:val="00444842"/>
    <w:rsid w:val="004449D5"/>
    <w:rsid w:val="00444AB2"/>
    <w:rsid w:val="00444F17"/>
    <w:rsid w:val="0044605F"/>
    <w:rsid w:val="0045026D"/>
    <w:rsid w:val="00450C67"/>
    <w:rsid w:val="00450D24"/>
    <w:rsid w:val="00450EF3"/>
    <w:rsid w:val="004520E1"/>
    <w:rsid w:val="0045250D"/>
    <w:rsid w:val="00452B67"/>
    <w:rsid w:val="00452C1D"/>
    <w:rsid w:val="00452FDC"/>
    <w:rsid w:val="00455097"/>
    <w:rsid w:val="00455309"/>
    <w:rsid w:val="00455747"/>
    <w:rsid w:val="00455BAF"/>
    <w:rsid w:val="00456EE4"/>
    <w:rsid w:val="0045743F"/>
    <w:rsid w:val="0046069A"/>
    <w:rsid w:val="00460BB0"/>
    <w:rsid w:val="00460D69"/>
    <w:rsid w:val="0046147C"/>
    <w:rsid w:val="0046147E"/>
    <w:rsid w:val="00461A15"/>
    <w:rsid w:val="00462396"/>
    <w:rsid w:val="004639DF"/>
    <w:rsid w:val="00463DB2"/>
    <w:rsid w:val="00463FB8"/>
    <w:rsid w:val="00464760"/>
    <w:rsid w:val="00464761"/>
    <w:rsid w:val="0046543D"/>
    <w:rsid w:val="0046603E"/>
    <w:rsid w:val="004670AB"/>
    <w:rsid w:val="00471142"/>
    <w:rsid w:val="004711AF"/>
    <w:rsid w:val="00471491"/>
    <w:rsid w:val="0047176D"/>
    <w:rsid w:val="004718BB"/>
    <w:rsid w:val="004722A2"/>
    <w:rsid w:val="00472B75"/>
    <w:rsid w:val="0047382A"/>
    <w:rsid w:val="00473AE6"/>
    <w:rsid w:val="00473AF8"/>
    <w:rsid w:val="00473C1C"/>
    <w:rsid w:val="004744E3"/>
    <w:rsid w:val="0047492B"/>
    <w:rsid w:val="00474A16"/>
    <w:rsid w:val="00476170"/>
    <w:rsid w:val="0047665B"/>
    <w:rsid w:val="00476D35"/>
    <w:rsid w:val="0048116A"/>
    <w:rsid w:val="004811E4"/>
    <w:rsid w:val="00481F2B"/>
    <w:rsid w:val="00481FEC"/>
    <w:rsid w:val="00482B43"/>
    <w:rsid w:val="00483C8B"/>
    <w:rsid w:val="00483E1B"/>
    <w:rsid w:val="004840EC"/>
    <w:rsid w:val="004840F7"/>
    <w:rsid w:val="004847DF"/>
    <w:rsid w:val="00484DCF"/>
    <w:rsid w:val="00485674"/>
    <w:rsid w:val="00485C55"/>
    <w:rsid w:val="00485DC6"/>
    <w:rsid w:val="004861EA"/>
    <w:rsid w:val="004876C8"/>
    <w:rsid w:val="00490036"/>
    <w:rsid w:val="00491082"/>
    <w:rsid w:val="00491181"/>
    <w:rsid w:val="00491B48"/>
    <w:rsid w:val="004933FE"/>
    <w:rsid w:val="00493D29"/>
    <w:rsid w:val="00493E74"/>
    <w:rsid w:val="00493EB1"/>
    <w:rsid w:val="0049492E"/>
    <w:rsid w:val="00495525"/>
    <w:rsid w:val="00495C6B"/>
    <w:rsid w:val="004971E0"/>
    <w:rsid w:val="004A0926"/>
    <w:rsid w:val="004A1DA2"/>
    <w:rsid w:val="004A2B24"/>
    <w:rsid w:val="004A2F08"/>
    <w:rsid w:val="004A2F78"/>
    <w:rsid w:val="004A3186"/>
    <w:rsid w:val="004A3E37"/>
    <w:rsid w:val="004A5B80"/>
    <w:rsid w:val="004A628E"/>
    <w:rsid w:val="004A6ACE"/>
    <w:rsid w:val="004A6EDE"/>
    <w:rsid w:val="004B0537"/>
    <w:rsid w:val="004B1371"/>
    <w:rsid w:val="004B138B"/>
    <w:rsid w:val="004B13D9"/>
    <w:rsid w:val="004B1BCA"/>
    <w:rsid w:val="004B1C79"/>
    <w:rsid w:val="004B1FC1"/>
    <w:rsid w:val="004B2078"/>
    <w:rsid w:val="004B2C99"/>
    <w:rsid w:val="004B3D3E"/>
    <w:rsid w:val="004B41C4"/>
    <w:rsid w:val="004B4F06"/>
    <w:rsid w:val="004B4FF4"/>
    <w:rsid w:val="004B5028"/>
    <w:rsid w:val="004B5E1B"/>
    <w:rsid w:val="004B71F2"/>
    <w:rsid w:val="004C14AC"/>
    <w:rsid w:val="004C1508"/>
    <w:rsid w:val="004C1892"/>
    <w:rsid w:val="004C1D06"/>
    <w:rsid w:val="004C1F4F"/>
    <w:rsid w:val="004C2706"/>
    <w:rsid w:val="004C2A44"/>
    <w:rsid w:val="004C2B24"/>
    <w:rsid w:val="004C3772"/>
    <w:rsid w:val="004C3A5D"/>
    <w:rsid w:val="004C40BE"/>
    <w:rsid w:val="004C43B0"/>
    <w:rsid w:val="004C45D1"/>
    <w:rsid w:val="004C681F"/>
    <w:rsid w:val="004C6AAB"/>
    <w:rsid w:val="004C6F65"/>
    <w:rsid w:val="004C7296"/>
    <w:rsid w:val="004C72C9"/>
    <w:rsid w:val="004C7859"/>
    <w:rsid w:val="004C7EE8"/>
    <w:rsid w:val="004D081C"/>
    <w:rsid w:val="004D08CF"/>
    <w:rsid w:val="004D1269"/>
    <w:rsid w:val="004D1393"/>
    <w:rsid w:val="004D1815"/>
    <w:rsid w:val="004D1856"/>
    <w:rsid w:val="004D195E"/>
    <w:rsid w:val="004D2488"/>
    <w:rsid w:val="004D3210"/>
    <w:rsid w:val="004D3963"/>
    <w:rsid w:val="004D4066"/>
    <w:rsid w:val="004D43C4"/>
    <w:rsid w:val="004D5274"/>
    <w:rsid w:val="004D5CA0"/>
    <w:rsid w:val="004D70BF"/>
    <w:rsid w:val="004D7A3A"/>
    <w:rsid w:val="004E006D"/>
    <w:rsid w:val="004E01BA"/>
    <w:rsid w:val="004E0A2B"/>
    <w:rsid w:val="004E1BC9"/>
    <w:rsid w:val="004E202C"/>
    <w:rsid w:val="004E2160"/>
    <w:rsid w:val="004E286B"/>
    <w:rsid w:val="004E2FBF"/>
    <w:rsid w:val="004E34F9"/>
    <w:rsid w:val="004E474D"/>
    <w:rsid w:val="004E5760"/>
    <w:rsid w:val="004E680D"/>
    <w:rsid w:val="004F145D"/>
    <w:rsid w:val="004F1FB0"/>
    <w:rsid w:val="004F2F51"/>
    <w:rsid w:val="004F34E3"/>
    <w:rsid w:val="004F41F9"/>
    <w:rsid w:val="004F4566"/>
    <w:rsid w:val="004F53EE"/>
    <w:rsid w:val="004F54EC"/>
    <w:rsid w:val="004F58C8"/>
    <w:rsid w:val="004F619A"/>
    <w:rsid w:val="004F666C"/>
    <w:rsid w:val="00500E5D"/>
    <w:rsid w:val="00500F08"/>
    <w:rsid w:val="0050189B"/>
    <w:rsid w:val="00501AE3"/>
    <w:rsid w:val="00501BFB"/>
    <w:rsid w:val="00501C05"/>
    <w:rsid w:val="00502A9C"/>
    <w:rsid w:val="005035AD"/>
    <w:rsid w:val="0050421B"/>
    <w:rsid w:val="00505664"/>
    <w:rsid w:val="005067B4"/>
    <w:rsid w:val="00506F6E"/>
    <w:rsid w:val="00506FC5"/>
    <w:rsid w:val="00507549"/>
    <w:rsid w:val="00507EEC"/>
    <w:rsid w:val="0051065C"/>
    <w:rsid w:val="00510AC9"/>
    <w:rsid w:val="005112C7"/>
    <w:rsid w:val="00511827"/>
    <w:rsid w:val="00512A93"/>
    <w:rsid w:val="005133A2"/>
    <w:rsid w:val="00513BAA"/>
    <w:rsid w:val="00513DB6"/>
    <w:rsid w:val="005144A0"/>
    <w:rsid w:val="00514A11"/>
    <w:rsid w:val="00514A71"/>
    <w:rsid w:val="005159DB"/>
    <w:rsid w:val="00515CCB"/>
    <w:rsid w:val="00516BB5"/>
    <w:rsid w:val="00520478"/>
    <w:rsid w:val="00520DD4"/>
    <w:rsid w:val="0052114F"/>
    <w:rsid w:val="00521607"/>
    <w:rsid w:val="0052192F"/>
    <w:rsid w:val="0052225C"/>
    <w:rsid w:val="0052255A"/>
    <w:rsid w:val="005226AE"/>
    <w:rsid w:val="00522EA5"/>
    <w:rsid w:val="00522F9A"/>
    <w:rsid w:val="00523068"/>
    <w:rsid w:val="005234A7"/>
    <w:rsid w:val="00523F63"/>
    <w:rsid w:val="005241D6"/>
    <w:rsid w:val="005247AD"/>
    <w:rsid w:val="00524EF9"/>
    <w:rsid w:val="0052688A"/>
    <w:rsid w:val="00526F49"/>
    <w:rsid w:val="005276E1"/>
    <w:rsid w:val="00530B6F"/>
    <w:rsid w:val="0053105A"/>
    <w:rsid w:val="00531FAB"/>
    <w:rsid w:val="005326E2"/>
    <w:rsid w:val="00532BAE"/>
    <w:rsid w:val="005336F2"/>
    <w:rsid w:val="00533AA9"/>
    <w:rsid w:val="00533FCB"/>
    <w:rsid w:val="005340B4"/>
    <w:rsid w:val="00534285"/>
    <w:rsid w:val="005343BD"/>
    <w:rsid w:val="005343F3"/>
    <w:rsid w:val="0053591D"/>
    <w:rsid w:val="00535D72"/>
    <w:rsid w:val="00535E29"/>
    <w:rsid w:val="005372B8"/>
    <w:rsid w:val="00537428"/>
    <w:rsid w:val="00537F8C"/>
    <w:rsid w:val="00540353"/>
    <w:rsid w:val="00542460"/>
    <w:rsid w:val="00542B3D"/>
    <w:rsid w:val="00542DF5"/>
    <w:rsid w:val="00543036"/>
    <w:rsid w:val="00543D05"/>
    <w:rsid w:val="00544B2F"/>
    <w:rsid w:val="00544DD8"/>
    <w:rsid w:val="00545425"/>
    <w:rsid w:val="00546303"/>
    <w:rsid w:val="0054639F"/>
    <w:rsid w:val="00546F11"/>
    <w:rsid w:val="0055017E"/>
    <w:rsid w:val="00550430"/>
    <w:rsid w:val="005543BB"/>
    <w:rsid w:val="00554A3D"/>
    <w:rsid w:val="00554A90"/>
    <w:rsid w:val="00555153"/>
    <w:rsid w:val="0055525A"/>
    <w:rsid w:val="00555B37"/>
    <w:rsid w:val="0055631B"/>
    <w:rsid w:val="00556901"/>
    <w:rsid w:val="0055695D"/>
    <w:rsid w:val="005569F2"/>
    <w:rsid w:val="00556AB8"/>
    <w:rsid w:val="0055748E"/>
    <w:rsid w:val="00557CF8"/>
    <w:rsid w:val="00561479"/>
    <w:rsid w:val="00561DE6"/>
    <w:rsid w:val="00562410"/>
    <w:rsid w:val="00562517"/>
    <w:rsid w:val="00564225"/>
    <w:rsid w:val="00564BAB"/>
    <w:rsid w:val="005653BC"/>
    <w:rsid w:val="00565A54"/>
    <w:rsid w:val="00565AD4"/>
    <w:rsid w:val="0056663A"/>
    <w:rsid w:val="00566C96"/>
    <w:rsid w:val="005701B7"/>
    <w:rsid w:val="00570A7D"/>
    <w:rsid w:val="00570CF3"/>
    <w:rsid w:val="00571180"/>
    <w:rsid w:val="00571BF8"/>
    <w:rsid w:val="00571C27"/>
    <w:rsid w:val="00571FA2"/>
    <w:rsid w:val="0057357E"/>
    <w:rsid w:val="00573FFC"/>
    <w:rsid w:val="005748F1"/>
    <w:rsid w:val="00574F2B"/>
    <w:rsid w:val="00575397"/>
    <w:rsid w:val="0057628E"/>
    <w:rsid w:val="005770D8"/>
    <w:rsid w:val="005778FF"/>
    <w:rsid w:val="005807B2"/>
    <w:rsid w:val="00580B2E"/>
    <w:rsid w:val="00581977"/>
    <w:rsid w:val="0058213D"/>
    <w:rsid w:val="0058492C"/>
    <w:rsid w:val="00584D71"/>
    <w:rsid w:val="00584D9A"/>
    <w:rsid w:val="00584FE1"/>
    <w:rsid w:val="00585BCE"/>
    <w:rsid w:val="00586F5A"/>
    <w:rsid w:val="0058763D"/>
    <w:rsid w:val="005902B3"/>
    <w:rsid w:val="00590463"/>
    <w:rsid w:val="005908C3"/>
    <w:rsid w:val="00590E92"/>
    <w:rsid w:val="005913EB"/>
    <w:rsid w:val="005916C7"/>
    <w:rsid w:val="0059171A"/>
    <w:rsid w:val="00591C76"/>
    <w:rsid w:val="00595B63"/>
    <w:rsid w:val="005965B2"/>
    <w:rsid w:val="00596A26"/>
    <w:rsid w:val="00596EDE"/>
    <w:rsid w:val="00597375"/>
    <w:rsid w:val="00597869"/>
    <w:rsid w:val="00597B29"/>
    <w:rsid w:val="00597EDF"/>
    <w:rsid w:val="005A0034"/>
    <w:rsid w:val="005A100A"/>
    <w:rsid w:val="005A1469"/>
    <w:rsid w:val="005A18FD"/>
    <w:rsid w:val="005A1B7B"/>
    <w:rsid w:val="005A2BB2"/>
    <w:rsid w:val="005A2E47"/>
    <w:rsid w:val="005A5108"/>
    <w:rsid w:val="005A5724"/>
    <w:rsid w:val="005A6166"/>
    <w:rsid w:val="005A6C1A"/>
    <w:rsid w:val="005A7A34"/>
    <w:rsid w:val="005A7FAE"/>
    <w:rsid w:val="005B092D"/>
    <w:rsid w:val="005B0B4E"/>
    <w:rsid w:val="005B0CD9"/>
    <w:rsid w:val="005B0F8E"/>
    <w:rsid w:val="005B184C"/>
    <w:rsid w:val="005B2278"/>
    <w:rsid w:val="005B2434"/>
    <w:rsid w:val="005B3E98"/>
    <w:rsid w:val="005B4483"/>
    <w:rsid w:val="005B4513"/>
    <w:rsid w:val="005B4982"/>
    <w:rsid w:val="005B4F2E"/>
    <w:rsid w:val="005B523B"/>
    <w:rsid w:val="005B5DB8"/>
    <w:rsid w:val="005B6DEB"/>
    <w:rsid w:val="005B7B55"/>
    <w:rsid w:val="005C05F6"/>
    <w:rsid w:val="005C0F65"/>
    <w:rsid w:val="005C175C"/>
    <w:rsid w:val="005C2439"/>
    <w:rsid w:val="005C271F"/>
    <w:rsid w:val="005C2C49"/>
    <w:rsid w:val="005C2D7E"/>
    <w:rsid w:val="005C3BD2"/>
    <w:rsid w:val="005C4263"/>
    <w:rsid w:val="005C42AF"/>
    <w:rsid w:val="005C441B"/>
    <w:rsid w:val="005C4A43"/>
    <w:rsid w:val="005C4C60"/>
    <w:rsid w:val="005C4EC3"/>
    <w:rsid w:val="005C632A"/>
    <w:rsid w:val="005C6437"/>
    <w:rsid w:val="005C6657"/>
    <w:rsid w:val="005D04D8"/>
    <w:rsid w:val="005D07D8"/>
    <w:rsid w:val="005D1149"/>
    <w:rsid w:val="005D1200"/>
    <w:rsid w:val="005D1BDC"/>
    <w:rsid w:val="005D22EB"/>
    <w:rsid w:val="005D266C"/>
    <w:rsid w:val="005D2CFF"/>
    <w:rsid w:val="005D37C1"/>
    <w:rsid w:val="005D4287"/>
    <w:rsid w:val="005D4885"/>
    <w:rsid w:val="005D498F"/>
    <w:rsid w:val="005D5CDD"/>
    <w:rsid w:val="005D6E30"/>
    <w:rsid w:val="005D7D2F"/>
    <w:rsid w:val="005E0FCC"/>
    <w:rsid w:val="005E1437"/>
    <w:rsid w:val="005E1D57"/>
    <w:rsid w:val="005E1E8B"/>
    <w:rsid w:val="005E333B"/>
    <w:rsid w:val="005E407A"/>
    <w:rsid w:val="005E6AAB"/>
    <w:rsid w:val="005E7BCC"/>
    <w:rsid w:val="005E7C8A"/>
    <w:rsid w:val="005F06AE"/>
    <w:rsid w:val="005F1968"/>
    <w:rsid w:val="005F1C06"/>
    <w:rsid w:val="005F35F6"/>
    <w:rsid w:val="005F3A09"/>
    <w:rsid w:val="005F4D95"/>
    <w:rsid w:val="005F59E4"/>
    <w:rsid w:val="005F6693"/>
    <w:rsid w:val="005F766F"/>
    <w:rsid w:val="005F7B5D"/>
    <w:rsid w:val="006019AF"/>
    <w:rsid w:val="00601F72"/>
    <w:rsid w:val="00602822"/>
    <w:rsid w:val="00602856"/>
    <w:rsid w:val="00602CA1"/>
    <w:rsid w:val="00605591"/>
    <w:rsid w:val="00605976"/>
    <w:rsid w:val="00605A95"/>
    <w:rsid w:val="00605AD5"/>
    <w:rsid w:val="00606E2C"/>
    <w:rsid w:val="00606FF3"/>
    <w:rsid w:val="00611041"/>
    <w:rsid w:val="00611BDE"/>
    <w:rsid w:val="00611CF7"/>
    <w:rsid w:val="0061269B"/>
    <w:rsid w:val="0061292F"/>
    <w:rsid w:val="00612B35"/>
    <w:rsid w:val="00613831"/>
    <w:rsid w:val="00615C38"/>
    <w:rsid w:val="00615ECE"/>
    <w:rsid w:val="006162B8"/>
    <w:rsid w:val="00616826"/>
    <w:rsid w:val="00616A6B"/>
    <w:rsid w:val="00616AB8"/>
    <w:rsid w:val="00616FA6"/>
    <w:rsid w:val="00617688"/>
    <w:rsid w:val="00617D5C"/>
    <w:rsid w:val="0062216F"/>
    <w:rsid w:val="00622AAD"/>
    <w:rsid w:val="0062446E"/>
    <w:rsid w:val="00624615"/>
    <w:rsid w:val="00624C73"/>
    <w:rsid w:val="0062584A"/>
    <w:rsid w:val="00626414"/>
    <w:rsid w:val="006272BF"/>
    <w:rsid w:val="00627D8B"/>
    <w:rsid w:val="00627E0D"/>
    <w:rsid w:val="006302A4"/>
    <w:rsid w:val="00630DA3"/>
    <w:rsid w:val="006317D6"/>
    <w:rsid w:val="00631AB7"/>
    <w:rsid w:val="00632BE4"/>
    <w:rsid w:val="0063482B"/>
    <w:rsid w:val="006360BC"/>
    <w:rsid w:val="0063697D"/>
    <w:rsid w:val="00637021"/>
    <w:rsid w:val="00637395"/>
    <w:rsid w:val="0063755D"/>
    <w:rsid w:val="0063779E"/>
    <w:rsid w:val="006377CA"/>
    <w:rsid w:val="0064253B"/>
    <w:rsid w:val="006435E7"/>
    <w:rsid w:val="00643900"/>
    <w:rsid w:val="006446CD"/>
    <w:rsid w:val="006452F0"/>
    <w:rsid w:val="00645BAF"/>
    <w:rsid w:val="00645BE4"/>
    <w:rsid w:val="006460DC"/>
    <w:rsid w:val="00646941"/>
    <w:rsid w:val="00646B0E"/>
    <w:rsid w:val="00647415"/>
    <w:rsid w:val="00647D9E"/>
    <w:rsid w:val="006503CA"/>
    <w:rsid w:val="006506AB"/>
    <w:rsid w:val="006509F6"/>
    <w:rsid w:val="006511CD"/>
    <w:rsid w:val="00652410"/>
    <w:rsid w:val="00652C15"/>
    <w:rsid w:val="00653CB9"/>
    <w:rsid w:val="006545B2"/>
    <w:rsid w:val="006547D8"/>
    <w:rsid w:val="00655874"/>
    <w:rsid w:val="00656144"/>
    <w:rsid w:val="00656760"/>
    <w:rsid w:val="00660416"/>
    <w:rsid w:val="006608BA"/>
    <w:rsid w:val="00660A73"/>
    <w:rsid w:val="00660B98"/>
    <w:rsid w:val="006623E8"/>
    <w:rsid w:val="00663850"/>
    <w:rsid w:val="00663B2F"/>
    <w:rsid w:val="00663E32"/>
    <w:rsid w:val="00664551"/>
    <w:rsid w:val="00664BBE"/>
    <w:rsid w:val="006656A7"/>
    <w:rsid w:val="0066616D"/>
    <w:rsid w:val="00666478"/>
    <w:rsid w:val="00666AC5"/>
    <w:rsid w:val="00666C51"/>
    <w:rsid w:val="00667209"/>
    <w:rsid w:val="00667DF7"/>
    <w:rsid w:val="006740A8"/>
    <w:rsid w:val="00674AF5"/>
    <w:rsid w:val="00675050"/>
    <w:rsid w:val="00675154"/>
    <w:rsid w:val="0067674E"/>
    <w:rsid w:val="006772D8"/>
    <w:rsid w:val="00677667"/>
    <w:rsid w:val="00680622"/>
    <w:rsid w:val="00681919"/>
    <w:rsid w:val="00682356"/>
    <w:rsid w:val="006823DC"/>
    <w:rsid w:val="00682689"/>
    <w:rsid w:val="00682F79"/>
    <w:rsid w:val="00682FC7"/>
    <w:rsid w:val="00683532"/>
    <w:rsid w:val="00683969"/>
    <w:rsid w:val="00684573"/>
    <w:rsid w:val="00685013"/>
    <w:rsid w:val="00686125"/>
    <w:rsid w:val="00686185"/>
    <w:rsid w:val="0068675C"/>
    <w:rsid w:val="00686D48"/>
    <w:rsid w:val="00690B1B"/>
    <w:rsid w:val="00690D48"/>
    <w:rsid w:val="00692A7F"/>
    <w:rsid w:val="00693997"/>
    <w:rsid w:val="00694074"/>
    <w:rsid w:val="00694696"/>
    <w:rsid w:val="006948F4"/>
    <w:rsid w:val="00696532"/>
    <w:rsid w:val="00696C49"/>
    <w:rsid w:val="00697057"/>
    <w:rsid w:val="006970C3"/>
    <w:rsid w:val="006972CA"/>
    <w:rsid w:val="00697B40"/>
    <w:rsid w:val="006A0426"/>
    <w:rsid w:val="006A1BEB"/>
    <w:rsid w:val="006A2724"/>
    <w:rsid w:val="006A34DE"/>
    <w:rsid w:val="006A4CAF"/>
    <w:rsid w:val="006A4D24"/>
    <w:rsid w:val="006A4FE9"/>
    <w:rsid w:val="006A5137"/>
    <w:rsid w:val="006A5D26"/>
    <w:rsid w:val="006A622D"/>
    <w:rsid w:val="006A6764"/>
    <w:rsid w:val="006A6E0F"/>
    <w:rsid w:val="006A7912"/>
    <w:rsid w:val="006A7DE0"/>
    <w:rsid w:val="006A7E40"/>
    <w:rsid w:val="006B0030"/>
    <w:rsid w:val="006B01F9"/>
    <w:rsid w:val="006B0407"/>
    <w:rsid w:val="006B0439"/>
    <w:rsid w:val="006B1957"/>
    <w:rsid w:val="006B248B"/>
    <w:rsid w:val="006B36A0"/>
    <w:rsid w:val="006B52B8"/>
    <w:rsid w:val="006B5F62"/>
    <w:rsid w:val="006B7436"/>
    <w:rsid w:val="006C0648"/>
    <w:rsid w:val="006C17F0"/>
    <w:rsid w:val="006C1EA0"/>
    <w:rsid w:val="006C21D0"/>
    <w:rsid w:val="006C3C71"/>
    <w:rsid w:val="006C4139"/>
    <w:rsid w:val="006C447B"/>
    <w:rsid w:val="006C54D4"/>
    <w:rsid w:val="006C5737"/>
    <w:rsid w:val="006C5D1E"/>
    <w:rsid w:val="006C5F3E"/>
    <w:rsid w:val="006C7191"/>
    <w:rsid w:val="006D1703"/>
    <w:rsid w:val="006D2903"/>
    <w:rsid w:val="006D301B"/>
    <w:rsid w:val="006D315E"/>
    <w:rsid w:val="006D4033"/>
    <w:rsid w:val="006D454D"/>
    <w:rsid w:val="006D4CAA"/>
    <w:rsid w:val="006D511C"/>
    <w:rsid w:val="006D5433"/>
    <w:rsid w:val="006D5969"/>
    <w:rsid w:val="006D5DAC"/>
    <w:rsid w:val="006D6551"/>
    <w:rsid w:val="006D6D4F"/>
    <w:rsid w:val="006D7C76"/>
    <w:rsid w:val="006E0CB4"/>
    <w:rsid w:val="006E1213"/>
    <w:rsid w:val="006E2C04"/>
    <w:rsid w:val="006E32C0"/>
    <w:rsid w:val="006E37D2"/>
    <w:rsid w:val="006E3E4F"/>
    <w:rsid w:val="006E429B"/>
    <w:rsid w:val="006E62AD"/>
    <w:rsid w:val="006E6701"/>
    <w:rsid w:val="006E72A1"/>
    <w:rsid w:val="006F0A68"/>
    <w:rsid w:val="006F0B07"/>
    <w:rsid w:val="006F175D"/>
    <w:rsid w:val="006F1985"/>
    <w:rsid w:val="006F1D7A"/>
    <w:rsid w:val="006F225C"/>
    <w:rsid w:val="006F317A"/>
    <w:rsid w:val="006F34A5"/>
    <w:rsid w:val="006F39EF"/>
    <w:rsid w:val="006F3A78"/>
    <w:rsid w:val="006F4061"/>
    <w:rsid w:val="006F4B1D"/>
    <w:rsid w:val="006F4F13"/>
    <w:rsid w:val="006F5CFB"/>
    <w:rsid w:val="006F6354"/>
    <w:rsid w:val="006F6543"/>
    <w:rsid w:val="006F6630"/>
    <w:rsid w:val="006F730E"/>
    <w:rsid w:val="006F73A3"/>
    <w:rsid w:val="00700759"/>
    <w:rsid w:val="00700D88"/>
    <w:rsid w:val="00701815"/>
    <w:rsid w:val="007019CF"/>
    <w:rsid w:val="0070230E"/>
    <w:rsid w:val="007027EF"/>
    <w:rsid w:val="00702882"/>
    <w:rsid w:val="007035D6"/>
    <w:rsid w:val="007065FE"/>
    <w:rsid w:val="00707873"/>
    <w:rsid w:val="00711130"/>
    <w:rsid w:val="00712A32"/>
    <w:rsid w:val="00712A8B"/>
    <w:rsid w:val="00713D48"/>
    <w:rsid w:val="00714209"/>
    <w:rsid w:val="0071465E"/>
    <w:rsid w:val="00715FC6"/>
    <w:rsid w:val="007169AE"/>
    <w:rsid w:val="00716D16"/>
    <w:rsid w:val="00716EB2"/>
    <w:rsid w:val="00717233"/>
    <w:rsid w:val="00717C44"/>
    <w:rsid w:val="007206E0"/>
    <w:rsid w:val="00720F19"/>
    <w:rsid w:val="00721302"/>
    <w:rsid w:val="007231BB"/>
    <w:rsid w:val="0072367D"/>
    <w:rsid w:val="0072368F"/>
    <w:rsid w:val="00724BBD"/>
    <w:rsid w:val="00724E7D"/>
    <w:rsid w:val="007254E4"/>
    <w:rsid w:val="00725DC3"/>
    <w:rsid w:val="00726272"/>
    <w:rsid w:val="00726A64"/>
    <w:rsid w:val="007270F7"/>
    <w:rsid w:val="007316DE"/>
    <w:rsid w:val="00731D02"/>
    <w:rsid w:val="00732697"/>
    <w:rsid w:val="00732C7E"/>
    <w:rsid w:val="00732ED9"/>
    <w:rsid w:val="00733785"/>
    <w:rsid w:val="00733E51"/>
    <w:rsid w:val="007343F8"/>
    <w:rsid w:val="00735BBA"/>
    <w:rsid w:val="007363EA"/>
    <w:rsid w:val="0073697C"/>
    <w:rsid w:val="00736EF7"/>
    <w:rsid w:val="00737D53"/>
    <w:rsid w:val="00741A82"/>
    <w:rsid w:val="00743886"/>
    <w:rsid w:val="00743A37"/>
    <w:rsid w:val="007446A6"/>
    <w:rsid w:val="0074546B"/>
    <w:rsid w:val="00745E25"/>
    <w:rsid w:val="00746623"/>
    <w:rsid w:val="007466B6"/>
    <w:rsid w:val="00746704"/>
    <w:rsid w:val="0074706D"/>
    <w:rsid w:val="00747A47"/>
    <w:rsid w:val="007510B0"/>
    <w:rsid w:val="00751E38"/>
    <w:rsid w:val="007522EB"/>
    <w:rsid w:val="00753C6B"/>
    <w:rsid w:val="00753D46"/>
    <w:rsid w:val="007542E6"/>
    <w:rsid w:val="007547EC"/>
    <w:rsid w:val="007552FC"/>
    <w:rsid w:val="00756C86"/>
    <w:rsid w:val="00756D63"/>
    <w:rsid w:val="0076052C"/>
    <w:rsid w:val="00760A90"/>
    <w:rsid w:val="00761413"/>
    <w:rsid w:val="007637E0"/>
    <w:rsid w:val="0076643A"/>
    <w:rsid w:val="00766C18"/>
    <w:rsid w:val="007676F9"/>
    <w:rsid w:val="00770CE0"/>
    <w:rsid w:val="0077336E"/>
    <w:rsid w:val="007735B7"/>
    <w:rsid w:val="00773B1B"/>
    <w:rsid w:val="00773B5B"/>
    <w:rsid w:val="007744A5"/>
    <w:rsid w:val="00775000"/>
    <w:rsid w:val="0077552B"/>
    <w:rsid w:val="00775CE3"/>
    <w:rsid w:val="00776DBB"/>
    <w:rsid w:val="00777462"/>
    <w:rsid w:val="00777642"/>
    <w:rsid w:val="0078034D"/>
    <w:rsid w:val="00780F83"/>
    <w:rsid w:val="00781372"/>
    <w:rsid w:val="00781ABB"/>
    <w:rsid w:val="00782ECF"/>
    <w:rsid w:val="00783026"/>
    <w:rsid w:val="00784589"/>
    <w:rsid w:val="0078472E"/>
    <w:rsid w:val="0078497A"/>
    <w:rsid w:val="00784FD8"/>
    <w:rsid w:val="00785A09"/>
    <w:rsid w:val="007867E0"/>
    <w:rsid w:val="00790D60"/>
    <w:rsid w:val="0079255F"/>
    <w:rsid w:val="00792ABF"/>
    <w:rsid w:val="00792CB3"/>
    <w:rsid w:val="00792E29"/>
    <w:rsid w:val="007930FD"/>
    <w:rsid w:val="007936E8"/>
    <w:rsid w:val="00794528"/>
    <w:rsid w:val="007954AC"/>
    <w:rsid w:val="0079593C"/>
    <w:rsid w:val="00795BD1"/>
    <w:rsid w:val="007964C3"/>
    <w:rsid w:val="00796D52"/>
    <w:rsid w:val="00796D9A"/>
    <w:rsid w:val="00796ECA"/>
    <w:rsid w:val="007A02CF"/>
    <w:rsid w:val="007A0609"/>
    <w:rsid w:val="007A2387"/>
    <w:rsid w:val="007A3104"/>
    <w:rsid w:val="007A3900"/>
    <w:rsid w:val="007A3A2C"/>
    <w:rsid w:val="007A3B6F"/>
    <w:rsid w:val="007A4F3F"/>
    <w:rsid w:val="007A63CA"/>
    <w:rsid w:val="007A63D9"/>
    <w:rsid w:val="007A7867"/>
    <w:rsid w:val="007A7B33"/>
    <w:rsid w:val="007A7D79"/>
    <w:rsid w:val="007B0500"/>
    <w:rsid w:val="007B1475"/>
    <w:rsid w:val="007B18A7"/>
    <w:rsid w:val="007B2F45"/>
    <w:rsid w:val="007B3FA0"/>
    <w:rsid w:val="007B459D"/>
    <w:rsid w:val="007B49E9"/>
    <w:rsid w:val="007B4FE0"/>
    <w:rsid w:val="007B530C"/>
    <w:rsid w:val="007B644B"/>
    <w:rsid w:val="007B6B4C"/>
    <w:rsid w:val="007B795B"/>
    <w:rsid w:val="007C07AC"/>
    <w:rsid w:val="007C08FD"/>
    <w:rsid w:val="007C1CA3"/>
    <w:rsid w:val="007C3041"/>
    <w:rsid w:val="007C3132"/>
    <w:rsid w:val="007C448E"/>
    <w:rsid w:val="007C44A9"/>
    <w:rsid w:val="007C4EB5"/>
    <w:rsid w:val="007C5BE6"/>
    <w:rsid w:val="007C60BB"/>
    <w:rsid w:val="007C6375"/>
    <w:rsid w:val="007C64C3"/>
    <w:rsid w:val="007C7032"/>
    <w:rsid w:val="007C77E7"/>
    <w:rsid w:val="007D0FA4"/>
    <w:rsid w:val="007D10AF"/>
    <w:rsid w:val="007D14EE"/>
    <w:rsid w:val="007D1871"/>
    <w:rsid w:val="007D239D"/>
    <w:rsid w:val="007D2985"/>
    <w:rsid w:val="007D2A8D"/>
    <w:rsid w:val="007D2BFE"/>
    <w:rsid w:val="007D2CC0"/>
    <w:rsid w:val="007D30A9"/>
    <w:rsid w:val="007D46AC"/>
    <w:rsid w:val="007D4EF9"/>
    <w:rsid w:val="007D523C"/>
    <w:rsid w:val="007D536F"/>
    <w:rsid w:val="007D57FE"/>
    <w:rsid w:val="007D6ADA"/>
    <w:rsid w:val="007D7479"/>
    <w:rsid w:val="007D79CD"/>
    <w:rsid w:val="007D7D73"/>
    <w:rsid w:val="007E0591"/>
    <w:rsid w:val="007E0A7C"/>
    <w:rsid w:val="007E0C9F"/>
    <w:rsid w:val="007E0F18"/>
    <w:rsid w:val="007E0F5F"/>
    <w:rsid w:val="007E44AD"/>
    <w:rsid w:val="007E552D"/>
    <w:rsid w:val="007E6F96"/>
    <w:rsid w:val="007E7B86"/>
    <w:rsid w:val="007E7C77"/>
    <w:rsid w:val="007E7D05"/>
    <w:rsid w:val="007F13E8"/>
    <w:rsid w:val="007F1484"/>
    <w:rsid w:val="007F1719"/>
    <w:rsid w:val="007F2860"/>
    <w:rsid w:val="007F313F"/>
    <w:rsid w:val="007F31F6"/>
    <w:rsid w:val="007F335C"/>
    <w:rsid w:val="007F4D25"/>
    <w:rsid w:val="007F51A8"/>
    <w:rsid w:val="007F51F3"/>
    <w:rsid w:val="007F5487"/>
    <w:rsid w:val="007F6402"/>
    <w:rsid w:val="007F6A23"/>
    <w:rsid w:val="007F7A5F"/>
    <w:rsid w:val="0080034A"/>
    <w:rsid w:val="00800E85"/>
    <w:rsid w:val="00801168"/>
    <w:rsid w:val="0080126E"/>
    <w:rsid w:val="008014F7"/>
    <w:rsid w:val="00802254"/>
    <w:rsid w:val="0080249A"/>
    <w:rsid w:val="008026ED"/>
    <w:rsid w:val="00804429"/>
    <w:rsid w:val="0080470F"/>
    <w:rsid w:val="0080482C"/>
    <w:rsid w:val="00805474"/>
    <w:rsid w:val="00807C3D"/>
    <w:rsid w:val="00807D00"/>
    <w:rsid w:val="00810002"/>
    <w:rsid w:val="0081080B"/>
    <w:rsid w:val="00810B7B"/>
    <w:rsid w:val="008111D3"/>
    <w:rsid w:val="00812269"/>
    <w:rsid w:val="008145B5"/>
    <w:rsid w:val="00814637"/>
    <w:rsid w:val="008154CD"/>
    <w:rsid w:val="008162CB"/>
    <w:rsid w:val="00816EAB"/>
    <w:rsid w:val="00817E3D"/>
    <w:rsid w:val="008202A7"/>
    <w:rsid w:val="00820BB3"/>
    <w:rsid w:val="00821317"/>
    <w:rsid w:val="00821A96"/>
    <w:rsid w:val="00822317"/>
    <w:rsid w:val="0082285F"/>
    <w:rsid w:val="00822B8A"/>
    <w:rsid w:val="008233AA"/>
    <w:rsid w:val="008239ED"/>
    <w:rsid w:val="00824078"/>
    <w:rsid w:val="0082485E"/>
    <w:rsid w:val="00824E12"/>
    <w:rsid w:val="008250D4"/>
    <w:rsid w:val="00826191"/>
    <w:rsid w:val="00826CE0"/>
    <w:rsid w:val="00827028"/>
    <w:rsid w:val="008272FF"/>
    <w:rsid w:val="00830E9A"/>
    <w:rsid w:val="00831164"/>
    <w:rsid w:val="00832776"/>
    <w:rsid w:val="00832A4E"/>
    <w:rsid w:val="0083329B"/>
    <w:rsid w:val="008335B2"/>
    <w:rsid w:val="0083373A"/>
    <w:rsid w:val="008342AD"/>
    <w:rsid w:val="00834FA6"/>
    <w:rsid w:val="00835553"/>
    <w:rsid w:val="00835870"/>
    <w:rsid w:val="00835B48"/>
    <w:rsid w:val="00835D90"/>
    <w:rsid w:val="00836FD3"/>
    <w:rsid w:val="00837067"/>
    <w:rsid w:val="00837948"/>
    <w:rsid w:val="00840330"/>
    <w:rsid w:val="00841064"/>
    <w:rsid w:val="00841477"/>
    <w:rsid w:val="00842C1E"/>
    <w:rsid w:val="00844385"/>
    <w:rsid w:val="00844CDF"/>
    <w:rsid w:val="00844DDA"/>
    <w:rsid w:val="008450A3"/>
    <w:rsid w:val="00845BC5"/>
    <w:rsid w:val="008461FB"/>
    <w:rsid w:val="0084672F"/>
    <w:rsid w:val="00846892"/>
    <w:rsid w:val="00847294"/>
    <w:rsid w:val="00847B03"/>
    <w:rsid w:val="00850506"/>
    <w:rsid w:val="008508A9"/>
    <w:rsid w:val="0085105A"/>
    <w:rsid w:val="00851C00"/>
    <w:rsid w:val="00852834"/>
    <w:rsid w:val="008529C0"/>
    <w:rsid w:val="00852B83"/>
    <w:rsid w:val="00853148"/>
    <w:rsid w:val="0085319C"/>
    <w:rsid w:val="0085358E"/>
    <w:rsid w:val="00854616"/>
    <w:rsid w:val="00854FD5"/>
    <w:rsid w:val="00854FD7"/>
    <w:rsid w:val="008556CB"/>
    <w:rsid w:val="008557E2"/>
    <w:rsid w:val="00855A66"/>
    <w:rsid w:val="00855BAB"/>
    <w:rsid w:val="0085653E"/>
    <w:rsid w:val="00857249"/>
    <w:rsid w:val="00857394"/>
    <w:rsid w:val="008575D4"/>
    <w:rsid w:val="008602E4"/>
    <w:rsid w:val="00862BE6"/>
    <w:rsid w:val="00863539"/>
    <w:rsid w:val="00863646"/>
    <w:rsid w:val="00865278"/>
    <w:rsid w:val="00866139"/>
    <w:rsid w:val="008661FA"/>
    <w:rsid w:val="008666AC"/>
    <w:rsid w:val="00866A75"/>
    <w:rsid w:val="00866C8D"/>
    <w:rsid w:val="00866E40"/>
    <w:rsid w:val="00867C75"/>
    <w:rsid w:val="00870343"/>
    <w:rsid w:val="008730B6"/>
    <w:rsid w:val="0087313F"/>
    <w:rsid w:val="00873222"/>
    <w:rsid w:val="008745D6"/>
    <w:rsid w:val="00874BE4"/>
    <w:rsid w:val="00874FC4"/>
    <w:rsid w:val="008755C2"/>
    <w:rsid w:val="00875613"/>
    <w:rsid w:val="008757C6"/>
    <w:rsid w:val="0087696E"/>
    <w:rsid w:val="00876AD4"/>
    <w:rsid w:val="00877FF5"/>
    <w:rsid w:val="00880F4F"/>
    <w:rsid w:val="00882964"/>
    <w:rsid w:val="00883642"/>
    <w:rsid w:val="00884596"/>
    <w:rsid w:val="00885388"/>
    <w:rsid w:val="00886F22"/>
    <w:rsid w:val="00887748"/>
    <w:rsid w:val="00890EF2"/>
    <w:rsid w:val="00891817"/>
    <w:rsid w:val="00891DCB"/>
    <w:rsid w:val="00893C5C"/>
    <w:rsid w:val="00893D71"/>
    <w:rsid w:val="00894048"/>
    <w:rsid w:val="0089511F"/>
    <w:rsid w:val="008954D1"/>
    <w:rsid w:val="00895D9A"/>
    <w:rsid w:val="00895F6C"/>
    <w:rsid w:val="00896324"/>
    <w:rsid w:val="0089693B"/>
    <w:rsid w:val="00897D17"/>
    <w:rsid w:val="008A0346"/>
    <w:rsid w:val="008A10CD"/>
    <w:rsid w:val="008A23F7"/>
    <w:rsid w:val="008A2765"/>
    <w:rsid w:val="008A481F"/>
    <w:rsid w:val="008A4A61"/>
    <w:rsid w:val="008A4FC8"/>
    <w:rsid w:val="008A5BC3"/>
    <w:rsid w:val="008A61A9"/>
    <w:rsid w:val="008A6ED6"/>
    <w:rsid w:val="008A716E"/>
    <w:rsid w:val="008B0B53"/>
    <w:rsid w:val="008B1277"/>
    <w:rsid w:val="008B130D"/>
    <w:rsid w:val="008B1B7E"/>
    <w:rsid w:val="008B1C21"/>
    <w:rsid w:val="008B1F9B"/>
    <w:rsid w:val="008B2C73"/>
    <w:rsid w:val="008B43DF"/>
    <w:rsid w:val="008B5DAE"/>
    <w:rsid w:val="008B6AE4"/>
    <w:rsid w:val="008B70AB"/>
    <w:rsid w:val="008B79CC"/>
    <w:rsid w:val="008C0734"/>
    <w:rsid w:val="008C0E4F"/>
    <w:rsid w:val="008C0EF9"/>
    <w:rsid w:val="008C0FD1"/>
    <w:rsid w:val="008C107D"/>
    <w:rsid w:val="008C1809"/>
    <w:rsid w:val="008C193B"/>
    <w:rsid w:val="008C277E"/>
    <w:rsid w:val="008C3E3B"/>
    <w:rsid w:val="008C58FA"/>
    <w:rsid w:val="008C5E62"/>
    <w:rsid w:val="008C6255"/>
    <w:rsid w:val="008C641E"/>
    <w:rsid w:val="008C6425"/>
    <w:rsid w:val="008C7403"/>
    <w:rsid w:val="008C7960"/>
    <w:rsid w:val="008D11BE"/>
    <w:rsid w:val="008D1F9F"/>
    <w:rsid w:val="008D214E"/>
    <w:rsid w:val="008D32E8"/>
    <w:rsid w:val="008D37B5"/>
    <w:rsid w:val="008D51BC"/>
    <w:rsid w:val="008D54C4"/>
    <w:rsid w:val="008D60C5"/>
    <w:rsid w:val="008E0041"/>
    <w:rsid w:val="008E0584"/>
    <w:rsid w:val="008E10FF"/>
    <w:rsid w:val="008E1424"/>
    <w:rsid w:val="008E14A2"/>
    <w:rsid w:val="008E2338"/>
    <w:rsid w:val="008E24F5"/>
    <w:rsid w:val="008E24F6"/>
    <w:rsid w:val="008E2605"/>
    <w:rsid w:val="008E2640"/>
    <w:rsid w:val="008E34EF"/>
    <w:rsid w:val="008E3E89"/>
    <w:rsid w:val="008E3ED5"/>
    <w:rsid w:val="008E50CA"/>
    <w:rsid w:val="008E6256"/>
    <w:rsid w:val="008E69D3"/>
    <w:rsid w:val="008E6C19"/>
    <w:rsid w:val="008E753F"/>
    <w:rsid w:val="008E7B58"/>
    <w:rsid w:val="008F175F"/>
    <w:rsid w:val="008F1AAF"/>
    <w:rsid w:val="008F1E00"/>
    <w:rsid w:val="008F281B"/>
    <w:rsid w:val="008F2A87"/>
    <w:rsid w:val="008F2FA3"/>
    <w:rsid w:val="008F3262"/>
    <w:rsid w:val="008F3658"/>
    <w:rsid w:val="008F373D"/>
    <w:rsid w:val="008F37D5"/>
    <w:rsid w:val="008F42DA"/>
    <w:rsid w:val="008F522B"/>
    <w:rsid w:val="008F59D9"/>
    <w:rsid w:val="008F6119"/>
    <w:rsid w:val="008F6369"/>
    <w:rsid w:val="008F63BB"/>
    <w:rsid w:val="008F6832"/>
    <w:rsid w:val="008F6D75"/>
    <w:rsid w:val="008F6D8A"/>
    <w:rsid w:val="008F7C16"/>
    <w:rsid w:val="00901065"/>
    <w:rsid w:val="009015D9"/>
    <w:rsid w:val="00901B76"/>
    <w:rsid w:val="00901C14"/>
    <w:rsid w:val="00901DA3"/>
    <w:rsid w:val="00902708"/>
    <w:rsid w:val="0090303E"/>
    <w:rsid w:val="00903942"/>
    <w:rsid w:val="009053DE"/>
    <w:rsid w:val="00905410"/>
    <w:rsid w:val="00905494"/>
    <w:rsid w:val="00905D4C"/>
    <w:rsid w:val="00906333"/>
    <w:rsid w:val="0090677C"/>
    <w:rsid w:val="00906AC8"/>
    <w:rsid w:val="00906E9D"/>
    <w:rsid w:val="00907234"/>
    <w:rsid w:val="00910A98"/>
    <w:rsid w:val="00910E4F"/>
    <w:rsid w:val="00911409"/>
    <w:rsid w:val="009121E6"/>
    <w:rsid w:val="00912202"/>
    <w:rsid w:val="00912D3E"/>
    <w:rsid w:val="00915ADE"/>
    <w:rsid w:val="00915C13"/>
    <w:rsid w:val="009174AA"/>
    <w:rsid w:val="00917608"/>
    <w:rsid w:val="00920C21"/>
    <w:rsid w:val="0092148D"/>
    <w:rsid w:val="00921548"/>
    <w:rsid w:val="0092332B"/>
    <w:rsid w:val="00924556"/>
    <w:rsid w:val="00924A17"/>
    <w:rsid w:val="00924A9E"/>
    <w:rsid w:val="00924DE7"/>
    <w:rsid w:val="00925762"/>
    <w:rsid w:val="00926507"/>
    <w:rsid w:val="00927444"/>
    <w:rsid w:val="0092780E"/>
    <w:rsid w:val="00930064"/>
    <w:rsid w:val="00931DAC"/>
    <w:rsid w:val="0093246F"/>
    <w:rsid w:val="00933827"/>
    <w:rsid w:val="00933EB9"/>
    <w:rsid w:val="009347F3"/>
    <w:rsid w:val="009359FC"/>
    <w:rsid w:val="0093750B"/>
    <w:rsid w:val="00937A68"/>
    <w:rsid w:val="00940770"/>
    <w:rsid w:val="0094172C"/>
    <w:rsid w:val="009419E4"/>
    <w:rsid w:val="00941A4B"/>
    <w:rsid w:val="00942526"/>
    <w:rsid w:val="00943715"/>
    <w:rsid w:val="0094461F"/>
    <w:rsid w:val="00944B03"/>
    <w:rsid w:val="00945A7B"/>
    <w:rsid w:val="00946B8D"/>
    <w:rsid w:val="00947521"/>
    <w:rsid w:val="009522A7"/>
    <w:rsid w:val="00952763"/>
    <w:rsid w:val="00952D55"/>
    <w:rsid w:val="00953802"/>
    <w:rsid w:val="00954480"/>
    <w:rsid w:val="009548AF"/>
    <w:rsid w:val="009557F5"/>
    <w:rsid w:val="00955B54"/>
    <w:rsid w:val="00957289"/>
    <w:rsid w:val="00960DEF"/>
    <w:rsid w:val="009628BB"/>
    <w:rsid w:val="00963809"/>
    <w:rsid w:val="00964ED0"/>
    <w:rsid w:val="00965A46"/>
    <w:rsid w:val="009669E0"/>
    <w:rsid w:val="009673CE"/>
    <w:rsid w:val="00967B2F"/>
    <w:rsid w:val="00970F96"/>
    <w:rsid w:val="00971B4B"/>
    <w:rsid w:val="00971FDB"/>
    <w:rsid w:val="00972CBC"/>
    <w:rsid w:val="0097359D"/>
    <w:rsid w:val="00973633"/>
    <w:rsid w:val="009739DA"/>
    <w:rsid w:val="00973AAF"/>
    <w:rsid w:val="00973C21"/>
    <w:rsid w:val="00974FD8"/>
    <w:rsid w:val="009761B8"/>
    <w:rsid w:val="009763D6"/>
    <w:rsid w:val="0097744C"/>
    <w:rsid w:val="00977746"/>
    <w:rsid w:val="0097795E"/>
    <w:rsid w:val="00977D91"/>
    <w:rsid w:val="00980603"/>
    <w:rsid w:val="0098163D"/>
    <w:rsid w:val="00982025"/>
    <w:rsid w:val="00982832"/>
    <w:rsid w:val="00983FD0"/>
    <w:rsid w:val="009842F4"/>
    <w:rsid w:val="0098443B"/>
    <w:rsid w:val="00984C61"/>
    <w:rsid w:val="009865D1"/>
    <w:rsid w:val="00986E16"/>
    <w:rsid w:val="00987266"/>
    <w:rsid w:val="00990394"/>
    <w:rsid w:val="00990621"/>
    <w:rsid w:val="00990BBC"/>
    <w:rsid w:val="00990DFF"/>
    <w:rsid w:val="009919EC"/>
    <w:rsid w:val="00991BD7"/>
    <w:rsid w:val="009930B4"/>
    <w:rsid w:val="00993179"/>
    <w:rsid w:val="00993AFB"/>
    <w:rsid w:val="00994F1D"/>
    <w:rsid w:val="00994F32"/>
    <w:rsid w:val="00996012"/>
    <w:rsid w:val="0099612A"/>
    <w:rsid w:val="00996490"/>
    <w:rsid w:val="00996B55"/>
    <w:rsid w:val="00997EE8"/>
    <w:rsid w:val="009A0633"/>
    <w:rsid w:val="009A1458"/>
    <w:rsid w:val="009A1483"/>
    <w:rsid w:val="009A16B2"/>
    <w:rsid w:val="009A180C"/>
    <w:rsid w:val="009A2864"/>
    <w:rsid w:val="009A2BF2"/>
    <w:rsid w:val="009A46B3"/>
    <w:rsid w:val="009A4BE8"/>
    <w:rsid w:val="009A4EDD"/>
    <w:rsid w:val="009A568F"/>
    <w:rsid w:val="009A6128"/>
    <w:rsid w:val="009A66B1"/>
    <w:rsid w:val="009A696D"/>
    <w:rsid w:val="009A733B"/>
    <w:rsid w:val="009B06DC"/>
    <w:rsid w:val="009B12DF"/>
    <w:rsid w:val="009B2F1B"/>
    <w:rsid w:val="009B3A3D"/>
    <w:rsid w:val="009B4152"/>
    <w:rsid w:val="009B47A8"/>
    <w:rsid w:val="009B484A"/>
    <w:rsid w:val="009B55F9"/>
    <w:rsid w:val="009B5FD5"/>
    <w:rsid w:val="009B616E"/>
    <w:rsid w:val="009B67F6"/>
    <w:rsid w:val="009B6F41"/>
    <w:rsid w:val="009B7295"/>
    <w:rsid w:val="009B7839"/>
    <w:rsid w:val="009C07C7"/>
    <w:rsid w:val="009C1328"/>
    <w:rsid w:val="009C141F"/>
    <w:rsid w:val="009C21D8"/>
    <w:rsid w:val="009C2ED1"/>
    <w:rsid w:val="009C3474"/>
    <w:rsid w:val="009C46B0"/>
    <w:rsid w:val="009C4809"/>
    <w:rsid w:val="009C6743"/>
    <w:rsid w:val="009C7FA8"/>
    <w:rsid w:val="009D000B"/>
    <w:rsid w:val="009D4A08"/>
    <w:rsid w:val="009D4C26"/>
    <w:rsid w:val="009E087D"/>
    <w:rsid w:val="009E14FA"/>
    <w:rsid w:val="009E1A24"/>
    <w:rsid w:val="009E1C05"/>
    <w:rsid w:val="009E3AD8"/>
    <w:rsid w:val="009E3DD8"/>
    <w:rsid w:val="009E5411"/>
    <w:rsid w:val="009E5854"/>
    <w:rsid w:val="009E799E"/>
    <w:rsid w:val="009E7B9A"/>
    <w:rsid w:val="009F1364"/>
    <w:rsid w:val="009F2AA9"/>
    <w:rsid w:val="009F2D09"/>
    <w:rsid w:val="009F3188"/>
    <w:rsid w:val="009F32D3"/>
    <w:rsid w:val="009F4109"/>
    <w:rsid w:val="009F4679"/>
    <w:rsid w:val="009F4725"/>
    <w:rsid w:val="009F4D83"/>
    <w:rsid w:val="009F5A98"/>
    <w:rsid w:val="009F5BC2"/>
    <w:rsid w:val="009F5E48"/>
    <w:rsid w:val="009F664D"/>
    <w:rsid w:val="009F6885"/>
    <w:rsid w:val="009F78AA"/>
    <w:rsid w:val="00A00657"/>
    <w:rsid w:val="00A00A8E"/>
    <w:rsid w:val="00A01456"/>
    <w:rsid w:val="00A016E6"/>
    <w:rsid w:val="00A0184A"/>
    <w:rsid w:val="00A02F83"/>
    <w:rsid w:val="00A0314D"/>
    <w:rsid w:val="00A03F6A"/>
    <w:rsid w:val="00A0427C"/>
    <w:rsid w:val="00A04772"/>
    <w:rsid w:val="00A0528B"/>
    <w:rsid w:val="00A0596D"/>
    <w:rsid w:val="00A10010"/>
    <w:rsid w:val="00A10579"/>
    <w:rsid w:val="00A10DF3"/>
    <w:rsid w:val="00A11027"/>
    <w:rsid w:val="00A110CD"/>
    <w:rsid w:val="00A146A9"/>
    <w:rsid w:val="00A15D67"/>
    <w:rsid w:val="00A1606A"/>
    <w:rsid w:val="00A161EE"/>
    <w:rsid w:val="00A162C8"/>
    <w:rsid w:val="00A16BAF"/>
    <w:rsid w:val="00A17585"/>
    <w:rsid w:val="00A20121"/>
    <w:rsid w:val="00A20F37"/>
    <w:rsid w:val="00A20FBA"/>
    <w:rsid w:val="00A2183E"/>
    <w:rsid w:val="00A23681"/>
    <w:rsid w:val="00A23783"/>
    <w:rsid w:val="00A253BF"/>
    <w:rsid w:val="00A260CD"/>
    <w:rsid w:val="00A27548"/>
    <w:rsid w:val="00A27C07"/>
    <w:rsid w:val="00A31E21"/>
    <w:rsid w:val="00A32682"/>
    <w:rsid w:val="00A327EE"/>
    <w:rsid w:val="00A329C4"/>
    <w:rsid w:val="00A32A5C"/>
    <w:rsid w:val="00A330D7"/>
    <w:rsid w:val="00A341AD"/>
    <w:rsid w:val="00A346D0"/>
    <w:rsid w:val="00A34EDF"/>
    <w:rsid w:val="00A35E5B"/>
    <w:rsid w:val="00A374AB"/>
    <w:rsid w:val="00A40251"/>
    <w:rsid w:val="00A40618"/>
    <w:rsid w:val="00A40C6E"/>
    <w:rsid w:val="00A414BC"/>
    <w:rsid w:val="00A4154B"/>
    <w:rsid w:val="00A4165B"/>
    <w:rsid w:val="00A441F9"/>
    <w:rsid w:val="00A442FD"/>
    <w:rsid w:val="00A45518"/>
    <w:rsid w:val="00A4578D"/>
    <w:rsid w:val="00A464FD"/>
    <w:rsid w:val="00A46814"/>
    <w:rsid w:val="00A502EE"/>
    <w:rsid w:val="00A50D6F"/>
    <w:rsid w:val="00A50ED3"/>
    <w:rsid w:val="00A50EE0"/>
    <w:rsid w:val="00A51112"/>
    <w:rsid w:val="00A51385"/>
    <w:rsid w:val="00A515AB"/>
    <w:rsid w:val="00A51FAC"/>
    <w:rsid w:val="00A54B02"/>
    <w:rsid w:val="00A54FF2"/>
    <w:rsid w:val="00A558C8"/>
    <w:rsid w:val="00A566EB"/>
    <w:rsid w:val="00A57028"/>
    <w:rsid w:val="00A5738A"/>
    <w:rsid w:val="00A574C6"/>
    <w:rsid w:val="00A5784B"/>
    <w:rsid w:val="00A60AEB"/>
    <w:rsid w:val="00A61A70"/>
    <w:rsid w:val="00A61D72"/>
    <w:rsid w:val="00A6344A"/>
    <w:rsid w:val="00A636CA"/>
    <w:rsid w:val="00A64A1D"/>
    <w:rsid w:val="00A64C5F"/>
    <w:rsid w:val="00A64E0E"/>
    <w:rsid w:val="00A651C5"/>
    <w:rsid w:val="00A65265"/>
    <w:rsid w:val="00A6526C"/>
    <w:rsid w:val="00A652FD"/>
    <w:rsid w:val="00A65540"/>
    <w:rsid w:val="00A65EFF"/>
    <w:rsid w:val="00A67186"/>
    <w:rsid w:val="00A67BA8"/>
    <w:rsid w:val="00A70958"/>
    <w:rsid w:val="00A712CB"/>
    <w:rsid w:val="00A713FE"/>
    <w:rsid w:val="00A71736"/>
    <w:rsid w:val="00A7237B"/>
    <w:rsid w:val="00A72821"/>
    <w:rsid w:val="00A72A56"/>
    <w:rsid w:val="00A736FD"/>
    <w:rsid w:val="00A73AC4"/>
    <w:rsid w:val="00A7464A"/>
    <w:rsid w:val="00A74F26"/>
    <w:rsid w:val="00A75DED"/>
    <w:rsid w:val="00A7646B"/>
    <w:rsid w:val="00A76C86"/>
    <w:rsid w:val="00A770AA"/>
    <w:rsid w:val="00A773B1"/>
    <w:rsid w:val="00A776AD"/>
    <w:rsid w:val="00A77A70"/>
    <w:rsid w:val="00A77E2B"/>
    <w:rsid w:val="00A81A6C"/>
    <w:rsid w:val="00A82140"/>
    <w:rsid w:val="00A823E6"/>
    <w:rsid w:val="00A8314F"/>
    <w:rsid w:val="00A844E8"/>
    <w:rsid w:val="00A85477"/>
    <w:rsid w:val="00A854B7"/>
    <w:rsid w:val="00A85ADC"/>
    <w:rsid w:val="00A85DF4"/>
    <w:rsid w:val="00A902CF"/>
    <w:rsid w:val="00A90804"/>
    <w:rsid w:val="00A932AB"/>
    <w:rsid w:val="00A932E1"/>
    <w:rsid w:val="00A93FCF"/>
    <w:rsid w:val="00A94BFE"/>
    <w:rsid w:val="00A958A2"/>
    <w:rsid w:val="00A95C5E"/>
    <w:rsid w:val="00A968B0"/>
    <w:rsid w:val="00A96AA9"/>
    <w:rsid w:val="00A9708E"/>
    <w:rsid w:val="00A973DF"/>
    <w:rsid w:val="00A974C6"/>
    <w:rsid w:val="00AA0F49"/>
    <w:rsid w:val="00AA2C91"/>
    <w:rsid w:val="00AA3B59"/>
    <w:rsid w:val="00AA3F56"/>
    <w:rsid w:val="00AA4E3E"/>
    <w:rsid w:val="00AA60BE"/>
    <w:rsid w:val="00AB0671"/>
    <w:rsid w:val="00AB155E"/>
    <w:rsid w:val="00AB2E62"/>
    <w:rsid w:val="00AB523B"/>
    <w:rsid w:val="00AB5E3D"/>
    <w:rsid w:val="00AB6D40"/>
    <w:rsid w:val="00AB751A"/>
    <w:rsid w:val="00AB787F"/>
    <w:rsid w:val="00AC075A"/>
    <w:rsid w:val="00AC2477"/>
    <w:rsid w:val="00AC26BC"/>
    <w:rsid w:val="00AC29A7"/>
    <w:rsid w:val="00AC4BFE"/>
    <w:rsid w:val="00AC64EC"/>
    <w:rsid w:val="00AC7909"/>
    <w:rsid w:val="00AD00A0"/>
    <w:rsid w:val="00AD01F0"/>
    <w:rsid w:val="00AD0826"/>
    <w:rsid w:val="00AD1392"/>
    <w:rsid w:val="00AD1B1A"/>
    <w:rsid w:val="00AD1ECC"/>
    <w:rsid w:val="00AD223A"/>
    <w:rsid w:val="00AD33FB"/>
    <w:rsid w:val="00AD394E"/>
    <w:rsid w:val="00AD5285"/>
    <w:rsid w:val="00AD6C4B"/>
    <w:rsid w:val="00AE0240"/>
    <w:rsid w:val="00AE1715"/>
    <w:rsid w:val="00AE1AC9"/>
    <w:rsid w:val="00AE1E7F"/>
    <w:rsid w:val="00AE2F48"/>
    <w:rsid w:val="00AE314B"/>
    <w:rsid w:val="00AE3348"/>
    <w:rsid w:val="00AE3DD7"/>
    <w:rsid w:val="00AE4316"/>
    <w:rsid w:val="00AE4F79"/>
    <w:rsid w:val="00AE5043"/>
    <w:rsid w:val="00AE63FB"/>
    <w:rsid w:val="00AE7142"/>
    <w:rsid w:val="00AF28FD"/>
    <w:rsid w:val="00AF2C1E"/>
    <w:rsid w:val="00AF2DFA"/>
    <w:rsid w:val="00AF2FA7"/>
    <w:rsid w:val="00AF349D"/>
    <w:rsid w:val="00AF397A"/>
    <w:rsid w:val="00AF3A87"/>
    <w:rsid w:val="00AF44F1"/>
    <w:rsid w:val="00AF452F"/>
    <w:rsid w:val="00AF46C1"/>
    <w:rsid w:val="00AF4D7C"/>
    <w:rsid w:val="00AF5B02"/>
    <w:rsid w:val="00AF6056"/>
    <w:rsid w:val="00AF6E95"/>
    <w:rsid w:val="00AF74A4"/>
    <w:rsid w:val="00AF7E97"/>
    <w:rsid w:val="00B00FEC"/>
    <w:rsid w:val="00B02563"/>
    <w:rsid w:val="00B02AF7"/>
    <w:rsid w:val="00B031A8"/>
    <w:rsid w:val="00B044C5"/>
    <w:rsid w:val="00B04BCE"/>
    <w:rsid w:val="00B05309"/>
    <w:rsid w:val="00B053F6"/>
    <w:rsid w:val="00B056C1"/>
    <w:rsid w:val="00B05781"/>
    <w:rsid w:val="00B06421"/>
    <w:rsid w:val="00B068EB"/>
    <w:rsid w:val="00B06A7E"/>
    <w:rsid w:val="00B06A93"/>
    <w:rsid w:val="00B07721"/>
    <w:rsid w:val="00B07D45"/>
    <w:rsid w:val="00B10194"/>
    <w:rsid w:val="00B104D0"/>
    <w:rsid w:val="00B12EDF"/>
    <w:rsid w:val="00B13B24"/>
    <w:rsid w:val="00B13C5D"/>
    <w:rsid w:val="00B1518D"/>
    <w:rsid w:val="00B163F8"/>
    <w:rsid w:val="00B16452"/>
    <w:rsid w:val="00B16FE3"/>
    <w:rsid w:val="00B17C1C"/>
    <w:rsid w:val="00B201E0"/>
    <w:rsid w:val="00B20386"/>
    <w:rsid w:val="00B20AB8"/>
    <w:rsid w:val="00B20B4B"/>
    <w:rsid w:val="00B20D95"/>
    <w:rsid w:val="00B21FEF"/>
    <w:rsid w:val="00B23544"/>
    <w:rsid w:val="00B24B1F"/>
    <w:rsid w:val="00B24CF7"/>
    <w:rsid w:val="00B253E5"/>
    <w:rsid w:val="00B27FF0"/>
    <w:rsid w:val="00B30146"/>
    <w:rsid w:val="00B30711"/>
    <w:rsid w:val="00B30AD8"/>
    <w:rsid w:val="00B3145D"/>
    <w:rsid w:val="00B31491"/>
    <w:rsid w:val="00B31FF2"/>
    <w:rsid w:val="00B329AA"/>
    <w:rsid w:val="00B32B63"/>
    <w:rsid w:val="00B3340B"/>
    <w:rsid w:val="00B3366A"/>
    <w:rsid w:val="00B3477C"/>
    <w:rsid w:val="00B34C59"/>
    <w:rsid w:val="00B34D3E"/>
    <w:rsid w:val="00B34D48"/>
    <w:rsid w:val="00B350FD"/>
    <w:rsid w:val="00B3541B"/>
    <w:rsid w:val="00B35A94"/>
    <w:rsid w:val="00B361C7"/>
    <w:rsid w:val="00B3721E"/>
    <w:rsid w:val="00B376E2"/>
    <w:rsid w:val="00B37948"/>
    <w:rsid w:val="00B40068"/>
    <w:rsid w:val="00B40490"/>
    <w:rsid w:val="00B404B6"/>
    <w:rsid w:val="00B40B30"/>
    <w:rsid w:val="00B40CA4"/>
    <w:rsid w:val="00B418CC"/>
    <w:rsid w:val="00B41E88"/>
    <w:rsid w:val="00B422A6"/>
    <w:rsid w:val="00B444A6"/>
    <w:rsid w:val="00B4564D"/>
    <w:rsid w:val="00B456BD"/>
    <w:rsid w:val="00B45E4C"/>
    <w:rsid w:val="00B46F15"/>
    <w:rsid w:val="00B476C1"/>
    <w:rsid w:val="00B47EE9"/>
    <w:rsid w:val="00B534DB"/>
    <w:rsid w:val="00B5505F"/>
    <w:rsid w:val="00B55B15"/>
    <w:rsid w:val="00B55F58"/>
    <w:rsid w:val="00B55F7C"/>
    <w:rsid w:val="00B56985"/>
    <w:rsid w:val="00B57A69"/>
    <w:rsid w:val="00B57DFA"/>
    <w:rsid w:val="00B604A0"/>
    <w:rsid w:val="00B604AD"/>
    <w:rsid w:val="00B60662"/>
    <w:rsid w:val="00B60AFF"/>
    <w:rsid w:val="00B61027"/>
    <w:rsid w:val="00B61B80"/>
    <w:rsid w:val="00B63719"/>
    <w:rsid w:val="00B6371F"/>
    <w:rsid w:val="00B63DED"/>
    <w:rsid w:val="00B6470A"/>
    <w:rsid w:val="00B64F4F"/>
    <w:rsid w:val="00B65071"/>
    <w:rsid w:val="00B65434"/>
    <w:rsid w:val="00B67993"/>
    <w:rsid w:val="00B67CE6"/>
    <w:rsid w:val="00B70983"/>
    <w:rsid w:val="00B7143D"/>
    <w:rsid w:val="00B72C59"/>
    <w:rsid w:val="00B739CD"/>
    <w:rsid w:val="00B74077"/>
    <w:rsid w:val="00B7531E"/>
    <w:rsid w:val="00B7569A"/>
    <w:rsid w:val="00B764A3"/>
    <w:rsid w:val="00B80F09"/>
    <w:rsid w:val="00B80FB8"/>
    <w:rsid w:val="00B80FCD"/>
    <w:rsid w:val="00B81154"/>
    <w:rsid w:val="00B81758"/>
    <w:rsid w:val="00B8282A"/>
    <w:rsid w:val="00B8487F"/>
    <w:rsid w:val="00B85F1C"/>
    <w:rsid w:val="00B86196"/>
    <w:rsid w:val="00B87558"/>
    <w:rsid w:val="00B87D89"/>
    <w:rsid w:val="00B87EFA"/>
    <w:rsid w:val="00B90010"/>
    <w:rsid w:val="00B90C38"/>
    <w:rsid w:val="00B90E15"/>
    <w:rsid w:val="00B90EDD"/>
    <w:rsid w:val="00B910EC"/>
    <w:rsid w:val="00B9287D"/>
    <w:rsid w:val="00B935AE"/>
    <w:rsid w:val="00B93774"/>
    <w:rsid w:val="00B94923"/>
    <w:rsid w:val="00B94F37"/>
    <w:rsid w:val="00B96436"/>
    <w:rsid w:val="00B9752B"/>
    <w:rsid w:val="00BA0F9F"/>
    <w:rsid w:val="00BA14F4"/>
    <w:rsid w:val="00BA1953"/>
    <w:rsid w:val="00BA1A03"/>
    <w:rsid w:val="00BA1A3E"/>
    <w:rsid w:val="00BA3CE6"/>
    <w:rsid w:val="00BA5388"/>
    <w:rsid w:val="00BA53AB"/>
    <w:rsid w:val="00BA5D37"/>
    <w:rsid w:val="00BA6CD6"/>
    <w:rsid w:val="00BA6D6D"/>
    <w:rsid w:val="00BA6E88"/>
    <w:rsid w:val="00BA7322"/>
    <w:rsid w:val="00BB0865"/>
    <w:rsid w:val="00BB0B8D"/>
    <w:rsid w:val="00BB0B94"/>
    <w:rsid w:val="00BB0BEB"/>
    <w:rsid w:val="00BB1BFB"/>
    <w:rsid w:val="00BB1CDF"/>
    <w:rsid w:val="00BB2473"/>
    <w:rsid w:val="00BB2E27"/>
    <w:rsid w:val="00BB313C"/>
    <w:rsid w:val="00BB33E7"/>
    <w:rsid w:val="00BB34BF"/>
    <w:rsid w:val="00BB536D"/>
    <w:rsid w:val="00BB53EC"/>
    <w:rsid w:val="00BB543E"/>
    <w:rsid w:val="00BB60A8"/>
    <w:rsid w:val="00BB6E95"/>
    <w:rsid w:val="00BC068D"/>
    <w:rsid w:val="00BC0716"/>
    <w:rsid w:val="00BC0DD6"/>
    <w:rsid w:val="00BC30FB"/>
    <w:rsid w:val="00BC31DF"/>
    <w:rsid w:val="00BC4940"/>
    <w:rsid w:val="00BC57CD"/>
    <w:rsid w:val="00BC5A77"/>
    <w:rsid w:val="00BC5CF5"/>
    <w:rsid w:val="00BC6C2F"/>
    <w:rsid w:val="00BC7110"/>
    <w:rsid w:val="00BD001E"/>
    <w:rsid w:val="00BD074D"/>
    <w:rsid w:val="00BD1276"/>
    <w:rsid w:val="00BD1915"/>
    <w:rsid w:val="00BD1C0F"/>
    <w:rsid w:val="00BD1CEB"/>
    <w:rsid w:val="00BD2A46"/>
    <w:rsid w:val="00BD346B"/>
    <w:rsid w:val="00BD3501"/>
    <w:rsid w:val="00BD38A0"/>
    <w:rsid w:val="00BD3FEE"/>
    <w:rsid w:val="00BD4DA7"/>
    <w:rsid w:val="00BD510B"/>
    <w:rsid w:val="00BD5890"/>
    <w:rsid w:val="00BD6423"/>
    <w:rsid w:val="00BD73CE"/>
    <w:rsid w:val="00BD75E2"/>
    <w:rsid w:val="00BD77E2"/>
    <w:rsid w:val="00BD7C81"/>
    <w:rsid w:val="00BD7CEA"/>
    <w:rsid w:val="00BE0659"/>
    <w:rsid w:val="00BE0E40"/>
    <w:rsid w:val="00BE106B"/>
    <w:rsid w:val="00BE125A"/>
    <w:rsid w:val="00BE1414"/>
    <w:rsid w:val="00BE1A4D"/>
    <w:rsid w:val="00BE1DC7"/>
    <w:rsid w:val="00BE2240"/>
    <w:rsid w:val="00BE26CC"/>
    <w:rsid w:val="00BE31C3"/>
    <w:rsid w:val="00BE3606"/>
    <w:rsid w:val="00BE362E"/>
    <w:rsid w:val="00BE46C6"/>
    <w:rsid w:val="00BE4B1D"/>
    <w:rsid w:val="00BE75E0"/>
    <w:rsid w:val="00BE7D67"/>
    <w:rsid w:val="00BE7E4A"/>
    <w:rsid w:val="00BF0324"/>
    <w:rsid w:val="00BF0B2B"/>
    <w:rsid w:val="00BF1AF3"/>
    <w:rsid w:val="00BF1AFF"/>
    <w:rsid w:val="00BF1B56"/>
    <w:rsid w:val="00BF2695"/>
    <w:rsid w:val="00BF3095"/>
    <w:rsid w:val="00BF33A7"/>
    <w:rsid w:val="00BF3B07"/>
    <w:rsid w:val="00BF3D95"/>
    <w:rsid w:val="00BF48D5"/>
    <w:rsid w:val="00BF5123"/>
    <w:rsid w:val="00BF6423"/>
    <w:rsid w:val="00BF6556"/>
    <w:rsid w:val="00BF6AC3"/>
    <w:rsid w:val="00BF74A4"/>
    <w:rsid w:val="00BF7976"/>
    <w:rsid w:val="00BF79D9"/>
    <w:rsid w:val="00C009E4"/>
    <w:rsid w:val="00C00BD4"/>
    <w:rsid w:val="00C00EB5"/>
    <w:rsid w:val="00C027FC"/>
    <w:rsid w:val="00C03013"/>
    <w:rsid w:val="00C04AF1"/>
    <w:rsid w:val="00C04CE6"/>
    <w:rsid w:val="00C04D1C"/>
    <w:rsid w:val="00C05CF0"/>
    <w:rsid w:val="00C0686E"/>
    <w:rsid w:val="00C06967"/>
    <w:rsid w:val="00C07D54"/>
    <w:rsid w:val="00C101A8"/>
    <w:rsid w:val="00C11417"/>
    <w:rsid w:val="00C119A7"/>
    <w:rsid w:val="00C11B4F"/>
    <w:rsid w:val="00C132BC"/>
    <w:rsid w:val="00C13803"/>
    <w:rsid w:val="00C13ADE"/>
    <w:rsid w:val="00C14650"/>
    <w:rsid w:val="00C147B6"/>
    <w:rsid w:val="00C14823"/>
    <w:rsid w:val="00C14C57"/>
    <w:rsid w:val="00C14EA0"/>
    <w:rsid w:val="00C156A9"/>
    <w:rsid w:val="00C17102"/>
    <w:rsid w:val="00C17919"/>
    <w:rsid w:val="00C17F2D"/>
    <w:rsid w:val="00C17FB9"/>
    <w:rsid w:val="00C203D5"/>
    <w:rsid w:val="00C20DA6"/>
    <w:rsid w:val="00C24191"/>
    <w:rsid w:val="00C24B2A"/>
    <w:rsid w:val="00C26642"/>
    <w:rsid w:val="00C269E3"/>
    <w:rsid w:val="00C3040C"/>
    <w:rsid w:val="00C310DF"/>
    <w:rsid w:val="00C3162D"/>
    <w:rsid w:val="00C31884"/>
    <w:rsid w:val="00C31994"/>
    <w:rsid w:val="00C32765"/>
    <w:rsid w:val="00C32EBB"/>
    <w:rsid w:val="00C32ED8"/>
    <w:rsid w:val="00C33314"/>
    <w:rsid w:val="00C3358A"/>
    <w:rsid w:val="00C335BC"/>
    <w:rsid w:val="00C33D45"/>
    <w:rsid w:val="00C34183"/>
    <w:rsid w:val="00C35ABC"/>
    <w:rsid w:val="00C3716B"/>
    <w:rsid w:val="00C402A9"/>
    <w:rsid w:val="00C40896"/>
    <w:rsid w:val="00C40BEA"/>
    <w:rsid w:val="00C40C25"/>
    <w:rsid w:val="00C40C3B"/>
    <w:rsid w:val="00C41153"/>
    <w:rsid w:val="00C41BB4"/>
    <w:rsid w:val="00C41C19"/>
    <w:rsid w:val="00C43A47"/>
    <w:rsid w:val="00C43EE9"/>
    <w:rsid w:val="00C45D2F"/>
    <w:rsid w:val="00C46E29"/>
    <w:rsid w:val="00C4781E"/>
    <w:rsid w:val="00C514D4"/>
    <w:rsid w:val="00C516D7"/>
    <w:rsid w:val="00C538A8"/>
    <w:rsid w:val="00C5496C"/>
    <w:rsid w:val="00C54E0A"/>
    <w:rsid w:val="00C555B2"/>
    <w:rsid w:val="00C56A62"/>
    <w:rsid w:val="00C579F6"/>
    <w:rsid w:val="00C57FB8"/>
    <w:rsid w:val="00C602A1"/>
    <w:rsid w:val="00C607B0"/>
    <w:rsid w:val="00C61339"/>
    <w:rsid w:val="00C618BB"/>
    <w:rsid w:val="00C61B1A"/>
    <w:rsid w:val="00C628AF"/>
    <w:rsid w:val="00C63022"/>
    <w:rsid w:val="00C642AF"/>
    <w:rsid w:val="00C6642A"/>
    <w:rsid w:val="00C675FE"/>
    <w:rsid w:val="00C67E49"/>
    <w:rsid w:val="00C700A2"/>
    <w:rsid w:val="00C703C7"/>
    <w:rsid w:val="00C705A5"/>
    <w:rsid w:val="00C705DE"/>
    <w:rsid w:val="00C70881"/>
    <w:rsid w:val="00C70984"/>
    <w:rsid w:val="00C71107"/>
    <w:rsid w:val="00C715DB"/>
    <w:rsid w:val="00C71643"/>
    <w:rsid w:val="00C72B72"/>
    <w:rsid w:val="00C72FE5"/>
    <w:rsid w:val="00C7362D"/>
    <w:rsid w:val="00C73FF3"/>
    <w:rsid w:val="00C761DC"/>
    <w:rsid w:val="00C76266"/>
    <w:rsid w:val="00C812CA"/>
    <w:rsid w:val="00C817E7"/>
    <w:rsid w:val="00C81D8B"/>
    <w:rsid w:val="00C826AB"/>
    <w:rsid w:val="00C82CB2"/>
    <w:rsid w:val="00C85312"/>
    <w:rsid w:val="00C853EC"/>
    <w:rsid w:val="00C85D09"/>
    <w:rsid w:val="00C87123"/>
    <w:rsid w:val="00C8715B"/>
    <w:rsid w:val="00C87BB2"/>
    <w:rsid w:val="00C90654"/>
    <w:rsid w:val="00C9069A"/>
    <w:rsid w:val="00C906C5"/>
    <w:rsid w:val="00C90FDB"/>
    <w:rsid w:val="00C913E5"/>
    <w:rsid w:val="00C931D1"/>
    <w:rsid w:val="00C93C9A"/>
    <w:rsid w:val="00C93D36"/>
    <w:rsid w:val="00C93EC3"/>
    <w:rsid w:val="00C94198"/>
    <w:rsid w:val="00C96DF7"/>
    <w:rsid w:val="00C9726E"/>
    <w:rsid w:val="00C973F9"/>
    <w:rsid w:val="00C97894"/>
    <w:rsid w:val="00C97E02"/>
    <w:rsid w:val="00CA08D8"/>
    <w:rsid w:val="00CA16FF"/>
    <w:rsid w:val="00CA176E"/>
    <w:rsid w:val="00CA1948"/>
    <w:rsid w:val="00CA3859"/>
    <w:rsid w:val="00CA3B74"/>
    <w:rsid w:val="00CA3E4F"/>
    <w:rsid w:val="00CA5508"/>
    <w:rsid w:val="00CA55BB"/>
    <w:rsid w:val="00CA5E2D"/>
    <w:rsid w:val="00CA6425"/>
    <w:rsid w:val="00CA6658"/>
    <w:rsid w:val="00CA7BF2"/>
    <w:rsid w:val="00CA7C96"/>
    <w:rsid w:val="00CB127F"/>
    <w:rsid w:val="00CB1E41"/>
    <w:rsid w:val="00CB3F8D"/>
    <w:rsid w:val="00CB4362"/>
    <w:rsid w:val="00CB44CE"/>
    <w:rsid w:val="00CB4B9D"/>
    <w:rsid w:val="00CB5D2A"/>
    <w:rsid w:val="00CB6397"/>
    <w:rsid w:val="00CB6500"/>
    <w:rsid w:val="00CB6A17"/>
    <w:rsid w:val="00CB6AE5"/>
    <w:rsid w:val="00CB77AA"/>
    <w:rsid w:val="00CB7D7A"/>
    <w:rsid w:val="00CB7FF8"/>
    <w:rsid w:val="00CC0373"/>
    <w:rsid w:val="00CC195F"/>
    <w:rsid w:val="00CC1CF3"/>
    <w:rsid w:val="00CC5833"/>
    <w:rsid w:val="00CC63F0"/>
    <w:rsid w:val="00CC6D8B"/>
    <w:rsid w:val="00CC78A9"/>
    <w:rsid w:val="00CD0887"/>
    <w:rsid w:val="00CD1403"/>
    <w:rsid w:val="00CD170D"/>
    <w:rsid w:val="00CD1FE9"/>
    <w:rsid w:val="00CD23FE"/>
    <w:rsid w:val="00CD25C7"/>
    <w:rsid w:val="00CD29D9"/>
    <w:rsid w:val="00CD2BFF"/>
    <w:rsid w:val="00CD32E5"/>
    <w:rsid w:val="00CD4217"/>
    <w:rsid w:val="00CD485D"/>
    <w:rsid w:val="00CD6CD3"/>
    <w:rsid w:val="00CD7A12"/>
    <w:rsid w:val="00CE019B"/>
    <w:rsid w:val="00CE1DF7"/>
    <w:rsid w:val="00CE23CD"/>
    <w:rsid w:val="00CE29FD"/>
    <w:rsid w:val="00CE2DE4"/>
    <w:rsid w:val="00CE317C"/>
    <w:rsid w:val="00CE365C"/>
    <w:rsid w:val="00CE43E0"/>
    <w:rsid w:val="00CE45D7"/>
    <w:rsid w:val="00CE4CDF"/>
    <w:rsid w:val="00CE50D8"/>
    <w:rsid w:val="00CE515A"/>
    <w:rsid w:val="00CE522E"/>
    <w:rsid w:val="00CE68DF"/>
    <w:rsid w:val="00CF071D"/>
    <w:rsid w:val="00CF0813"/>
    <w:rsid w:val="00CF133E"/>
    <w:rsid w:val="00CF149E"/>
    <w:rsid w:val="00CF21D9"/>
    <w:rsid w:val="00CF228F"/>
    <w:rsid w:val="00CF42E2"/>
    <w:rsid w:val="00CF5580"/>
    <w:rsid w:val="00CF57F3"/>
    <w:rsid w:val="00CF6695"/>
    <w:rsid w:val="00CF7695"/>
    <w:rsid w:val="00D00B8B"/>
    <w:rsid w:val="00D00DCE"/>
    <w:rsid w:val="00D01247"/>
    <w:rsid w:val="00D01D9B"/>
    <w:rsid w:val="00D01E8E"/>
    <w:rsid w:val="00D038D1"/>
    <w:rsid w:val="00D03932"/>
    <w:rsid w:val="00D03B20"/>
    <w:rsid w:val="00D044E6"/>
    <w:rsid w:val="00D05A78"/>
    <w:rsid w:val="00D07CC2"/>
    <w:rsid w:val="00D07D29"/>
    <w:rsid w:val="00D1039A"/>
    <w:rsid w:val="00D107C5"/>
    <w:rsid w:val="00D12176"/>
    <w:rsid w:val="00D135EC"/>
    <w:rsid w:val="00D139FF"/>
    <w:rsid w:val="00D13B89"/>
    <w:rsid w:val="00D14522"/>
    <w:rsid w:val="00D14A54"/>
    <w:rsid w:val="00D14FD0"/>
    <w:rsid w:val="00D15E62"/>
    <w:rsid w:val="00D15EB8"/>
    <w:rsid w:val="00D16823"/>
    <w:rsid w:val="00D1686F"/>
    <w:rsid w:val="00D169E2"/>
    <w:rsid w:val="00D16EF3"/>
    <w:rsid w:val="00D211C7"/>
    <w:rsid w:val="00D2235B"/>
    <w:rsid w:val="00D22A1E"/>
    <w:rsid w:val="00D23041"/>
    <w:rsid w:val="00D23266"/>
    <w:rsid w:val="00D23415"/>
    <w:rsid w:val="00D2379B"/>
    <w:rsid w:val="00D257A1"/>
    <w:rsid w:val="00D26B97"/>
    <w:rsid w:val="00D276FF"/>
    <w:rsid w:val="00D27B7A"/>
    <w:rsid w:val="00D27CDA"/>
    <w:rsid w:val="00D30275"/>
    <w:rsid w:val="00D315DC"/>
    <w:rsid w:val="00D31CDF"/>
    <w:rsid w:val="00D32B14"/>
    <w:rsid w:val="00D32B90"/>
    <w:rsid w:val="00D3416E"/>
    <w:rsid w:val="00D35AA0"/>
    <w:rsid w:val="00D35F67"/>
    <w:rsid w:val="00D37AD3"/>
    <w:rsid w:val="00D40940"/>
    <w:rsid w:val="00D40AD7"/>
    <w:rsid w:val="00D4156B"/>
    <w:rsid w:val="00D42AB7"/>
    <w:rsid w:val="00D43169"/>
    <w:rsid w:val="00D44A2E"/>
    <w:rsid w:val="00D44DEA"/>
    <w:rsid w:val="00D45170"/>
    <w:rsid w:val="00D456F6"/>
    <w:rsid w:val="00D45D5C"/>
    <w:rsid w:val="00D47F3A"/>
    <w:rsid w:val="00D50024"/>
    <w:rsid w:val="00D518A5"/>
    <w:rsid w:val="00D518DE"/>
    <w:rsid w:val="00D51FBC"/>
    <w:rsid w:val="00D521D8"/>
    <w:rsid w:val="00D53041"/>
    <w:rsid w:val="00D53185"/>
    <w:rsid w:val="00D53805"/>
    <w:rsid w:val="00D54787"/>
    <w:rsid w:val="00D5757D"/>
    <w:rsid w:val="00D60C06"/>
    <w:rsid w:val="00D60CB8"/>
    <w:rsid w:val="00D60EDB"/>
    <w:rsid w:val="00D61BC6"/>
    <w:rsid w:val="00D62CE2"/>
    <w:rsid w:val="00D64F35"/>
    <w:rsid w:val="00D656AF"/>
    <w:rsid w:val="00D66223"/>
    <w:rsid w:val="00D6710D"/>
    <w:rsid w:val="00D6799C"/>
    <w:rsid w:val="00D71B25"/>
    <w:rsid w:val="00D725A9"/>
    <w:rsid w:val="00D72E41"/>
    <w:rsid w:val="00D739D0"/>
    <w:rsid w:val="00D7482B"/>
    <w:rsid w:val="00D74B33"/>
    <w:rsid w:val="00D7516A"/>
    <w:rsid w:val="00D75744"/>
    <w:rsid w:val="00D76161"/>
    <w:rsid w:val="00D762FA"/>
    <w:rsid w:val="00D7650A"/>
    <w:rsid w:val="00D76548"/>
    <w:rsid w:val="00D77B54"/>
    <w:rsid w:val="00D77B55"/>
    <w:rsid w:val="00D77F08"/>
    <w:rsid w:val="00D80016"/>
    <w:rsid w:val="00D80A91"/>
    <w:rsid w:val="00D812CC"/>
    <w:rsid w:val="00D831C9"/>
    <w:rsid w:val="00D83FE0"/>
    <w:rsid w:val="00D84471"/>
    <w:rsid w:val="00D84CA4"/>
    <w:rsid w:val="00D86CD1"/>
    <w:rsid w:val="00D86E52"/>
    <w:rsid w:val="00D86EB1"/>
    <w:rsid w:val="00D8706F"/>
    <w:rsid w:val="00D874C0"/>
    <w:rsid w:val="00D87CD4"/>
    <w:rsid w:val="00D90AEC"/>
    <w:rsid w:val="00D90D3E"/>
    <w:rsid w:val="00D914BE"/>
    <w:rsid w:val="00D91BD8"/>
    <w:rsid w:val="00D92622"/>
    <w:rsid w:val="00D93371"/>
    <w:rsid w:val="00D93D89"/>
    <w:rsid w:val="00D94623"/>
    <w:rsid w:val="00D94B6D"/>
    <w:rsid w:val="00D9587D"/>
    <w:rsid w:val="00D96F82"/>
    <w:rsid w:val="00D971F5"/>
    <w:rsid w:val="00D97431"/>
    <w:rsid w:val="00D97566"/>
    <w:rsid w:val="00D97B92"/>
    <w:rsid w:val="00D97BF7"/>
    <w:rsid w:val="00DA00D8"/>
    <w:rsid w:val="00DA04B3"/>
    <w:rsid w:val="00DA0C82"/>
    <w:rsid w:val="00DA1958"/>
    <w:rsid w:val="00DA2022"/>
    <w:rsid w:val="00DA3224"/>
    <w:rsid w:val="00DA37E6"/>
    <w:rsid w:val="00DA3A70"/>
    <w:rsid w:val="00DA409D"/>
    <w:rsid w:val="00DA42C1"/>
    <w:rsid w:val="00DA4322"/>
    <w:rsid w:val="00DA57F3"/>
    <w:rsid w:val="00DA5944"/>
    <w:rsid w:val="00DA614D"/>
    <w:rsid w:val="00DA6E2E"/>
    <w:rsid w:val="00DA76FB"/>
    <w:rsid w:val="00DA7C7A"/>
    <w:rsid w:val="00DB01DB"/>
    <w:rsid w:val="00DB07DF"/>
    <w:rsid w:val="00DB0B38"/>
    <w:rsid w:val="00DB0DAF"/>
    <w:rsid w:val="00DB2645"/>
    <w:rsid w:val="00DB2FE4"/>
    <w:rsid w:val="00DB363E"/>
    <w:rsid w:val="00DB39AC"/>
    <w:rsid w:val="00DB4BED"/>
    <w:rsid w:val="00DB4D38"/>
    <w:rsid w:val="00DB549A"/>
    <w:rsid w:val="00DB5940"/>
    <w:rsid w:val="00DB5DF8"/>
    <w:rsid w:val="00DB673D"/>
    <w:rsid w:val="00DB6E65"/>
    <w:rsid w:val="00DB7335"/>
    <w:rsid w:val="00DC002C"/>
    <w:rsid w:val="00DC017B"/>
    <w:rsid w:val="00DC0ADE"/>
    <w:rsid w:val="00DC218B"/>
    <w:rsid w:val="00DC2DD7"/>
    <w:rsid w:val="00DC4C08"/>
    <w:rsid w:val="00DC518F"/>
    <w:rsid w:val="00DC53B0"/>
    <w:rsid w:val="00DC552A"/>
    <w:rsid w:val="00DC56F2"/>
    <w:rsid w:val="00DC5D2A"/>
    <w:rsid w:val="00DC657C"/>
    <w:rsid w:val="00DC6B24"/>
    <w:rsid w:val="00DC71A0"/>
    <w:rsid w:val="00DD088B"/>
    <w:rsid w:val="00DD15F5"/>
    <w:rsid w:val="00DD2B73"/>
    <w:rsid w:val="00DD3B29"/>
    <w:rsid w:val="00DD44F3"/>
    <w:rsid w:val="00DD44F7"/>
    <w:rsid w:val="00DD456C"/>
    <w:rsid w:val="00DD5189"/>
    <w:rsid w:val="00DD599A"/>
    <w:rsid w:val="00DD5C58"/>
    <w:rsid w:val="00DD6285"/>
    <w:rsid w:val="00DD65A2"/>
    <w:rsid w:val="00DD698E"/>
    <w:rsid w:val="00DD6B4C"/>
    <w:rsid w:val="00DD7C85"/>
    <w:rsid w:val="00DE10C7"/>
    <w:rsid w:val="00DE1399"/>
    <w:rsid w:val="00DE1606"/>
    <w:rsid w:val="00DE1805"/>
    <w:rsid w:val="00DE1DC6"/>
    <w:rsid w:val="00DE20A0"/>
    <w:rsid w:val="00DE25D8"/>
    <w:rsid w:val="00DE2E07"/>
    <w:rsid w:val="00DE365D"/>
    <w:rsid w:val="00DE4096"/>
    <w:rsid w:val="00DE4776"/>
    <w:rsid w:val="00DE5A7F"/>
    <w:rsid w:val="00DE61F9"/>
    <w:rsid w:val="00DE6A6E"/>
    <w:rsid w:val="00DE75D1"/>
    <w:rsid w:val="00DE760C"/>
    <w:rsid w:val="00DE7C65"/>
    <w:rsid w:val="00DF0147"/>
    <w:rsid w:val="00DF14FB"/>
    <w:rsid w:val="00DF396C"/>
    <w:rsid w:val="00DF44DC"/>
    <w:rsid w:val="00DF5807"/>
    <w:rsid w:val="00DF5D80"/>
    <w:rsid w:val="00DF6648"/>
    <w:rsid w:val="00DF7860"/>
    <w:rsid w:val="00DF7C12"/>
    <w:rsid w:val="00E02752"/>
    <w:rsid w:val="00E02BBE"/>
    <w:rsid w:val="00E03598"/>
    <w:rsid w:val="00E053CB"/>
    <w:rsid w:val="00E0644A"/>
    <w:rsid w:val="00E06F91"/>
    <w:rsid w:val="00E10223"/>
    <w:rsid w:val="00E10B04"/>
    <w:rsid w:val="00E10B5F"/>
    <w:rsid w:val="00E127E7"/>
    <w:rsid w:val="00E145DA"/>
    <w:rsid w:val="00E14D1D"/>
    <w:rsid w:val="00E16044"/>
    <w:rsid w:val="00E161E8"/>
    <w:rsid w:val="00E167BF"/>
    <w:rsid w:val="00E16847"/>
    <w:rsid w:val="00E1699D"/>
    <w:rsid w:val="00E173D6"/>
    <w:rsid w:val="00E1742B"/>
    <w:rsid w:val="00E17910"/>
    <w:rsid w:val="00E17D2B"/>
    <w:rsid w:val="00E2023F"/>
    <w:rsid w:val="00E221D1"/>
    <w:rsid w:val="00E2264C"/>
    <w:rsid w:val="00E22F5D"/>
    <w:rsid w:val="00E237E2"/>
    <w:rsid w:val="00E24083"/>
    <w:rsid w:val="00E241E2"/>
    <w:rsid w:val="00E242E1"/>
    <w:rsid w:val="00E242EB"/>
    <w:rsid w:val="00E247B9"/>
    <w:rsid w:val="00E24897"/>
    <w:rsid w:val="00E2550D"/>
    <w:rsid w:val="00E25D1B"/>
    <w:rsid w:val="00E25F99"/>
    <w:rsid w:val="00E27C42"/>
    <w:rsid w:val="00E3022B"/>
    <w:rsid w:val="00E313F6"/>
    <w:rsid w:val="00E3271E"/>
    <w:rsid w:val="00E33201"/>
    <w:rsid w:val="00E3391E"/>
    <w:rsid w:val="00E33B8F"/>
    <w:rsid w:val="00E34B6A"/>
    <w:rsid w:val="00E3618A"/>
    <w:rsid w:val="00E37FDC"/>
    <w:rsid w:val="00E40371"/>
    <w:rsid w:val="00E40F2A"/>
    <w:rsid w:val="00E41115"/>
    <w:rsid w:val="00E42252"/>
    <w:rsid w:val="00E422BF"/>
    <w:rsid w:val="00E456F3"/>
    <w:rsid w:val="00E45A95"/>
    <w:rsid w:val="00E467B1"/>
    <w:rsid w:val="00E469B0"/>
    <w:rsid w:val="00E474EE"/>
    <w:rsid w:val="00E5040D"/>
    <w:rsid w:val="00E5116C"/>
    <w:rsid w:val="00E51796"/>
    <w:rsid w:val="00E51987"/>
    <w:rsid w:val="00E522B9"/>
    <w:rsid w:val="00E52C34"/>
    <w:rsid w:val="00E53342"/>
    <w:rsid w:val="00E53897"/>
    <w:rsid w:val="00E539DF"/>
    <w:rsid w:val="00E53EEA"/>
    <w:rsid w:val="00E53F45"/>
    <w:rsid w:val="00E56246"/>
    <w:rsid w:val="00E568F7"/>
    <w:rsid w:val="00E57108"/>
    <w:rsid w:val="00E604AC"/>
    <w:rsid w:val="00E60502"/>
    <w:rsid w:val="00E60DAF"/>
    <w:rsid w:val="00E61937"/>
    <w:rsid w:val="00E6202C"/>
    <w:rsid w:val="00E622D1"/>
    <w:rsid w:val="00E6282E"/>
    <w:rsid w:val="00E62F52"/>
    <w:rsid w:val="00E631A3"/>
    <w:rsid w:val="00E632FE"/>
    <w:rsid w:val="00E63653"/>
    <w:rsid w:val="00E63A13"/>
    <w:rsid w:val="00E63E60"/>
    <w:rsid w:val="00E641B9"/>
    <w:rsid w:val="00E6455E"/>
    <w:rsid w:val="00E67539"/>
    <w:rsid w:val="00E701C4"/>
    <w:rsid w:val="00E7075A"/>
    <w:rsid w:val="00E70E80"/>
    <w:rsid w:val="00E70F64"/>
    <w:rsid w:val="00E712E8"/>
    <w:rsid w:val="00E717E5"/>
    <w:rsid w:val="00E71FF3"/>
    <w:rsid w:val="00E72968"/>
    <w:rsid w:val="00E72B53"/>
    <w:rsid w:val="00E72F52"/>
    <w:rsid w:val="00E738DC"/>
    <w:rsid w:val="00E738F9"/>
    <w:rsid w:val="00E73C94"/>
    <w:rsid w:val="00E7602B"/>
    <w:rsid w:val="00E764D2"/>
    <w:rsid w:val="00E76B7A"/>
    <w:rsid w:val="00E776E2"/>
    <w:rsid w:val="00E80D76"/>
    <w:rsid w:val="00E81A5A"/>
    <w:rsid w:val="00E82712"/>
    <w:rsid w:val="00E82C63"/>
    <w:rsid w:val="00E83C42"/>
    <w:rsid w:val="00E856F0"/>
    <w:rsid w:val="00E859C0"/>
    <w:rsid w:val="00E863DF"/>
    <w:rsid w:val="00E86D82"/>
    <w:rsid w:val="00E86F97"/>
    <w:rsid w:val="00E8743D"/>
    <w:rsid w:val="00E8748A"/>
    <w:rsid w:val="00E87893"/>
    <w:rsid w:val="00E87906"/>
    <w:rsid w:val="00E9071E"/>
    <w:rsid w:val="00E91382"/>
    <w:rsid w:val="00E91CF0"/>
    <w:rsid w:val="00E929F5"/>
    <w:rsid w:val="00E92ECA"/>
    <w:rsid w:val="00E936D9"/>
    <w:rsid w:val="00E93D41"/>
    <w:rsid w:val="00E93F41"/>
    <w:rsid w:val="00E9630A"/>
    <w:rsid w:val="00E9632B"/>
    <w:rsid w:val="00E96678"/>
    <w:rsid w:val="00E96F99"/>
    <w:rsid w:val="00E97873"/>
    <w:rsid w:val="00EA0220"/>
    <w:rsid w:val="00EA071C"/>
    <w:rsid w:val="00EA0DE3"/>
    <w:rsid w:val="00EA1000"/>
    <w:rsid w:val="00EA2359"/>
    <w:rsid w:val="00EA2EEA"/>
    <w:rsid w:val="00EA34AE"/>
    <w:rsid w:val="00EA3598"/>
    <w:rsid w:val="00EA3AD0"/>
    <w:rsid w:val="00EA5D1F"/>
    <w:rsid w:val="00EA6DEA"/>
    <w:rsid w:val="00EA7041"/>
    <w:rsid w:val="00EB03F1"/>
    <w:rsid w:val="00EB0AD5"/>
    <w:rsid w:val="00EB1C82"/>
    <w:rsid w:val="00EB26DC"/>
    <w:rsid w:val="00EB2715"/>
    <w:rsid w:val="00EB2AE3"/>
    <w:rsid w:val="00EB32DC"/>
    <w:rsid w:val="00EB34D7"/>
    <w:rsid w:val="00EB3D0A"/>
    <w:rsid w:val="00EB4DCF"/>
    <w:rsid w:val="00EB56CE"/>
    <w:rsid w:val="00EB6BE4"/>
    <w:rsid w:val="00EC00B2"/>
    <w:rsid w:val="00EC0DCF"/>
    <w:rsid w:val="00EC269A"/>
    <w:rsid w:val="00EC2E3A"/>
    <w:rsid w:val="00EC2F87"/>
    <w:rsid w:val="00EC30B8"/>
    <w:rsid w:val="00EC32A1"/>
    <w:rsid w:val="00EC4569"/>
    <w:rsid w:val="00EC4CB9"/>
    <w:rsid w:val="00EC53DE"/>
    <w:rsid w:val="00EC56CA"/>
    <w:rsid w:val="00EC65F9"/>
    <w:rsid w:val="00EC7263"/>
    <w:rsid w:val="00ED0815"/>
    <w:rsid w:val="00ED1BD3"/>
    <w:rsid w:val="00ED6538"/>
    <w:rsid w:val="00ED7568"/>
    <w:rsid w:val="00EE076C"/>
    <w:rsid w:val="00EE1767"/>
    <w:rsid w:val="00EE47D2"/>
    <w:rsid w:val="00EE4F91"/>
    <w:rsid w:val="00EE4FE6"/>
    <w:rsid w:val="00EE5122"/>
    <w:rsid w:val="00EE5270"/>
    <w:rsid w:val="00EE568E"/>
    <w:rsid w:val="00EE59F1"/>
    <w:rsid w:val="00EE5DC0"/>
    <w:rsid w:val="00EE5DD1"/>
    <w:rsid w:val="00EE5F96"/>
    <w:rsid w:val="00EE6704"/>
    <w:rsid w:val="00EE7587"/>
    <w:rsid w:val="00EF109B"/>
    <w:rsid w:val="00EF2525"/>
    <w:rsid w:val="00EF346A"/>
    <w:rsid w:val="00EF3C67"/>
    <w:rsid w:val="00EF6143"/>
    <w:rsid w:val="00EF6410"/>
    <w:rsid w:val="00EF67FF"/>
    <w:rsid w:val="00EF6B5B"/>
    <w:rsid w:val="00EF6F4F"/>
    <w:rsid w:val="00F00753"/>
    <w:rsid w:val="00F007E5"/>
    <w:rsid w:val="00F009D1"/>
    <w:rsid w:val="00F0245A"/>
    <w:rsid w:val="00F036D1"/>
    <w:rsid w:val="00F04088"/>
    <w:rsid w:val="00F043DA"/>
    <w:rsid w:val="00F05FC4"/>
    <w:rsid w:val="00F0658E"/>
    <w:rsid w:val="00F06753"/>
    <w:rsid w:val="00F0727D"/>
    <w:rsid w:val="00F10C75"/>
    <w:rsid w:val="00F110A1"/>
    <w:rsid w:val="00F11A54"/>
    <w:rsid w:val="00F146CC"/>
    <w:rsid w:val="00F15361"/>
    <w:rsid w:val="00F156F3"/>
    <w:rsid w:val="00F157CA"/>
    <w:rsid w:val="00F15934"/>
    <w:rsid w:val="00F16252"/>
    <w:rsid w:val="00F16A7C"/>
    <w:rsid w:val="00F16C40"/>
    <w:rsid w:val="00F170AB"/>
    <w:rsid w:val="00F177D4"/>
    <w:rsid w:val="00F203FB"/>
    <w:rsid w:val="00F20D6D"/>
    <w:rsid w:val="00F21401"/>
    <w:rsid w:val="00F22158"/>
    <w:rsid w:val="00F22478"/>
    <w:rsid w:val="00F22FAC"/>
    <w:rsid w:val="00F231DE"/>
    <w:rsid w:val="00F235A6"/>
    <w:rsid w:val="00F24489"/>
    <w:rsid w:val="00F244AD"/>
    <w:rsid w:val="00F259FC"/>
    <w:rsid w:val="00F25C93"/>
    <w:rsid w:val="00F263BB"/>
    <w:rsid w:val="00F26E45"/>
    <w:rsid w:val="00F31ADF"/>
    <w:rsid w:val="00F31FB1"/>
    <w:rsid w:val="00F323D9"/>
    <w:rsid w:val="00F32D18"/>
    <w:rsid w:val="00F33DF6"/>
    <w:rsid w:val="00F33F5B"/>
    <w:rsid w:val="00F34196"/>
    <w:rsid w:val="00F35520"/>
    <w:rsid w:val="00F35644"/>
    <w:rsid w:val="00F35903"/>
    <w:rsid w:val="00F36156"/>
    <w:rsid w:val="00F3662A"/>
    <w:rsid w:val="00F36FCA"/>
    <w:rsid w:val="00F3706E"/>
    <w:rsid w:val="00F40298"/>
    <w:rsid w:val="00F40A5B"/>
    <w:rsid w:val="00F4249E"/>
    <w:rsid w:val="00F42880"/>
    <w:rsid w:val="00F43085"/>
    <w:rsid w:val="00F4399F"/>
    <w:rsid w:val="00F45000"/>
    <w:rsid w:val="00F45495"/>
    <w:rsid w:val="00F47A8B"/>
    <w:rsid w:val="00F506A9"/>
    <w:rsid w:val="00F50C26"/>
    <w:rsid w:val="00F50C71"/>
    <w:rsid w:val="00F5132A"/>
    <w:rsid w:val="00F51DD0"/>
    <w:rsid w:val="00F52BCC"/>
    <w:rsid w:val="00F537AC"/>
    <w:rsid w:val="00F53D1E"/>
    <w:rsid w:val="00F53DB8"/>
    <w:rsid w:val="00F54771"/>
    <w:rsid w:val="00F54B50"/>
    <w:rsid w:val="00F55684"/>
    <w:rsid w:val="00F55ECE"/>
    <w:rsid w:val="00F55F4D"/>
    <w:rsid w:val="00F55F69"/>
    <w:rsid w:val="00F5657C"/>
    <w:rsid w:val="00F56B6E"/>
    <w:rsid w:val="00F56DB4"/>
    <w:rsid w:val="00F573E1"/>
    <w:rsid w:val="00F579D9"/>
    <w:rsid w:val="00F57DAB"/>
    <w:rsid w:val="00F602DF"/>
    <w:rsid w:val="00F6093B"/>
    <w:rsid w:val="00F609A2"/>
    <w:rsid w:val="00F60F9C"/>
    <w:rsid w:val="00F61463"/>
    <w:rsid w:val="00F6176F"/>
    <w:rsid w:val="00F61CF3"/>
    <w:rsid w:val="00F61D6F"/>
    <w:rsid w:val="00F61E54"/>
    <w:rsid w:val="00F6210B"/>
    <w:rsid w:val="00F63CFA"/>
    <w:rsid w:val="00F64016"/>
    <w:rsid w:val="00F641D2"/>
    <w:rsid w:val="00F64418"/>
    <w:rsid w:val="00F6582E"/>
    <w:rsid w:val="00F65AD0"/>
    <w:rsid w:val="00F66815"/>
    <w:rsid w:val="00F66E5A"/>
    <w:rsid w:val="00F6739D"/>
    <w:rsid w:val="00F706DE"/>
    <w:rsid w:val="00F70FA2"/>
    <w:rsid w:val="00F71289"/>
    <w:rsid w:val="00F717BF"/>
    <w:rsid w:val="00F72C60"/>
    <w:rsid w:val="00F7397F"/>
    <w:rsid w:val="00F73A10"/>
    <w:rsid w:val="00F74A25"/>
    <w:rsid w:val="00F74AFC"/>
    <w:rsid w:val="00F74B20"/>
    <w:rsid w:val="00F76EC0"/>
    <w:rsid w:val="00F8034E"/>
    <w:rsid w:val="00F80D6A"/>
    <w:rsid w:val="00F81750"/>
    <w:rsid w:val="00F817DF"/>
    <w:rsid w:val="00F82674"/>
    <w:rsid w:val="00F82D8A"/>
    <w:rsid w:val="00F83E49"/>
    <w:rsid w:val="00F83F3E"/>
    <w:rsid w:val="00F858D0"/>
    <w:rsid w:val="00F85D66"/>
    <w:rsid w:val="00F875AF"/>
    <w:rsid w:val="00F8798E"/>
    <w:rsid w:val="00F87F5B"/>
    <w:rsid w:val="00F90334"/>
    <w:rsid w:val="00F907AC"/>
    <w:rsid w:val="00F90E4D"/>
    <w:rsid w:val="00F91EE9"/>
    <w:rsid w:val="00F91F9D"/>
    <w:rsid w:val="00F920E8"/>
    <w:rsid w:val="00F92327"/>
    <w:rsid w:val="00F931F0"/>
    <w:rsid w:val="00F944E9"/>
    <w:rsid w:val="00F957CE"/>
    <w:rsid w:val="00F95CFC"/>
    <w:rsid w:val="00F95FE9"/>
    <w:rsid w:val="00F96380"/>
    <w:rsid w:val="00FA004F"/>
    <w:rsid w:val="00FA0DC0"/>
    <w:rsid w:val="00FA2C59"/>
    <w:rsid w:val="00FA3761"/>
    <w:rsid w:val="00FA3AD6"/>
    <w:rsid w:val="00FA4847"/>
    <w:rsid w:val="00FA5A4F"/>
    <w:rsid w:val="00FA6147"/>
    <w:rsid w:val="00FA68A9"/>
    <w:rsid w:val="00FA6E4F"/>
    <w:rsid w:val="00FA78A3"/>
    <w:rsid w:val="00FB159D"/>
    <w:rsid w:val="00FB244F"/>
    <w:rsid w:val="00FB3E13"/>
    <w:rsid w:val="00FB58C4"/>
    <w:rsid w:val="00FC0C43"/>
    <w:rsid w:val="00FC1465"/>
    <w:rsid w:val="00FC17DC"/>
    <w:rsid w:val="00FC2781"/>
    <w:rsid w:val="00FC3929"/>
    <w:rsid w:val="00FC603A"/>
    <w:rsid w:val="00FC6150"/>
    <w:rsid w:val="00FC7510"/>
    <w:rsid w:val="00FC778C"/>
    <w:rsid w:val="00FC7E25"/>
    <w:rsid w:val="00FD0D14"/>
    <w:rsid w:val="00FD15FB"/>
    <w:rsid w:val="00FD1C4B"/>
    <w:rsid w:val="00FD252C"/>
    <w:rsid w:val="00FD43B6"/>
    <w:rsid w:val="00FD544C"/>
    <w:rsid w:val="00FD571D"/>
    <w:rsid w:val="00FD5DBE"/>
    <w:rsid w:val="00FD5F32"/>
    <w:rsid w:val="00FD6C1E"/>
    <w:rsid w:val="00FD6F1E"/>
    <w:rsid w:val="00FE048F"/>
    <w:rsid w:val="00FE0AFB"/>
    <w:rsid w:val="00FE2B8F"/>
    <w:rsid w:val="00FE2DF3"/>
    <w:rsid w:val="00FE2FEB"/>
    <w:rsid w:val="00FE31D9"/>
    <w:rsid w:val="00FE36F5"/>
    <w:rsid w:val="00FE4572"/>
    <w:rsid w:val="00FE495E"/>
    <w:rsid w:val="00FE550F"/>
    <w:rsid w:val="00FE64FC"/>
    <w:rsid w:val="00FF09FD"/>
    <w:rsid w:val="00FF26EC"/>
    <w:rsid w:val="00FF492D"/>
    <w:rsid w:val="00FF61D3"/>
    <w:rsid w:val="00FF6625"/>
    <w:rsid w:val="00FF6F2A"/>
    <w:rsid w:val="00FF7235"/>
    <w:rsid w:val="01AD1873"/>
    <w:rsid w:val="02544A1E"/>
    <w:rsid w:val="02FA569D"/>
    <w:rsid w:val="03036665"/>
    <w:rsid w:val="031A4ACD"/>
    <w:rsid w:val="037670C0"/>
    <w:rsid w:val="04566264"/>
    <w:rsid w:val="04CC6316"/>
    <w:rsid w:val="05AB6BB5"/>
    <w:rsid w:val="060C7C04"/>
    <w:rsid w:val="06144A27"/>
    <w:rsid w:val="061C2766"/>
    <w:rsid w:val="068356C8"/>
    <w:rsid w:val="07993245"/>
    <w:rsid w:val="08055CAB"/>
    <w:rsid w:val="083326B3"/>
    <w:rsid w:val="0896662D"/>
    <w:rsid w:val="094D1481"/>
    <w:rsid w:val="097A2864"/>
    <w:rsid w:val="0A0E0016"/>
    <w:rsid w:val="0B3A00B3"/>
    <w:rsid w:val="0BEE03B2"/>
    <w:rsid w:val="0D187B50"/>
    <w:rsid w:val="0E502773"/>
    <w:rsid w:val="0F3A3DFF"/>
    <w:rsid w:val="0FA97B58"/>
    <w:rsid w:val="109D458D"/>
    <w:rsid w:val="116D2EC9"/>
    <w:rsid w:val="117D3ED1"/>
    <w:rsid w:val="11D44E9C"/>
    <w:rsid w:val="11F02745"/>
    <w:rsid w:val="121579A3"/>
    <w:rsid w:val="125B57AE"/>
    <w:rsid w:val="12C77779"/>
    <w:rsid w:val="12C90CF0"/>
    <w:rsid w:val="13234267"/>
    <w:rsid w:val="13722859"/>
    <w:rsid w:val="13A6528A"/>
    <w:rsid w:val="13FC0C0A"/>
    <w:rsid w:val="14777F72"/>
    <w:rsid w:val="15537E15"/>
    <w:rsid w:val="16164F06"/>
    <w:rsid w:val="17605172"/>
    <w:rsid w:val="17FF434E"/>
    <w:rsid w:val="18057327"/>
    <w:rsid w:val="18CA6249"/>
    <w:rsid w:val="19B54768"/>
    <w:rsid w:val="19E24C1C"/>
    <w:rsid w:val="1A3120C0"/>
    <w:rsid w:val="1AD10631"/>
    <w:rsid w:val="1AF276F8"/>
    <w:rsid w:val="1B2E266D"/>
    <w:rsid w:val="1BBE0DFF"/>
    <w:rsid w:val="1BD143CB"/>
    <w:rsid w:val="1C676ADD"/>
    <w:rsid w:val="1CF11735"/>
    <w:rsid w:val="1D725A26"/>
    <w:rsid w:val="1EEE5942"/>
    <w:rsid w:val="1F0A69A8"/>
    <w:rsid w:val="20D34BC1"/>
    <w:rsid w:val="20F45B3A"/>
    <w:rsid w:val="21194A7C"/>
    <w:rsid w:val="218441BA"/>
    <w:rsid w:val="2214019E"/>
    <w:rsid w:val="22977D57"/>
    <w:rsid w:val="24A43E2E"/>
    <w:rsid w:val="2572277A"/>
    <w:rsid w:val="25F73654"/>
    <w:rsid w:val="25F803D3"/>
    <w:rsid w:val="262E0E93"/>
    <w:rsid w:val="26AF259A"/>
    <w:rsid w:val="279D74CB"/>
    <w:rsid w:val="281650F9"/>
    <w:rsid w:val="288307FB"/>
    <w:rsid w:val="28976054"/>
    <w:rsid w:val="28A13818"/>
    <w:rsid w:val="28B3029B"/>
    <w:rsid w:val="28EE63EB"/>
    <w:rsid w:val="28FC1734"/>
    <w:rsid w:val="29091082"/>
    <w:rsid w:val="2933430F"/>
    <w:rsid w:val="29A3069D"/>
    <w:rsid w:val="29DE0C5C"/>
    <w:rsid w:val="2A1C711C"/>
    <w:rsid w:val="2A312ABD"/>
    <w:rsid w:val="2A7B3912"/>
    <w:rsid w:val="2AEE4CFE"/>
    <w:rsid w:val="2BC80F3A"/>
    <w:rsid w:val="2BE94E51"/>
    <w:rsid w:val="2C3B1951"/>
    <w:rsid w:val="2C8D7E32"/>
    <w:rsid w:val="2C9B7890"/>
    <w:rsid w:val="2D3D2B42"/>
    <w:rsid w:val="2D73578A"/>
    <w:rsid w:val="2E446497"/>
    <w:rsid w:val="2F7E7EC7"/>
    <w:rsid w:val="2F800BA1"/>
    <w:rsid w:val="2F8F6CD2"/>
    <w:rsid w:val="3137452B"/>
    <w:rsid w:val="31C1529D"/>
    <w:rsid w:val="3208793B"/>
    <w:rsid w:val="32643B5D"/>
    <w:rsid w:val="329315A4"/>
    <w:rsid w:val="331A2B77"/>
    <w:rsid w:val="331E3659"/>
    <w:rsid w:val="33885346"/>
    <w:rsid w:val="33AD4F8F"/>
    <w:rsid w:val="33E74D8D"/>
    <w:rsid w:val="33EB36F8"/>
    <w:rsid w:val="343B01DB"/>
    <w:rsid w:val="34B95E12"/>
    <w:rsid w:val="34EE1612"/>
    <w:rsid w:val="35250630"/>
    <w:rsid w:val="35442E3D"/>
    <w:rsid w:val="36301A6E"/>
    <w:rsid w:val="36BE3539"/>
    <w:rsid w:val="38204EE7"/>
    <w:rsid w:val="39283912"/>
    <w:rsid w:val="398E4756"/>
    <w:rsid w:val="39AA4B42"/>
    <w:rsid w:val="39B05E71"/>
    <w:rsid w:val="3A3A7DDC"/>
    <w:rsid w:val="3A9737FA"/>
    <w:rsid w:val="3B9F62CF"/>
    <w:rsid w:val="3C446E29"/>
    <w:rsid w:val="3C7E03CE"/>
    <w:rsid w:val="3CBC0E0B"/>
    <w:rsid w:val="3DA9112C"/>
    <w:rsid w:val="3DBF74FD"/>
    <w:rsid w:val="3DD118B1"/>
    <w:rsid w:val="3DEE7E73"/>
    <w:rsid w:val="3E0209C7"/>
    <w:rsid w:val="3E1C30C0"/>
    <w:rsid w:val="3E344F3C"/>
    <w:rsid w:val="3E8B44B3"/>
    <w:rsid w:val="3EA220F0"/>
    <w:rsid w:val="3ECF4038"/>
    <w:rsid w:val="3F1B7587"/>
    <w:rsid w:val="3F5E7D4A"/>
    <w:rsid w:val="3FDE2F37"/>
    <w:rsid w:val="41AB4620"/>
    <w:rsid w:val="41DC347B"/>
    <w:rsid w:val="42083C6E"/>
    <w:rsid w:val="421A6102"/>
    <w:rsid w:val="430E2370"/>
    <w:rsid w:val="44393AF3"/>
    <w:rsid w:val="45333FF1"/>
    <w:rsid w:val="46032522"/>
    <w:rsid w:val="46036F85"/>
    <w:rsid w:val="464669B6"/>
    <w:rsid w:val="46E279C6"/>
    <w:rsid w:val="471A45C8"/>
    <w:rsid w:val="472153AE"/>
    <w:rsid w:val="485D456C"/>
    <w:rsid w:val="49A52D09"/>
    <w:rsid w:val="49C967F5"/>
    <w:rsid w:val="49FC467B"/>
    <w:rsid w:val="4A7463DC"/>
    <w:rsid w:val="4A8E309D"/>
    <w:rsid w:val="4B9C1CE2"/>
    <w:rsid w:val="4BAE1039"/>
    <w:rsid w:val="4C350FA0"/>
    <w:rsid w:val="4CB37889"/>
    <w:rsid w:val="4D4B1C0D"/>
    <w:rsid w:val="4D977098"/>
    <w:rsid w:val="4DBA2738"/>
    <w:rsid w:val="4DBC3CE3"/>
    <w:rsid w:val="4DC42A8D"/>
    <w:rsid w:val="4DE83669"/>
    <w:rsid w:val="4DF92415"/>
    <w:rsid w:val="4E7379CD"/>
    <w:rsid w:val="4F235B89"/>
    <w:rsid w:val="50EB4A95"/>
    <w:rsid w:val="512F4C4C"/>
    <w:rsid w:val="514A5E8C"/>
    <w:rsid w:val="538E4659"/>
    <w:rsid w:val="53BB196D"/>
    <w:rsid w:val="53F97BE8"/>
    <w:rsid w:val="54C35D5C"/>
    <w:rsid w:val="55023CE0"/>
    <w:rsid w:val="55FF2686"/>
    <w:rsid w:val="560F6013"/>
    <w:rsid w:val="561C2EC0"/>
    <w:rsid w:val="57935995"/>
    <w:rsid w:val="57F63F01"/>
    <w:rsid w:val="58D566F0"/>
    <w:rsid w:val="59CD7852"/>
    <w:rsid w:val="5A5A2754"/>
    <w:rsid w:val="5B1E36A3"/>
    <w:rsid w:val="5BB071C7"/>
    <w:rsid w:val="5BD65DB8"/>
    <w:rsid w:val="5BFB04BD"/>
    <w:rsid w:val="5C355706"/>
    <w:rsid w:val="5C455FC2"/>
    <w:rsid w:val="5C7436DF"/>
    <w:rsid w:val="5D047419"/>
    <w:rsid w:val="5E1516A2"/>
    <w:rsid w:val="5EEC30F3"/>
    <w:rsid w:val="5FC14CC4"/>
    <w:rsid w:val="60D540A2"/>
    <w:rsid w:val="60DA3D76"/>
    <w:rsid w:val="61043104"/>
    <w:rsid w:val="611C205A"/>
    <w:rsid w:val="619B657A"/>
    <w:rsid w:val="62C96B81"/>
    <w:rsid w:val="62FB3D99"/>
    <w:rsid w:val="63216596"/>
    <w:rsid w:val="63C93060"/>
    <w:rsid w:val="651C23C7"/>
    <w:rsid w:val="66234278"/>
    <w:rsid w:val="6730634A"/>
    <w:rsid w:val="67595369"/>
    <w:rsid w:val="68506B89"/>
    <w:rsid w:val="688748EA"/>
    <w:rsid w:val="69176DE2"/>
    <w:rsid w:val="692F15AC"/>
    <w:rsid w:val="69F34897"/>
    <w:rsid w:val="6A060028"/>
    <w:rsid w:val="6A110CB9"/>
    <w:rsid w:val="6A78677B"/>
    <w:rsid w:val="6AD0773D"/>
    <w:rsid w:val="6B0153FF"/>
    <w:rsid w:val="6CD34175"/>
    <w:rsid w:val="6CE8600F"/>
    <w:rsid w:val="6E73196B"/>
    <w:rsid w:val="6E7709DE"/>
    <w:rsid w:val="6E8751B3"/>
    <w:rsid w:val="6E9D7C4E"/>
    <w:rsid w:val="6FB464A6"/>
    <w:rsid w:val="6FCE0D4A"/>
    <w:rsid w:val="71300247"/>
    <w:rsid w:val="717C20A8"/>
    <w:rsid w:val="71866CA5"/>
    <w:rsid w:val="719B26A7"/>
    <w:rsid w:val="722A1E6B"/>
    <w:rsid w:val="72A006FF"/>
    <w:rsid w:val="73080A0D"/>
    <w:rsid w:val="73E00292"/>
    <w:rsid w:val="74247396"/>
    <w:rsid w:val="74A040AF"/>
    <w:rsid w:val="751B5C9C"/>
    <w:rsid w:val="75736D3C"/>
    <w:rsid w:val="75A025E0"/>
    <w:rsid w:val="75BB7F0A"/>
    <w:rsid w:val="75DF3DA7"/>
    <w:rsid w:val="773D5571"/>
    <w:rsid w:val="77423989"/>
    <w:rsid w:val="77F9230A"/>
    <w:rsid w:val="785355D7"/>
    <w:rsid w:val="786E142C"/>
    <w:rsid w:val="788C41D3"/>
    <w:rsid w:val="78FB6994"/>
    <w:rsid w:val="79356981"/>
    <w:rsid w:val="799110FD"/>
    <w:rsid w:val="79A0771F"/>
    <w:rsid w:val="7A2E6882"/>
    <w:rsid w:val="7A772BBC"/>
    <w:rsid w:val="7B393714"/>
    <w:rsid w:val="7B3E6326"/>
    <w:rsid w:val="7CB1244A"/>
    <w:rsid w:val="7D6E25B9"/>
    <w:rsid w:val="7DA6539C"/>
    <w:rsid w:val="7E6703A4"/>
    <w:rsid w:val="7E8B756A"/>
    <w:rsid w:val="7EA30B1B"/>
    <w:rsid w:val="7EE90189"/>
    <w:rsid w:val="7F4D32B9"/>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0" w:semiHidden="0" w:name="heading 5"/>
    <w:lsdException w:qFormat="1" w:uiPriority="9" w:semiHidden="0" w:name="heading 6"/>
    <w:lsdException w:qFormat="1" w:uiPriority="9" w:semiHidden="0" w:name="heading 7"/>
    <w:lsdException w:qFormat="1" w:uiPriority="0" w:semiHidden="0" w:name="heading 8"/>
    <w:lsdException w:qFormat="1"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99" w:name="footnote text"/>
    <w:lsdException w:qFormat="1" w:uiPriority="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iPriority="99"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qFormat="1"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qFormat="1" w:uiPriority="99" w:name="Body Text First Indent"/>
    <w:lsdException w:qFormat="1" w:uiPriority="99" w:semiHidden="0" w:name="Body Text First Indent 2"/>
    <w:lsdException w:uiPriority="0" w:name="Note Heading"/>
    <w:lsdException w:uiPriority="99" w:name="Body Text 2"/>
    <w:lsdException w:uiPriority="99" w:name="Body Text 3"/>
    <w:lsdException w:qFormat="1" w:uiPriority="99" w:semiHidden="0"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0" w:semiHidden="0" w:name="Strong"/>
    <w:lsdException w:qFormat="1" w:unhideWhenUsed="0" w:uiPriority="20" w:semiHidden="0" w:name="Emphasis"/>
    <w:lsdException w:qFormat="1" w:uiPriority="99" w:name="Document Map"/>
    <w:lsdException w:qFormat="1" w:unhideWhenUsed="0" w:uiPriority="0" w:semiHidden="0" w:name="Plain Text"/>
    <w:lsdException w:uiPriority="99" w:name="E-mail Signature"/>
    <w:lsdException w:qFormat="1" w:uiPriority="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uiPriority="99"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154"/>
    <w:autoRedefine/>
    <w:qFormat/>
    <w:uiPriority w:val="0"/>
    <w:pPr>
      <w:widowControl w:val="0"/>
      <w:topLinePunct/>
      <w:autoSpaceDE w:val="0"/>
      <w:spacing w:line="480" w:lineRule="exact"/>
      <w:ind w:firstLine="200" w:firstLineChars="200"/>
      <w:jc w:val="both"/>
    </w:pPr>
    <w:rPr>
      <w:rFonts w:ascii="Times New Roman" w:hAnsi="Times New Roman" w:eastAsia="宋体" w:cs="Times New Roman"/>
      <w:kern w:val="2"/>
      <w:sz w:val="24"/>
      <w:szCs w:val="22"/>
      <w:lang w:val="en-US" w:eastAsia="zh-CN" w:bidi="ar-SA"/>
    </w:rPr>
  </w:style>
  <w:style w:type="paragraph" w:styleId="2">
    <w:name w:val="heading 1"/>
    <w:basedOn w:val="1"/>
    <w:next w:val="1"/>
    <w:link w:val="51"/>
    <w:autoRedefine/>
    <w:qFormat/>
    <w:uiPriority w:val="9"/>
    <w:pPr>
      <w:keepNext/>
      <w:keepLines/>
      <w:spacing w:before="180" w:after="180"/>
      <w:ind w:firstLine="0" w:firstLineChars="0"/>
      <w:outlineLvl w:val="0"/>
    </w:pPr>
    <w:rPr>
      <w:rFonts w:eastAsiaTheme="majorEastAsia" w:cstheme="minorBidi"/>
      <w:b/>
      <w:bCs/>
      <w:kern w:val="44"/>
      <w:sz w:val="30"/>
      <w:szCs w:val="44"/>
    </w:rPr>
  </w:style>
  <w:style w:type="paragraph" w:styleId="3">
    <w:name w:val="heading 2"/>
    <w:basedOn w:val="1"/>
    <w:next w:val="4"/>
    <w:link w:val="52"/>
    <w:autoRedefine/>
    <w:unhideWhenUsed/>
    <w:qFormat/>
    <w:uiPriority w:val="9"/>
    <w:pPr>
      <w:keepNext/>
      <w:keepLines/>
      <w:spacing w:before="120" w:after="120"/>
      <w:ind w:firstLine="0" w:firstLineChars="0"/>
      <w:outlineLvl w:val="1"/>
    </w:pPr>
    <w:rPr>
      <w:rFonts w:cstheme="majorBidi"/>
      <w:b/>
      <w:bCs/>
      <w:sz w:val="28"/>
      <w:szCs w:val="32"/>
    </w:rPr>
  </w:style>
  <w:style w:type="paragraph" w:styleId="5">
    <w:name w:val="heading 3"/>
    <w:basedOn w:val="1"/>
    <w:next w:val="1"/>
    <w:link w:val="53"/>
    <w:autoRedefine/>
    <w:unhideWhenUsed/>
    <w:qFormat/>
    <w:uiPriority w:val="9"/>
    <w:pPr>
      <w:keepNext/>
      <w:keepLines/>
      <w:spacing w:before="120" w:after="120"/>
      <w:ind w:firstLine="0" w:firstLineChars="0"/>
      <w:outlineLvl w:val="2"/>
    </w:pPr>
    <w:rPr>
      <w:b/>
      <w:bCs/>
      <w:szCs w:val="32"/>
    </w:rPr>
  </w:style>
  <w:style w:type="paragraph" w:styleId="6">
    <w:name w:val="heading 4"/>
    <w:basedOn w:val="1"/>
    <w:next w:val="1"/>
    <w:link w:val="54"/>
    <w:autoRedefine/>
    <w:unhideWhenUsed/>
    <w:qFormat/>
    <w:uiPriority w:val="9"/>
    <w:pPr>
      <w:keepNext/>
      <w:keepLines/>
      <w:spacing w:before="120" w:after="120"/>
      <w:ind w:firstLine="0" w:firstLineChars="0"/>
      <w:jc w:val="left"/>
      <w:outlineLvl w:val="3"/>
    </w:pPr>
    <w:rPr>
      <w:rFonts w:cstheme="majorBidi"/>
      <w:b/>
      <w:bCs/>
      <w:szCs w:val="28"/>
    </w:rPr>
  </w:style>
  <w:style w:type="paragraph" w:styleId="7">
    <w:name w:val="heading 5"/>
    <w:basedOn w:val="1"/>
    <w:next w:val="1"/>
    <w:link w:val="55"/>
    <w:autoRedefine/>
    <w:unhideWhenUsed/>
    <w:qFormat/>
    <w:uiPriority w:val="0"/>
    <w:pPr>
      <w:keepNext/>
      <w:keepLines/>
      <w:ind w:firstLine="0" w:firstLineChars="0"/>
      <w:jc w:val="center"/>
      <w:outlineLvl w:val="4"/>
    </w:pPr>
    <w:rPr>
      <w:b/>
      <w:bCs/>
      <w:szCs w:val="28"/>
    </w:rPr>
  </w:style>
  <w:style w:type="paragraph" w:styleId="8">
    <w:name w:val="heading 6"/>
    <w:basedOn w:val="1"/>
    <w:next w:val="1"/>
    <w:link w:val="56"/>
    <w:autoRedefine/>
    <w:unhideWhenUsed/>
    <w:qFormat/>
    <w:uiPriority w:val="9"/>
    <w:pPr>
      <w:keepNext/>
      <w:keepLines/>
      <w:spacing w:before="240" w:after="64" w:line="320" w:lineRule="auto"/>
      <w:outlineLvl w:val="5"/>
    </w:pPr>
    <w:rPr>
      <w:rFonts w:asciiTheme="majorHAnsi" w:hAnsiTheme="majorHAnsi" w:eastAsiaTheme="majorEastAsia" w:cstheme="majorBidi"/>
      <w:b/>
      <w:bCs/>
      <w:szCs w:val="24"/>
    </w:rPr>
  </w:style>
  <w:style w:type="paragraph" w:styleId="9">
    <w:name w:val="heading 7"/>
    <w:basedOn w:val="1"/>
    <w:next w:val="1"/>
    <w:link w:val="57"/>
    <w:autoRedefine/>
    <w:unhideWhenUsed/>
    <w:qFormat/>
    <w:uiPriority w:val="9"/>
    <w:pPr>
      <w:keepNext/>
      <w:keepLines/>
      <w:spacing w:before="240" w:after="64" w:line="320" w:lineRule="auto"/>
      <w:outlineLvl w:val="6"/>
    </w:pPr>
    <w:rPr>
      <w:b/>
      <w:bCs/>
      <w:szCs w:val="24"/>
    </w:rPr>
  </w:style>
  <w:style w:type="paragraph" w:styleId="10">
    <w:name w:val="heading 8"/>
    <w:basedOn w:val="1"/>
    <w:next w:val="1"/>
    <w:link w:val="58"/>
    <w:autoRedefine/>
    <w:unhideWhenUsed/>
    <w:qFormat/>
    <w:uiPriority w:val="0"/>
    <w:pPr>
      <w:keepNext/>
      <w:keepLines/>
      <w:spacing w:before="240" w:after="64" w:line="320" w:lineRule="auto"/>
      <w:outlineLvl w:val="7"/>
    </w:pPr>
    <w:rPr>
      <w:rFonts w:asciiTheme="majorHAnsi" w:hAnsiTheme="majorHAnsi" w:eastAsiaTheme="majorEastAsia" w:cstheme="majorBidi"/>
      <w:szCs w:val="24"/>
    </w:rPr>
  </w:style>
  <w:style w:type="paragraph" w:styleId="11">
    <w:name w:val="heading 9"/>
    <w:basedOn w:val="1"/>
    <w:next w:val="1"/>
    <w:link w:val="59"/>
    <w:autoRedefine/>
    <w:unhideWhenUsed/>
    <w:qFormat/>
    <w:uiPriority w:val="0"/>
    <w:pPr>
      <w:keepNext/>
      <w:keepLines/>
      <w:spacing w:before="240" w:after="64" w:line="320" w:lineRule="auto"/>
      <w:outlineLvl w:val="8"/>
    </w:pPr>
    <w:rPr>
      <w:rFonts w:asciiTheme="majorHAnsi" w:hAnsiTheme="majorHAnsi" w:eastAsiaTheme="majorEastAsia" w:cstheme="majorBidi"/>
    </w:rPr>
  </w:style>
  <w:style w:type="character" w:default="1" w:styleId="42">
    <w:name w:val="Default Paragraph Font"/>
    <w:autoRedefine/>
    <w:semiHidden/>
    <w:unhideWhenUsed/>
    <w:qFormat/>
    <w:uiPriority w:val="1"/>
  </w:style>
  <w:style w:type="table" w:default="1" w:styleId="40">
    <w:name w:val="Normal Table"/>
    <w:autoRedefine/>
    <w:semiHidden/>
    <w:unhideWhenUsed/>
    <w:qFormat/>
    <w:uiPriority w:val="99"/>
    <w:tblPr>
      <w:tblCellMar>
        <w:top w:w="0" w:type="dxa"/>
        <w:left w:w="108" w:type="dxa"/>
        <w:bottom w:w="0" w:type="dxa"/>
        <w:right w:w="108" w:type="dxa"/>
      </w:tblCellMar>
    </w:tblPr>
  </w:style>
  <w:style w:type="paragraph" w:styleId="4">
    <w:name w:val="Normal Indent"/>
    <w:basedOn w:val="1"/>
    <w:autoRedefine/>
    <w:qFormat/>
    <w:uiPriority w:val="0"/>
    <w:pPr>
      <w:numPr>
        <w:ilvl w:val="3"/>
        <w:numId w:val="1"/>
      </w:numPr>
      <w:ind w:firstLineChars="0"/>
    </w:pPr>
  </w:style>
  <w:style w:type="paragraph" w:styleId="12">
    <w:name w:val="toc 7"/>
    <w:basedOn w:val="1"/>
    <w:next w:val="1"/>
    <w:autoRedefine/>
    <w:unhideWhenUsed/>
    <w:qFormat/>
    <w:uiPriority w:val="39"/>
    <w:pPr>
      <w:topLinePunct w:val="0"/>
      <w:autoSpaceDE/>
      <w:spacing w:line="240" w:lineRule="auto"/>
      <w:ind w:left="2520" w:leftChars="1200" w:firstLine="0" w:firstLineChars="0"/>
    </w:pPr>
    <w:rPr>
      <w:rFonts w:asciiTheme="minorHAnsi" w:hAnsiTheme="minorHAnsi" w:eastAsiaTheme="minorEastAsia" w:cstheme="minorBidi"/>
      <w:sz w:val="21"/>
    </w:rPr>
  </w:style>
  <w:style w:type="paragraph" w:styleId="13">
    <w:name w:val="caption"/>
    <w:basedOn w:val="1"/>
    <w:next w:val="1"/>
    <w:autoRedefine/>
    <w:qFormat/>
    <w:uiPriority w:val="0"/>
    <w:pPr>
      <w:spacing w:beforeLines="50" w:line="360" w:lineRule="auto"/>
      <w:jc w:val="center"/>
    </w:pPr>
    <w:rPr>
      <w:rFonts w:cs="Arial"/>
      <w:b/>
      <w:szCs w:val="20"/>
    </w:rPr>
  </w:style>
  <w:style w:type="paragraph" w:styleId="14">
    <w:name w:val="Document Map"/>
    <w:basedOn w:val="1"/>
    <w:link w:val="60"/>
    <w:autoRedefine/>
    <w:semiHidden/>
    <w:unhideWhenUsed/>
    <w:qFormat/>
    <w:uiPriority w:val="99"/>
    <w:rPr>
      <w:rFonts w:ascii="宋体"/>
      <w:sz w:val="18"/>
      <w:szCs w:val="18"/>
    </w:rPr>
  </w:style>
  <w:style w:type="paragraph" w:styleId="15">
    <w:name w:val="annotation text"/>
    <w:basedOn w:val="1"/>
    <w:link w:val="131"/>
    <w:autoRedefine/>
    <w:semiHidden/>
    <w:unhideWhenUsed/>
    <w:qFormat/>
    <w:uiPriority w:val="0"/>
    <w:pPr>
      <w:jc w:val="left"/>
    </w:pPr>
  </w:style>
  <w:style w:type="paragraph" w:styleId="16">
    <w:name w:val="Body Text"/>
    <w:basedOn w:val="1"/>
    <w:next w:val="1"/>
    <w:link w:val="124"/>
    <w:autoRedefine/>
    <w:semiHidden/>
    <w:unhideWhenUsed/>
    <w:qFormat/>
    <w:uiPriority w:val="99"/>
    <w:pPr>
      <w:spacing w:after="120"/>
    </w:pPr>
  </w:style>
  <w:style w:type="paragraph" w:styleId="17">
    <w:name w:val="Body Text Indent"/>
    <w:basedOn w:val="1"/>
    <w:next w:val="1"/>
    <w:link w:val="122"/>
    <w:autoRedefine/>
    <w:semiHidden/>
    <w:unhideWhenUsed/>
    <w:qFormat/>
    <w:uiPriority w:val="99"/>
    <w:pPr>
      <w:spacing w:after="120"/>
      <w:ind w:left="420" w:leftChars="200"/>
    </w:pPr>
  </w:style>
  <w:style w:type="paragraph" w:styleId="18">
    <w:name w:val="toc 5"/>
    <w:basedOn w:val="1"/>
    <w:next w:val="1"/>
    <w:autoRedefine/>
    <w:unhideWhenUsed/>
    <w:qFormat/>
    <w:uiPriority w:val="39"/>
    <w:pPr>
      <w:topLinePunct w:val="0"/>
      <w:autoSpaceDE/>
      <w:spacing w:line="240" w:lineRule="auto"/>
      <w:ind w:left="1680" w:leftChars="800" w:firstLine="0" w:firstLineChars="0"/>
    </w:pPr>
    <w:rPr>
      <w:rFonts w:asciiTheme="minorHAnsi" w:hAnsiTheme="minorHAnsi" w:eastAsiaTheme="minorEastAsia" w:cstheme="minorBidi"/>
      <w:sz w:val="21"/>
    </w:rPr>
  </w:style>
  <w:style w:type="paragraph" w:styleId="19">
    <w:name w:val="toc 3"/>
    <w:basedOn w:val="1"/>
    <w:next w:val="1"/>
    <w:autoRedefine/>
    <w:unhideWhenUsed/>
    <w:qFormat/>
    <w:uiPriority w:val="39"/>
    <w:pPr>
      <w:ind w:left="840" w:leftChars="400"/>
    </w:pPr>
  </w:style>
  <w:style w:type="paragraph" w:styleId="20">
    <w:name w:val="Plain Text"/>
    <w:basedOn w:val="1"/>
    <w:autoRedefine/>
    <w:qFormat/>
    <w:uiPriority w:val="0"/>
    <w:rPr>
      <w:rFonts w:ascii="宋体" w:hAnsi="Courier New" w:cs="Courier New"/>
      <w:sz w:val="32"/>
      <w:szCs w:val="21"/>
    </w:rPr>
  </w:style>
  <w:style w:type="paragraph" w:styleId="21">
    <w:name w:val="List Bullet 5"/>
    <w:basedOn w:val="1"/>
    <w:autoRedefine/>
    <w:semiHidden/>
    <w:unhideWhenUsed/>
    <w:qFormat/>
    <w:uiPriority w:val="99"/>
    <w:pPr>
      <w:numPr>
        <w:ilvl w:val="0"/>
        <w:numId w:val="2"/>
      </w:numPr>
    </w:pPr>
  </w:style>
  <w:style w:type="paragraph" w:styleId="22">
    <w:name w:val="toc 8"/>
    <w:basedOn w:val="1"/>
    <w:next w:val="1"/>
    <w:autoRedefine/>
    <w:unhideWhenUsed/>
    <w:qFormat/>
    <w:uiPriority w:val="39"/>
    <w:pPr>
      <w:topLinePunct w:val="0"/>
      <w:autoSpaceDE/>
      <w:spacing w:line="240" w:lineRule="auto"/>
      <w:ind w:left="2940" w:leftChars="1400" w:firstLine="0" w:firstLineChars="0"/>
    </w:pPr>
    <w:rPr>
      <w:rFonts w:asciiTheme="minorHAnsi" w:hAnsiTheme="minorHAnsi" w:eastAsiaTheme="minorEastAsia" w:cstheme="minorBidi"/>
      <w:sz w:val="21"/>
    </w:rPr>
  </w:style>
  <w:style w:type="paragraph" w:styleId="23">
    <w:name w:val="Date"/>
    <w:basedOn w:val="1"/>
    <w:next w:val="1"/>
    <w:link w:val="61"/>
    <w:autoRedefine/>
    <w:unhideWhenUsed/>
    <w:qFormat/>
    <w:uiPriority w:val="99"/>
    <w:pPr>
      <w:ind w:left="100" w:leftChars="2500"/>
    </w:pPr>
  </w:style>
  <w:style w:type="paragraph" w:styleId="24">
    <w:name w:val="Body Text Indent 2"/>
    <w:basedOn w:val="1"/>
    <w:link w:val="123"/>
    <w:autoRedefine/>
    <w:unhideWhenUsed/>
    <w:qFormat/>
    <w:uiPriority w:val="99"/>
    <w:pPr>
      <w:spacing w:after="120" w:line="480" w:lineRule="auto"/>
      <w:ind w:left="420" w:leftChars="200"/>
    </w:pPr>
  </w:style>
  <w:style w:type="paragraph" w:styleId="25">
    <w:name w:val="Balloon Text"/>
    <w:basedOn w:val="1"/>
    <w:link w:val="125"/>
    <w:autoRedefine/>
    <w:unhideWhenUsed/>
    <w:qFormat/>
    <w:uiPriority w:val="99"/>
    <w:pPr>
      <w:spacing w:line="240" w:lineRule="auto"/>
    </w:pPr>
    <w:rPr>
      <w:sz w:val="18"/>
      <w:szCs w:val="18"/>
    </w:rPr>
  </w:style>
  <w:style w:type="paragraph" w:styleId="26">
    <w:name w:val="footer"/>
    <w:basedOn w:val="1"/>
    <w:next w:val="27"/>
    <w:link w:val="62"/>
    <w:autoRedefine/>
    <w:unhideWhenUsed/>
    <w:qFormat/>
    <w:uiPriority w:val="99"/>
    <w:pPr>
      <w:widowControl/>
      <w:tabs>
        <w:tab w:val="center" w:pos="4680"/>
        <w:tab w:val="right" w:pos="9360"/>
      </w:tabs>
      <w:topLinePunct w:val="0"/>
      <w:autoSpaceDE/>
      <w:spacing w:line="240" w:lineRule="auto"/>
      <w:ind w:firstLine="0" w:firstLineChars="0"/>
      <w:jc w:val="left"/>
    </w:pPr>
    <w:rPr>
      <w:rFonts w:asciiTheme="minorHAnsi" w:hAnsiTheme="minorHAnsi" w:eastAsiaTheme="minorHAnsi" w:cstheme="minorBidi"/>
      <w:kern w:val="0"/>
      <w:sz w:val="21"/>
      <w:szCs w:val="21"/>
    </w:rPr>
  </w:style>
  <w:style w:type="paragraph" w:customStyle="1" w:styleId="27">
    <w:name w:val="正文文字 6"/>
    <w:next w:val="1"/>
    <w:autoRedefine/>
    <w:qFormat/>
    <w:uiPriority w:val="0"/>
    <w:pPr>
      <w:widowControl w:val="0"/>
      <w:ind w:left="240"/>
      <w:jc w:val="both"/>
    </w:pPr>
    <w:rPr>
      <w:rFonts w:ascii="宋体" w:hAnsi="Calibri" w:eastAsia="宋体" w:cs="Times New Roman"/>
      <w:b/>
      <w:bCs/>
      <w:kern w:val="2"/>
      <w:sz w:val="32"/>
      <w:szCs w:val="32"/>
      <w:lang w:val="en-US" w:eastAsia="zh-CN" w:bidi="ar-SA"/>
    </w:rPr>
  </w:style>
  <w:style w:type="paragraph" w:styleId="28">
    <w:name w:val="header"/>
    <w:basedOn w:val="1"/>
    <w:link w:val="63"/>
    <w:autoRedefine/>
    <w:unhideWhenUsed/>
    <w:qFormat/>
    <w:uiPriority w:val="99"/>
    <w:pPr>
      <w:pBdr>
        <w:bottom w:val="single" w:color="auto" w:sz="6" w:space="1"/>
      </w:pBdr>
      <w:tabs>
        <w:tab w:val="center" w:pos="4153"/>
        <w:tab w:val="right" w:pos="8306"/>
      </w:tabs>
      <w:snapToGrid w:val="0"/>
      <w:spacing w:line="240" w:lineRule="atLeast"/>
      <w:jc w:val="center"/>
    </w:pPr>
    <w:rPr>
      <w:sz w:val="18"/>
      <w:szCs w:val="18"/>
    </w:rPr>
  </w:style>
  <w:style w:type="paragraph" w:styleId="29">
    <w:name w:val="toc 1"/>
    <w:basedOn w:val="1"/>
    <w:next w:val="1"/>
    <w:autoRedefine/>
    <w:unhideWhenUsed/>
    <w:qFormat/>
    <w:uiPriority w:val="39"/>
  </w:style>
  <w:style w:type="paragraph" w:styleId="30">
    <w:name w:val="toc 4"/>
    <w:basedOn w:val="1"/>
    <w:next w:val="1"/>
    <w:autoRedefine/>
    <w:unhideWhenUsed/>
    <w:qFormat/>
    <w:uiPriority w:val="39"/>
    <w:pPr>
      <w:topLinePunct w:val="0"/>
      <w:autoSpaceDE/>
      <w:spacing w:line="240" w:lineRule="auto"/>
      <w:ind w:left="1260" w:leftChars="600" w:firstLine="0" w:firstLineChars="0"/>
    </w:pPr>
    <w:rPr>
      <w:rFonts w:asciiTheme="minorHAnsi" w:hAnsiTheme="minorHAnsi" w:eastAsiaTheme="minorEastAsia" w:cstheme="minorBidi"/>
      <w:sz w:val="21"/>
    </w:rPr>
  </w:style>
  <w:style w:type="paragraph" w:styleId="31">
    <w:name w:val="List"/>
    <w:basedOn w:val="1"/>
    <w:autoRedefine/>
    <w:unhideWhenUsed/>
    <w:qFormat/>
    <w:uiPriority w:val="99"/>
    <w:pPr>
      <w:ind w:left="200" w:hanging="200" w:hangingChars="200"/>
    </w:pPr>
    <w:rPr>
      <w:szCs w:val="21"/>
    </w:rPr>
  </w:style>
  <w:style w:type="paragraph" w:styleId="32">
    <w:name w:val="toc 6"/>
    <w:basedOn w:val="1"/>
    <w:next w:val="1"/>
    <w:autoRedefine/>
    <w:unhideWhenUsed/>
    <w:qFormat/>
    <w:uiPriority w:val="39"/>
    <w:pPr>
      <w:topLinePunct w:val="0"/>
      <w:autoSpaceDE/>
      <w:spacing w:line="240" w:lineRule="auto"/>
      <w:ind w:left="2100" w:leftChars="1000" w:firstLine="0" w:firstLineChars="0"/>
    </w:pPr>
    <w:rPr>
      <w:rFonts w:asciiTheme="minorHAnsi" w:hAnsiTheme="minorHAnsi" w:eastAsiaTheme="minorEastAsia" w:cstheme="minorBidi"/>
      <w:sz w:val="21"/>
    </w:rPr>
  </w:style>
  <w:style w:type="paragraph" w:styleId="33">
    <w:name w:val="toc 2"/>
    <w:basedOn w:val="1"/>
    <w:next w:val="1"/>
    <w:autoRedefine/>
    <w:unhideWhenUsed/>
    <w:qFormat/>
    <w:uiPriority w:val="39"/>
    <w:pPr>
      <w:ind w:left="420" w:leftChars="200"/>
    </w:pPr>
  </w:style>
  <w:style w:type="paragraph" w:styleId="34">
    <w:name w:val="toc 9"/>
    <w:basedOn w:val="1"/>
    <w:next w:val="1"/>
    <w:autoRedefine/>
    <w:unhideWhenUsed/>
    <w:qFormat/>
    <w:uiPriority w:val="39"/>
    <w:pPr>
      <w:topLinePunct w:val="0"/>
      <w:autoSpaceDE/>
      <w:spacing w:line="240" w:lineRule="auto"/>
      <w:ind w:left="3360" w:leftChars="1600" w:firstLine="0" w:firstLineChars="0"/>
    </w:pPr>
    <w:rPr>
      <w:rFonts w:asciiTheme="minorHAnsi" w:hAnsiTheme="minorHAnsi" w:eastAsiaTheme="minorEastAsia" w:cstheme="minorBidi"/>
      <w:sz w:val="21"/>
    </w:rPr>
  </w:style>
  <w:style w:type="paragraph" w:styleId="35">
    <w:name w:val="HTML Preformatted"/>
    <w:basedOn w:val="1"/>
    <w:autoRedefine/>
    <w:semiHidden/>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36">
    <w:name w:val="Title"/>
    <w:basedOn w:val="1"/>
    <w:next w:val="1"/>
    <w:link w:val="106"/>
    <w:autoRedefine/>
    <w:qFormat/>
    <w:uiPriority w:val="10"/>
    <w:pPr>
      <w:topLinePunct w:val="0"/>
      <w:autoSpaceDE/>
      <w:spacing w:before="240" w:after="60" w:line="240" w:lineRule="auto"/>
      <w:ind w:firstLine="0" w:firstLineChars="0"/>
      <w:jc w:val="center"/>
      <w:outlineLvl w:val="0"/>
    </w:pPr>
    <w:rPr>
      <w:rFonts w:ascii="Cambria" w:hAnsi="Cambria" w:eastAsiaTheme="minorEastAsia"/>
      <w:b/>
      <w:bCs/>
      <w:kern w:val="0"/>
      <w:sz w:val="32"/>
      <w:szCs w:val="32"/>
    </w:rPr>
  </w:style>
  <w:style w:type="paragraph" w:styleId="37">
    <w:name w:val="annotation subject"/>
    <w:basedOn w:val="1"/>
    <w:next w:val="1"/>
    <w:link w:val="120"/>
    <w:autoRedefine/>
    <w:semiHidden/>
    <w:unhideWhenUsed/>
    <w:qFormat/>
    <w:uiPriority w:val="99"/>
    <w:rPr>
      <w:b/>
      <w:bCs/>
    </w:rPr>
  </w:style>
  <w:style w:type="paragraph" w:styleId="38">
    <w:name w:val="Body Text First Indent"/>
    <w:basedOn w:val="16"/>
    <w:next w:val="1"/>
    <w:link w:val="103"/>
    <w:autoRedefine/>
    <w:semiHidden/>
    <w:unhideWhenUsed/>
    <w:qFormat/>
    <w:uiPriority w:val="99"/>
    <w:pPr>
      <w:spacing w:after="120"/>
      <w:ind w:firstLine="420" w:firstLineChars="100"/>
    </w:pPr>
    <w:rPr>
      <w:rFonts w:cs="Calibri" w:asciiTheme="minorHAnsi" w:hAnsiTheme="minorHAnsi" w:eastAsiaTheme="minorEastAsia"/>
      <w:kern w:val="0"/>
      <w:sz w:val="20"/>
      <w:szCs w:val="20"/>
    </w:rPr>
  </w:style>
  <w:style w:type="paragraph" w:styleId="39">
    <w:name w:val="Body Text First Indent 2"/>
    <w:basedOn w:val="17"/>
    <w:next w:val="1"/>
    <w:link w:val="90"/>
    <w:autoRedefine/>
    <w:unhideWhenUsed/>
    <w:qFormat/>
    <w:uiPriority w:val="99"/>
    <w:pPr>
      <w:spacing w:after="120"/>
      <w:ind w:left="420" w:leftChars="200" w:firstLine="420"/>
    </w:pPr>
    <w:rPr>
      <w:rFonts w:ascii="宋体" w:cs="宋体" w:hAnsiTheme="minorHAnsi"/>
      <w:kern w:val="0"/>
      <w:szCs w:val="24"/>
    </w:rPr>
  </w:style>
  <w:style w:type="table" w:styleId="41">
    <w:name w:val="Table Grid"/>
    <w:basedOn w:val="40"/>
    <w:autoRedefine/>
    <w:qFormat/>
    <w:uiPriority w:val="0"/>
    <w:pPr>
      <w:widowControl w:val="0"/>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43">
    <w:name w:val="Strong"/>
    <w:basedOn w:val="42"/>
    <w:autoRedefine/>
    <w:qFormat/>
    <w:uiPriority w:val="0"/>
    <w:rPr>
      <w:b/>
    </w:rPr>
  </w:style>
  <w:style w:type="character" w:styleId="44">
    <w:name w:val="page number"/>
    <w:autoRedefine/>
    <w:qFormat/>
    <w:uiPriority w:val="0"/>
    <w:rPr>
      <w:rFonts w:cs="Times New Roman"/>
    </w:rPr>
  </w:style>
  <w:style w:type="character" w:styleId="45">
    <w:name w:val="FollowedHyperlink"/>
    <w:basedOn w:val="42"/>
    <w:autoRedefine/>
    <w:semiHidden/>
    <w:unhideWhenUsed/>
    <w:qFormat/>
    <w:uiPriority w:val="99"/>
    <w:rPr>
      <w:color w:val="800080"/>
      <w:u w:val="single"/>
    </w:rPr>
  </w:style>
  <w:style w:type="character" w:styleId="46">
    <w:name w:val="Hyperlink"/>
    <w:basedOn w:val="42"/>
    <w:autoRedefine/>
    <w:unhideWhenUsed/>
    <w:qFormat/>
    <w:uiPriority w:val="99"/>
    <w:rPr>
      <w:color w:val="0000FF" w:themeColor="hyperlink"/>
      <w:u w:val="single"/>
      <w14:textFill>
        <w14:solidFill>
          <w14:schemeClr w14:val="hlink"/>
        </w14:solidFill>
      </w14:textFill>
    </w:rPr>
  </w:style>
  <w:style w:type="character" w:styleId="47">
    <w:name w:val="annotation reference"/>
    <w:basedOn w:val="42"/>
    <w:autoRedefine/>
    <w:semiHidden/>
    <w:unhideWhenUsed/>
    <w:qFormat/>
    <w:uiPriority w:val="99"/>
    <w:rPr>
      <w:sz w:val="21"/>
      <w:szCs w:val="21"/>
    </w:rPr>
  </w:style>
  <w:style w:type="paragraph" w:customStyle="1" w:styleId="48">
    <w:name w:val="样式 正文文本缩进 + 行距: 1.5 倍行距"/>
    <w:basedOn w:val="1"/>
    <w:autoRedefine/>
    <w:qFormat/>
    <w:uiPriority w:val="0"/>
    <w:pPr>
      <w:spacing w:after="120" w:line="360" w:lineRule="auto"/>
      <w:ind w:left="90" w:leftChars="32" w:firstLine="560" w:firstLineChars="200"/>
    </w:pPr>
    <w:rPr>
      <w:rFonts w:cs="宋体"/>
    </w:rPr>
  </w:style>
  <w:style w:type="paragraph" w:customStyle="1" w:styleId="49">
    <w:name w:val="UserStyle_0"/>
    <w:basedOn w:val="1"/>
    <w:autoRedefine/>
    <w:qFormat/>
    <w:uiPriority w:val="0"/>
    <w:pPr>
      <w:ind w:left="0" w:leftChars="0" w:firstLine="200" w:firstLineChars="200"/>
      <w:jc w:val="both"/>
      <w:textAlignment w:val="baseline"/>
    </w:pPr>
    <w:rPr>
      <w:rFonts w:ascii="Times New Roman" w:hAnsi="Times New Roman"/>
      <w:color w:val="000000"/>
      <w:kern w:val="0"/>
      <w:sz w:val="21"/>
      <w:szCs w:val="24"/>
      <w:lang w:val="zh-CN" w:eastAsia="zh-CN" w:bidi="ar-SA"/>
    </w:rPr>
  </w:style>
  <w:style w:type="paragraph" w:customStyle="1" w:styleId="50">
    <w:name w:val="样式 正文缩进正文缩进2正文缩进 Char Char正文缩进 Char Char Char Char正文缩进 Char ..."/>
    <w:basedOn w:val="4"/>
    <w:autoRedefine/>
    <w:qFormat/>
    <w:uiPriority w:val="0"/>
    <w:pPr>
      <w:tabs>
        <w:tab w:val="left" w:pos="0"/>
      </w:tabs>
      <w:spacing w:line="360" w:lineRule="auto"/>
      <w:ind w:firstLine="200"/>
    </w:pPr>
    <w:rPr>
      <w:rFonts w:cs="宋体"/>
      <w:sz w:val="24"/>
    </w:rPr>
  </w:style>
  <w:style w:type="character" w:customStyle="1" w:styleId="51">
    <w:name w:val="标题 1 Char"/>
    <w:basedOn w:val="42"/>
    <w:link w:val="2"/>
    <w:autoRedefine/>
    <w:qFormat/>
    <w:uiPriority w:val="9"/>
    <w:rPr>
      <w:rFonts w:ascii="Times New Roman" w:hAnsi="Times New Roman" w:eastAsiaTheme="majorEastAsia"/>
      <w:b/>
      <w:bCs/>
      <w:kern w:val="44"/>
      <w:sz w:val="30"/>
      <w:szCs w:val="44"/>
    </w:rPr>
  </w:style>
  <w:style w:type="character" w:customStyle="1" w:styleId="52">
    <w:name w:val="标题 2 Char1"/>
    <w:basedOn w:val="42"/>
    <w:link w:val="3"/>
    <w:autoRedefine/>
    <w:qFormat/>
    <w:uiPriority w:val="0"/>
    <w:rPr>
      <w:rFonts w:ascii="Times New Roman" w:hAnsi="Times New Roman" w:eastAsia="宋体" w:cstheme="majorBidi"/>
      <w:b/>
      <w:bCs/>
      <w:sz w:val="28"/>
      <w:szCs w:val="32"/>
    </w:rPr>
  </w:style>
  <w:style w:type="character" w:customStyle="1" w:styleId="53">
    <w:name w:val="标题 3 Char1"/>
    <w:basedOn w:val="42"/>
    <w:link w:val="5"/>
    <w:autoRedefine/>
    <w:qFormat/>
    <w:uiPriority w:val="9"/>
    <w:rPr>
      <w:rFonts w:ascii="Times New Roman" w:hAnsi="Times New Roman" w:eastAsia="宋体" w:cs="Times New Roman"/>
      <w:b/>
      <w:bCs/>
      <w:sz w:val="24"/>
      <w:szCs w:val="32"/>
    </w:rPr>
  </w:style>
  <w:style w:type="character" w:customStyle="1" w:styleId="54">
    <w:name w:val="标题 4 Char"/>
    <w:basedOn w:val="42"/>
    <w:link w:val="6"/>
    <w:autoRedefine/>
    <w:qFormat/>
    <w:uiPriority w:val="99"/>
    <w:rPr>
      <w:rFonts w:ascii="Times New Roman" w:hAnsi="Times New Roman" w:eastAsia="宋体" w:cstheme="majorBidi"/>
      <w:b/>
      <w:bCs/>
      <w:sz w:val="24"/>
      <w:szCs w:val="28"/>
    </w:rPr>
  </w:style>
  <w:style w:type="character" w:customStyle="1" w:styleId="55">
    <w:name w:val="标题 5 Char"/>
    <w:basedOn w:val="42"/>
    <w:link w:val="7"/>
    <w:autoRedefine/>
    <w:qFormat/>
    <w:uiPriority w:val="0"/>
    <w:rPr>
      <w:rFonts w:ascii="Times New Roman" w:hAnsi="Times New Roman" w:eastAsia="宋体" w:cs="Times New Roman"/>
      <w:b/>
      <w:bCs/>
      <w:kern w:val="2"/>
      <w:sz w:val="24"/>
      <w:szCs w:val="28"/>
    </w:rPr>
  </w:style>
  <w:style w:type="character" w:customStyle="1" w:styleId="56">
    <w:name w:val="标题 6 Char1"/>
    <w:basedOn w:val="42"/>
    <w:link w:val="8"/>
    <w:autoRedefine/>
    <w:qFormat/>
    <w:uiPriority w:val="0"/>
    <w:rPr>
      <w:rFonts w:asciiTheme="majorHAnsi" w:hAnsiTheme="majorHAnsi" w:eastAsiaTheme="majorEastAsia" w:cstheme="majorBidi"/>
      <w:b/>
      <w:bCs/>
      <w:sz w:val="24"/>
      <w:szCs w:val="24"/>
    </w:rPr>
  </w:style>
  <w:style w:type="character" w:customStyle="1" w:styleId="57">
    <w:name w:val="标题 7 Char1"/>
    <w:basedOn w:val="42"/>
    <w:link w:val="9"/>
    <w:autoRedefine/>
    <w:qFormat/>
    <w:uiPriority w:val="9"/>
    <w:rPr>
      <w:b/>
      <w:bCs/>
      <w:sz w:val="24"/>
      <w:szCs w:val="24"/>
    </w:rPr>
  </w:style>
  <w:style w:type="character" w:customStyle="1" w:styleId="58">
    <w:name w:val="标题 8 Char"/>
    <w:basedOn w:val="42"/>
    <w:link w:val="10"/>
    <w:autoRedefine/>
    <w:qFormat/>
    <w:uiPriority w:val="0"/>
    <w:rPr>
      <w:rFonts w:asciiTheme="majorHAnsi" w:hAnsiTheme="majorHAnsi" w:eastAsiaTheme="majorEastAsia" w:cstheme="majorBidi"/>
      <w:sz w:val="24"/>
      <w:szCs w:val="24"/>
    </w:rPr>
  </w:style>
  <w:style w:type="character" w:customStyle="1" w:styleId="59">
    <w:name w:val="标题 9 Char"/>
    <w:basedOn w:val="42"/>
    <w:link w:val="11"/>
    <w:autoRedefine/>
    <w:qFormat/>
    <w:uiPriority w:val="0"/>
    <w:rPr>
      <w:rFonts w:asciiTheme="majorHAnsi" w:hAnsiTheme="majorHAnsi" w:eastAsiaTheme="majorEastAsia" w:cstheme="majorBidi"/>
    </w:rPr>
  </w:style>
  <w:style w:type="character" w:customStyle="1" w:styleId="60">
    <w:name w:val="文档结构图 Char1"/>
    <w:basedOn w:val="42"/>
    <w:link w:val="14"/>
    <w:autoRedefine/>
    <w:semiHidden/>
    <w:qFormat/>
    <w:uiPriority w:val="0"/>
    <w:rPr>
      <w:rFonts w:ascii="宋体" w:eastAsia="宋体"/>
      <w:sz w:val="18"/>
      <w:szCs w:val="18"/>
    </w:rPr>
  </w:style>
  <w:style w:type="character" w:customStyle="1" w:styleId="61">
    <w:name w:val="日期 Char1"/>
    <w:basedOn w:val="42"/>
    <w:link w:val="23"/>
    <w:autoRedefine/>
    <w:semiHidden/>
    <w:qFormat/>
    <w:uiPriority w:val="0"/>
  </w:style>
  <w:style w:type="character" w:customStyle="1" w:styleId="62">
    <w:name w:val="页脚 Char1"/>
    <w:basedOn w:val="42"/>
    <w:link w:val="26"/>
    <w:autoRedefine/>
    <w:qFormat/>
    <w:uiPriority w:val="99"/>
    <w:rPr>
      <w:rFonts w:eastAsiaTheme="minorHAnsi"/>
      <w:kern w:val="0"/>
    </w:rPr>
  </w:style>
  <w:style w:type="character" w:customStyle="1" w:styleId="63">
    <w:name w:val="页眉 Char1"/>
    <w:basedOn w:val="42"/>
    <w:link w:val="28"/>
    <w:autoRedefine/>
    <w:qFormat/>
    <w:uiPriority w:val="0"/>
    <w:rPr>
      <w:rFonts w:ascii="Times New Roman" w:hAnsi="Times New Roman" w:eastAsia="宋体" w:cs="Times New Roman"/>
      <w:sz w:val="18"/>
      <w:szCs w:val="18"/>
    </w:rPr>
  </w:style>
  <w:style w:type="paragraph" w:customStyle="1" w:styleId="64">
    <w:name w:val="Char Char2 Char Char"/>
    <w:basedOn w:val="1"/>
    <w:autoRedefine/>
    <w:semiHidden/>
    <w:qFormat/>
    <w:uiPriority w:val="0"/>
    <w:pPr>
      <w:spacing w:after="160" w:line="240" w:lineRule="exact"/>
      <w:jc w:val="left"/>
    </w:pPr>
    <w:rPr>
      <w:rFonts w:ascii="Verdana" w:hAnsi="Verdana"/>
      <w:kern w:val="0"/>
      <w:sz w:val="20"/>
      <w:szCs w:val="20"/>
      <w:lang w:eastAsia="en-US"/>
    </w:rPr>
  </w:style>
  <w:style w:type="character" w:customStyle="1" w:styleId="65">
    <w:name w:val="HTML 预设格式 Char1"/>
    <w:basedOn w:val="42"/>
    <w:autoRedefine/>
    <w:semiHidden/>
    <w:qFormat/>
    <w:uiPriority w:val="99"/>
    <w:rPr>
      <w:rFonts w:ascii="Courier New" w:hAnsi="Courier New" w:eastAsia="宋体" w:cs="Courier New"/>
      <w:sz w:val="20"/>
      <w:szCs w:val="20"/>
    </w:rPr>
  </w:style>
  <w:style w:type="paragraph" w:customStyle="1" w:styleId="66">
    <w:name w:val="TOC 标题1"/>
    <w:basedOn w:val="2"/>
    <w:next w:val="1"/>
    <w:autoRedefine/>
    <w:unhideWhenUsed/>
    <w:qFormat/>
    <w:uiPriority w:val="39"/>
    <w:pPr>
      <w:outlineLvl w:val="9"/>
    </w:pPr>
  </w:style>
  <w:style w:type="table" w:customStyle="1" w:styleId="67">
    <w:name w:val="wenya"/>
    <w:basedOn w:val="40"/>
    <w:autoRedefine/>
    <w:qFormat/>
    <w:uiPriority w:val="0"/>
    <w:rPr>
      <w:rFonts w:ascii="Times New Roman" w:hAnsi="Times New Roman" w:eastAsia="宋体" w:cs="Times New Roman"/>
    </w:rPr>
    <w:tblPr>
      <w:tblBorders>
        <w:top w:val="thinThickSmallGap" w:color="auto" w:sz="12" w:space="0"/>
        <w:bottom w:val="thinThickSmallGap" w:color="auto" w:sz="12" w:space="0"/>
        <w:insideH w:val="single" w:color="auto" w:sz="4" w:space="0"/>
        <w:insideV w:val="single" w:color="auto" w:sz="4" w:space="0"/>
      </w:tblBorders>
      <w:tblCellMar>
        <w:top w:w="0" w:type="dxa"/>
        <w:left w:w="28" w:type="dxa"/>
        <w:bottom w:w="0" w:type="dxa"/>
        <w:right w:w="28" w:type="dxa"/>
      </w:tblCellMar>
    </w:tblPr>
    <w:tcPr>
      <w:shd w:val="clear" w:color="auto" w:fill="auto"/>
      <w:vAlign w:val="center"/>
    </w:tcPr>
  </w:style>
  <w:style w:type="table" w:customStyle="1" w:styleId="68">
    <w:name w:val="wenya1"/>
    <w:basedOn w:val="40"/>
    <w:autoRedefine/>
    <w:qFormat/>
    <w:uiPriority w:val="0"/>
    <w:rPr>
      <w:rFonts w:ascii="Times New Roman" w:hAnsi="Times New Roman" w:eastAsia="宋体" w:cs="Times New Roman"/>
    </w:rPr>
    <w:tblPr>
      <w:tblBorders>
        <w:top w:val="thinThickSmallGap" w:color="auto" w:sz="12" w:space="0"/>
        <w:bottom w:val="thinThickSmallGap" w:color="auto" w:sz="12" w:space="0"/>
        <w:insideH w:val="single" w:color="auto" w:sz="4" w:space="0"/>
        <w:insideV w:val="single" w:color="auto" w:sz="4" w:space="0"/>
      </w:tblBorders>
      <w:tblCellMar>
        <w:top w:w="0" w:type="dxa"/>
        <w:left w:w="28" w:type="dxa"/>
        <w:bottom w:w="0" w:type="dxa"/>
        <w:right w:w="28" w:type="dxa"/>
      </w:tblCellMar>
    </w:tblPr>
    <w:tcPr>
      <w:shd w:val="clear" w:color="auto" w:fill="auto"/>
      <w:vAlign w:val="center"/>
    </w:tcPr>
  </w:style>
  <w:style w:type="table" w:customStyle="1" w:styleId="69">
    <w:name w:val="表格类型2"/>
    <w:basedOn w:val="40"/>
    <w:autoRedefine/>
    <w:qFormat/>
    <w:uiPriority w:val="0"/>
    <w:pPr>
      <w:widowControl w:val="0"/>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70">
    <w:name w:val="表格类型3"/>
    <w:basedOn w:val="40"/>
    <w:autoRedefine/>
    <w:qFormat/>
    <w:uiPriority w:val="0"/>
    <w:pPr>
      <w:widowControl w:val="0"/>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71">
    <w:name w:val="表格类型4"/>
    <w:basedOn w:val="40"/>
    <w:autoRedefine/>
    <w:qFormat/>
    <w:uiPriority w:val="0"/>
    <w:pPr>
      <w:widowControl w:val="0"/>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72">
    <w:name w:val="网格型4"/>
    <w:basedOn w:val="40"/>
    <w:autoRedefine/>
    <w:qFormat/>
    <w:uiPriority w:val="0"/>
    <w:pPr>
      <w:widowControl w:val="0"/>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73">
    <w:name w:val="网格型1"/>
    <w:basedOn w:val="40"/>
    <w:autoRedefine/>
    <w:qFormat/>
    <w:uiPriority w:val="0"/>
    <w:pPr>
      <w:widowControl w:val="0"/>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74">
    <w:name w:val="样式3"/>
    <w:basedOn w:val="40"/>
    <w:autoRedefine/>
    <w:qFormat/>
    <w:uiPriority w:val="99"/>
    <w:rPr>
      <w:rFonts w:ascii="Times New Roman" w:hAnsi="Times New Roman" w:eastAsia="宋体" w:cs="Times New Roman"/>
    </w:rPr>
    <w:tblPr>
      <w:tblBorders>
        <w:top w:val="single" w:color="000000" w:sz="12" w:space="0"/>
        <w:bottom w:val="single" w:color="000000" w:sz="12" w:space="0"/>
        <w:insideH w:val="single" w:color="000000" w:sz="4" w:space="0"/>
        <w:insideV w:val="single" w:color="000000" w:sz="4" w:space="0"/>
      </w:tblBorders>
      <w:tblCellMar>
        <w:top w:w="0" w:type="dxa"/>
        <w:left w:w="108" w:type="dxa"/>
        <w:bottom w:w="0" w:type="dxa"/>
        <w:right w:w="108" w:type="dxa"/>
      </w:tblCellMar>
    </w:tblPr>
  </w:style>
  <w:style w:type="character" w:styleId="75">
    <w:name w:val="Placeholder Text"/>
    <w:autoRedefine/>
    <w:semiHidden/>
    <w:qFormat/>
    <w:uiPriority w:val="99"/>
    <w:rPr>
      <w:color w:val="808080"/>
    </w:rPr>
  </w:style>
  <w:style w:type="character" w:customStyle="1" w:styleId="76">
    <w:name w:val="正文文本 2 Char1"/>
    <w:basedOn w:val="42"/>
    <w:autoRedefine/>
    <w:semiHidden/>
    <w:qFormat/>
    <w:uiPriority w:val="99"/>
    <w:rPr>
      <w:rFonts w:ascii="Times New Roman" w:hAnsi="Times New Roman" w:eastAsia="宋体" w:cs="Times New Roman"/>
      <w:sz w:val="24"/>
    </w:rPr>
  </w:style>
  <w:style w:type="character" w:customStyle="1" w:styleId="77">
    <w:name w:val="正文文本缩进 3 Char1"/>
    <w:basedOn w:val="42"/>
    <w:autoRedefine/>
    <w:semiHidden/>
    <w:qFormat/>
    <w:uiPriority w:val="99"/>
    <w:rPr>
      <w:rFonts w:ascii="Times New Roman" w:hAnsi="Times New Roman" w:eastAsia="宋体" w:cs="Times New Roman"/>
      <w:sz w:val="16"/>
      <w:szCs w:val="16"/>
    </w:rPr>
  </w:style>
  <w:style w:type="character" w:customStyle="1" w:styleId="78">
    <w:name w:val="正文文本缩进 Char"/>
    <w:basedOn w:val="42"/>
    <w:autoRedefine/>
    <w:semiHidden/>
    <w:qFormat/>
    <w:uiPriority w:val="99"/>
    <w:rPr>
      <w:rFonts w:ascii="Times New Roman" w:hAnsi="Times New Roman" w:eastAsia="宋体" w:cs="Times New Roman"/>
      <w:sz w:val="24"/>
    </w:rPr>
  </w:style>
  <w:style w:type="character" w:customStyle="1" w:styleId="79">
    <w:name w:val="正文文本 Char1"/>
    <w:autoRedefine/>
    <w:semiHidden/>
    <w:qFormat/>
    <w:uiPriority w:val="0"/>
    <w:rPr>
      <w:kern w:val="2"/>
      <w:sz w:val="24"/>
      <w:szCs w:val="22"/>
    </w:rPr>
  </w:style>
  <w:style w:type="table" w:customStyle="1" w:styleId="80">
    <w:name w:val="网格型2"/>
    <w:basedOn w:val="40"/>
    <w:autoRedefine/>
    <w:qFormat/>
    <w:uiPriority w:val="0"/>
    <w:pPr>
      <w:widowControl w:val="0"/>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81">
    <w:name w:val="网格型3"/>
    <w:basedOn w:val="40"/>
    <w:autoRedefine/>
    <w:qFormat/>
    <w:uiPriority w:val="0"/>
    <w:pPr>
      <w:widowControl w:val="0"/>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82">
    <w:name w:val="网格型5"/>
    <w:basedOn w:val="40"/>
    <w:autoRedefine/>
    <w:qFormat/>
    <w:uiPriority w:val="99"/>
    <w:rPr>
      <w:rFonts w:ascii="Times New Roman" w:hAnsi="Times New Roman" w:eastAsia="宋体" w:cs="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83">
    <w:name w:val="网格型6"/>
    <w:basedOn w:val="40"/>
    <w:autoRedefine/>
    <w:qFormat/>
    <w:uiPriority w:val="0"/>
    <w:pPr>
      <w:widowControl w:val="0"/>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84">
    <w:name w:val="网格型7"/>
    <w:basedOn w:val="40"/>
    <w:autoRedefine/>
    <w:qFormat/>
    <w:uiPriority w:val="0"/>
    <w:pPr>
      <w:widowControl w:val="0"/>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85">
    <w:name w:val="网格型8"/>
    <w:basedOn w:val="40"/>
    <w:autoRedefine/>
    <w:qFormat/>
    <w:uiPriority w:val="59"/>
    <w:rPr>
      <w:rFonts w:ascii="Times New Roman" w:hAnsi="Times New Roman" w:eastAsia="宋体" w:cs="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86">
    <w:name w:val="Table Normal"/>
    <w:autoRedefine/>
    <w:semiHidden/>
    <w:qFormat/>
    <w:uiPriority w:val="2"/>
    <w:pPr>
      <w:widowControl w:val="0"/>
      <w:autoSpaceDE w:val="0"/>
      <w:autoSpaceDN w:val="0"/>
    </w:pPr>
    <w:rPr>
      <w:rFonts w:eastAsia="Times New Roman"/>
      <w:sz w:val="22"/>
      <w:szCs w:val="22"/>
      <w:lang w:eastAsia="en-US"/>
    </w:rPr>
    <w:tblPr>
      <w:tblCellMar>
        <w:top w:w="0" w:type="dxa"/>
        <w:left w:w="0" w:type="dxa"/>
        <w:bottom w:w="0" w:type="dxa"/>
        <w:right w:w="0" w:type="dxa"/>
      </w:tblCellMar>
    </w:tblPr>
  </w:style>
  <w:style w:type="table" w:customStyle="1" w:styleId="87">
    <w:name w:val="网格型9"/>
    <w:basedOn w:val="40"/>
    <w:autoRedefine/>
    <w:qFormat/>
    <w:uiPriority w:val="0"/>
    <w:pPr>
      <w:widowControl w:val="0"/>
      <w:jc w:val="both"/>
    </w:pPr>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88">
    <w:name w:val="xpp"/>
    <w:basedOn w:val="40"/>
    <w:autoRedefine/>
    <w:qFormat/>
    <w:uiPriority w:val="0"/>
    <w:rPr>
      <w:rFonts w:ascii="Times New Roman" w:hAnsi="Times New Roman" w:eastAsia="宋体" w:cs="Times New Roman"/>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89">
    <w:name w:val="灰度表格1"/>
    <w:basedOn w:val="40"/>
    <w:autoRedefine/>
    <w:qFormat/>
    <w:uiPriority w:val="0"/>
    <w:rPr>
      <w:rFonts w:ascii="Calibri" w:hAnsi="Calibri" w:eastAsia="宋体" w:cs="Times New Roman"/>
    </w:rPr>
    <w:tblP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
  </w:style>
  <w:style w:type="character" w:customStyle="1" w:styleId="90">
    <w:name w:val="正文首行缩进 2 Char"/>
    <w:link w:val="39"/>
    <w:autoRedefine/>
    <w:qFormat/>
    <w:locked/>
    <w:uiPriority w:val="99"/>
    <w:rPr>
      <w:rFonts w:ascii="宋体" w:eastAsia="宋体" w:cs="宋体"/>
      <w:sz w:val="24"/>
      <w:szCs w:val="24"/>
    </w:rPr>
  </w:style>
  <w:style w:type="character" w:customStyle="1" w:styleId="91">
    <w:name w:val="注释标题 Char"/>
    <w:basedOn w:val="42"/>
    <w:autoRedefine/>
    <w:semiHidden/>
    <w:qFormat/>
    <w:uiPriority w:val="99"/>
    <w:rPr>
      <w:rFonts w:ascii="Times New Roman" w:hAnsi="Times New Roman" w:eastAsia="宋体" w:cs="Times New Roman"/>
      <w:kern w:val="2"/>
      <w:sz w:val="24"/>
      <w:szCs w:val="22"/>
    </w:rPr>
  </w:style>
  <w:style w:type="table" w:customStyle="1" w:styleId="92">
    <w:name w:val="灰度表格2"/>
    <w:basedOn w:val="40"/>
    <w:autoRedefine/>
    <w:qFormat/>
    <w:uiPriority w:val="0"/>
    <w:rPr>
      <w:rFonts w:ascii="Calibri" w:hAnsi="Calibri" w:eastAsia="宋体" w:cs="Times New Roman"/>
    </w:rPr>
    <w:tblP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
  </w:style>
  <w:style w:type="paragraph" w:customStyle="1" w:styleId="93">
    <w:name w:val="_Style 63"/>
    <w:basedOn w:val="1"/>
    <w:next w:val="39"/>
    <w:autoRedefine/>
    <w:qFormat/>
    <w:uiPriority w:val="99"/>
    <w:pPr>
      <w:topLinePunct w:val="0"/>
      <w:autoSpaceDE/>
      <w:adjustRightInd w:val="0"/>
      <w:snapToGrid w:val="0"/>
      <w:spacing w:line="360" w:lineRule="auto"/>
      <w:ind w:firstLine="420"/>
    </w:pPr>
    <w:rPr>
      <w:rFonts w:ascii="Calibri" w:hAnsi="Calibri"/>
      <w:kern w:val="0"/>
      <w:sz w:val="20"/>
      <w:szCs w:val="21"/>
      <w:lang w:val="zh-CN" w:eastAsia="zh-CN"/>
    </w:rPr>
  </w:style>
  <w:style w:type="character" w:customStyle="1" w:styleId="94">
    <w:name w:val="正文文本首行缩进 2 字符"/>
    <w:basedOn w:val="42"/>
    <w:autoRedefine/>
    <w:semiHidden/>
    <w:qFormat/>
    <w:uiPriority w:val="99"/>
    <w:rPr>
      <w:rFonts w:ascii="Times New Roman" w:hAnsi="Times New Roman" w:eastAsia="宋体" w:cs="Times New Roman"/>
      <w:kern w:val="2"/>
      <w:sz w:val="24"/>
      <w:szCs w:val="22"/>
    </w:rPr>
  </w:style>
  <w:style w:type="character" w:customStyle="1" w:styleId="95">
    <w:name w:val="页眉 Char"/>
    <w:autoRedefine/>
    <w:qFormat/>
    <w:uiPriority w:val="99"/>
    <w:rPr>
      <w:rFonts w:cs="Calibri"/>
      <w:sz w:val="18"/>
      <w:szCs w:val="18"/>
    </w:rPr>
  </w:style>
  <w:style w:type="character" w:customStyle="1" w:styleId="96">
    <w:name w:val="正文首行缩进 2 Char1"/>
    <w:link w:val="97"/>
    <w:autoRedefine/>
    <w:qFormat/>
    <w:locked/>
    <w:uiPriority w:val="99"/>
    <w:rPr>
      <w:rFonts w:ascii="宋体" w:eastAsia="宋体" w:cs="宋体"/>
      <w:sz w:val="24"/>
      <w:szCs w:val="24"/>
    </w:rPr>
  </w:style>
  <w:style w:type="paragraph" w:customStyle="1" w:styleId="97">
    <w:name w:val="_Style 67"/>
    <w:basedOn w:val="1"/>
    <w:next w:val="1"/>
    <w:link w:val="96"/>
    <w:autoRedefine/>
    <w:qFormat/>
    <w:uiPriority w:val="99"/>
    <w:pPr>
      <w:topLinePunct w:val="0"/>
      <w:autoSpaceDN w:val="0"/>
      <w:spacing w:line="240" w:lineRule="auto"/>
      <w:ind w:left="1319" w:hanging="601" w:firstLineChars="0"/>
      <w:jc w:val="left"/>
    </w:pPr>
    <w:rPr>
      <w:rFonts w:ascii="宋体" w:cs="宋体" w:hAnsiTheme="minorHAnsi"/>
      <w:kern w:val="0"/>
      <w:szCs w:val="24"/>
    </w:rPr>
  </w:style>
  <w:style w:type="character" w:customStyle="1" w:styleId="98">
    <w:name w:val="Heading 4 Char"/>
    <w:autoRedefine/>
    <w:semiHidden/>
    <w:qFormat/>
    <w:uiPriority w:val="9"/>
    <w:rPr>
      <w:rFonts w:ascii="Cambria" w:hAnsi="Cambria" w:eastAsia="宋体" w:cs="Times New Roman"/>
      <w:b/>
      <w:bCs/>
      <w:sz w:val="28"/>
      <w:szCs w:val="28"/>
    </w:rPr>
  </w:style>
  <w:style w:type="character" w:customStyle="1" w:styleId="99">
    <w:name w:val="Body Text Char"/>
    <w:autoRedefine/>
    <w:semiHidden/>
    <w:qFormat/>
    <w:uiPriority w:val="99"/>
    <w:rPr>
      <w:rFonts w:cs="Calibri"/>
      <w:szCs w:val="21"/>
    </w:rPr>
  </w:style>
  <w:style w:type="character" w:customStyle="1" w:styleId="100">
    <w:name w:val="Balloon Text Char"/>
    <w:autoRedefine/>
    <w:semiHidden/>
    <w:qFormat/>
    <w:uiPriority w:val="99"/>
    <w:rPr>
      <w:rFonts w:cs="Calibri"/>
      <w:sz w:val="16"/>
      <w:szCs w:val="0"/>
    </w:rPr>
  </w:style>
  <w:style w:type="character" w:customStyle="1" w:styleId="101">
    <w:name w:val="标题 6 Char"/>
    <w:autoRedefine/>
    <w:semiHidden/>
    <w:qFormat/>
    <w:uiPriority w:val="9"/>
    <w:rPr>
      <w:rFonts w:ascii="Cambria" w:hAnsi="Cambria" w:eastAsia="宋体" w:cs="Times New Roman"/>
      <w:b/>
      <w:bCs/>
      <w:sz w:val="24"/>
      <w:szCs w:val="24"/>
    </w:rPr>
  </w:style>
  <w:style w:type="character" w:customStyle="1" w:styleId="102">
    <w:name w:val="Comment Text Char"/>
    <w:autoRedefine/>
    <w:semiHidden/>
    <w:qFormat/>
    <w:uiPriority w:val="99"/>
    <w:rPr>
      <w:rFonts w:cs="Calibri"/>
      <w:szCs w:val="21"/>
    </w:rPr>
  </w:style>
  <w:style w:type="character" w:customStyle="1" w:styleId="103">
    <w:name w:val="正文首行缩进 Char"/>
    <w:link w:val="38"/>
    <w:autoRedefine/>
    <w:semiHidden/>
    <w:qFormat/>
    <w:uiPriority w:val="99"/>
    <w:rPr>
      <w:rFonts w:cs="Calibri"/>
      <w:szCs w:val="21"/>
    </w:rPr>
  </w:style>
  <w:style w:type="character" w:customStyle="1" w:styleId="104">
    <w:name w:val="页脚 Char"/>
    <w:autoRedefine/>
    <w:semiHidden/>
    <w:qFormat/>
    <w:uiPriority w:val="99"/>
    <w:rPr>
      <w:rFonts w:cs="Calibri"/>
      <w:sz w:val="18"/>
      <w:szCs w:val="18"/>
    </w:rPr>
  </w:style>
  <w:style w:type="character" w:customStyle="1" w:styleId="105">
    <w:name w:val="文档结构图 Char"/>
    <w:autoRedefine/>
    <w:semiHidden/>
    <w:qFormat/>
    <w:uiPriority w:val="99"/>
    <w:rPr>
      <w:rFonts w:ascii="Times New Roman" w:hAnsi="Times New Roman" w:cs="Calibri"/>
      <w:sz w:val="16"/>
      <w:szCs w:val="0"/>
    </w:rPr>
  </w:style>
  <w:style w:type="character" w:customStyle="1" w:styleId="106">
    <w:name w:val="标题 Char"/>
    <w:link w:val="36"/>
    <w:autoRedefine/>
    <w:qFormat/>
    <w:uiPriority w:val="10"/>
    <w:rPr>
      <w:rFonts w:ascii="Cambria" w:hAnsi="Cambria" w:cs="Times New Roman"/>
      <w:b/>
      <w:bCs/>
      <w:sz w:val="32"/>
      <w:szCs w:val="32"/>
    </w:rPr>
  </w:style>
  <w:style w:type="paragraph" w:styleId="107">
    <w:name w:val="List Paragraph"/>
    <w:basedOn w:val="1"/>
    <w:autoRedefine/>
    <w:qFormat/>
    <w:uiPriority w:val="34"/>
    <w:pPr>
      <w:topLinePunct w:val="0"/>
      <w:autoSpaceDE/>
      <w:ind w:firstLine="420"/>
    </w:pPr>
    <w:rPr>
      <w:szCs w:val="24"/>
    </w:rPr>
  </w:style>
  <w:style w:type="character" w:customStyle="1" w:styleId="108">
    <w:name w:val="标题 7 Char"/>
    <w:autoRedefine/>
    <w:semiHidden/>
    <w:qFormat/>
    <w:uiPriority w:val="9"/>
    <w:rPr>
      <w:rFonts w:cs="Calibri"/>
      <w:b/>
      <w:bCs/>
      <w:sz w:val="24"/>
      <w:szCs w:val="24"/>
    </w:rPr>
  </w:style>
  <w:style w:type="character" w:customStyle="1" w:styleId="109">
    <w:name w:val="Body Text First Indent 2 Char"/>
    <w:basedOn w:val="78"/>
    <w:autoRedefine/>
    <w:semiHidden/>
    <w:qFormat/>
    <w:uiPriority w:val="99"/>
    <w:rPr>
      <w:rFonts w:ascii="Times New Roman" w:hAnsi="Times New Roman" w:eastAsia="宋体" w:cs="Calibri"/>
      <w:sz w:val="24"/>
      <w:szCs w:val="21"/>
    </w:rPr>
  </w:style>
  <w:style w:type="table" w:customStyle="1" w:styleId="110">
    <w:name w:val="网格型10"/>
    <w:basedOn w:val="40"/>
    <w:autoRedefine/>
    <w:unhideWhenUsed/>
    <w:qFormat/>
    <w:uiPriority w:val="99"/>
    <w:rPr>
      <w:rFonts w:ascii="Calibri" w:hAnsi="Calibri" w:eastAsia="宋体" w:cs="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customStyle="1" w:styleId="111">
    <w:name w:val="批注主题 Char"/>
    <w:autoRedefine/>
    <w:semiHidden/>
    <w:qFormat/>
    <w:uiPriority w:val="99"/>
    <w:rPr>
      <w:rFonts w:cs="Calibri"/>
      <w:b/>
      <w:bCs/>
      <w:szCs w:val="21"/>
    </w:rPr>
  </w:style>
  <w:style w:type="character" w:customStyle="1" w:styleId="112">
    <w:name w:val="标题 2 Char"/>
    <w:autoRedefine/>
    <w:semiHidden/>
    <w:qFormat/>
    <w:uiPriority w:val="9"/>
    <w:rPr>
      <w:rFonts w:ascii="Cambria" w:hAnsi="Cambria" w:eastAsia="宋体" w:cs="Times New Roman"/>
      <w:b/>
      <w:bCs/>
      <w:sz w:val="32"/>
      <w:szCs w:val="32"/>
    </w:rPr>
  </w:style>
  <w:style w:type="character" w:customStyle="1" w:styleId="113">
    <w:name w:val="标题 3 Char"/>
    <w:autoRedefine/>
    <w:semiHidden/>
    <w:qFormat/>
    <w:uiPriority w:val="9"/>
    <w:rPr>
      <w:rFonts w:cs="Calibri"/>
      <w:b/>
      <w:bCs/>
      <w:sz w:val="32"/>
      <w:szCs w:val="32"/>
    </w:rPr>
  </w:style>
  <w:style w:type="character" w:customStyle="1" w:styleId="114">
    <w:name w:val="日期 Char"/>
    <w:autoRedefine/>
    <w:semiHidden/>
    <w:qFormat/>
    <w:uiPriority w:val="99"/>
    <w:rPr>
      <w:rFonts w:cs="Calibri"/>
      <w:szCs w:val="21"/>
    </w:rPr>
  </w:style>
  <w:style w:type="paragraph" w:customStyle="1" w:styleId="115">
    <w:name w:val="二级标题 Char Char Char"/>
    <w:basedOn w:val="1"/>
    <w:next w:val="1"/>
    <w:autoRedefine/>
    <w:semiHidden/>
    <w:qFormat/>
    <w:uiPriority w:val="99"/>
    <w:pPr>
      <w:topLinePunct w:val="0"/>
      <w:autoSpaceDE/>
      <w:spacing w:line="529" w:lineRule="exact"/>
    </w:pPr>
    <w:rPr>
      <w:rFonts w:ascii="宋体" w:hAnsi="宋体" w:cs="宋体"/>
      <w:szCs w:val="24"/>
    </w:rPr>
  </w:style>
  <w:style w:type="character" w:customStyle="1" w:styleId="116">
    <w:name w:val="正文文本 字符"/>
    <w:basedOn w:val="42"/>
    <w:autoRedefine/>
    <w:semiHidden/>
    <w:qFormat/>
    <w:uiPriority w:val="1"/>
    <w:rPr>
      <w:rFonts w:ascii="Times New Roman" w:hAnsi="Times New Roman" w:eastAsia="宋体" w:cs="Times New Roman"/>
      <w:kern w:val="2"/>
      <w:sz w:val="24"/>
      <w:szCs w:val="22"/>
    </w:rPr>
  </w:style>
  <w:style w:type="character" w:customStyle="1" w:styleId="117">
    <w:name w:val="正文文本缩进 2 字符"/>
    <w:basedOn w:val="42"/>
    <w:autoRedefine/>
    <w:semiHidden/>
    <w:qFormat/>
    <w:uiPriority w:val="99"/>
    <w:rPr>
      <w:rFonts w:ascii="Times New Roman" w:hAnsi="Times New Roman" w:eastAsia="宋体" w:cs="Times New Roman"/>
      <w:kern w:val="2"/>
      <w:sz w:val="24"/>
      <w:szCs w:val="22"/>
    </w:rPr>
  </w:style>
  <w:style w:type="character" w:customStyle="1" w:styleId="118">
    <w:name w:val="纯文本 字符"/>
    <w:basedOn w:val="42"/>
    <w:autoRedefine/>
    <w:semiHidden/>
    <w:qFormat/>
    <w:uiPriority w:val="99"/>
    <w:rPr>
      <w:rFonts w:hAnsi="Courier New" w:cs="Courier New" w:asciiTheme="minorEastAsia"/>
      <w:kern w:val="2"/>
      <w:sz w:val="24"/>
      <w:szCs w:val="22"/>
    </w:rPr>
  </w:style>
  <w:style w:type="character" w:customStyle="1" w:styleId="119">
    <w:name w:val="正文文本首行缩进 字符"/>
    <w:basedOn w:val="116"/>
    <w:autoRedefine/>
    <w:semiHidden/>
    <w:qFormat/>
    <w:uiPriority w:val="99"/>
    <w:rPr>
      <w:rFonts w:ascii="Times New Roman" w:hAnsi="Times New Roman" w:eastAsia="宋体" w:cs="Times New Roman"/>
      <w:kern w:val="2"/>
      <w:sz w:val="24"/>
      <w:szCs w:val="22"/>
    </w:rPr>
  </w:style>
  <w:style w:type="character" w:customStyle="1" w:styleId="120">
    <w:name w:val="批注主题 Char1"/>
    <w:basedOn w:val="42"/>
    <w:link w:val="37"/>
    <w:autoRedefine/>
    <w:semiHidden/>
    <w:qFormat/>
    <w:uiPriority w:val="99"/>
    <w:rPr>
      <w:rFonts w:ascii="Times New Roman" w:hAnsi="Times New Roman" w:eastAsia="宋体" w:cs="Times New Roman"/>
      <w:b/>
      <w:bCs/>
      <w:kern w:val="2"/>
      <w:sz w:val="24"/>
      <w:szCs w:val="22"/>
    </w:rPr>
  </w:style>
  <w:style w:type="table" w:customStyle="1" w:styleId="121">
    <w:name w:val="灰度表格3"/>
    <w:basedOn w:val="40"/>
    <w:autoRedefine/>
    <w:qFormat/>
    <w:uiPriority w:val="0"/>
    <w:rPr>
      <w:rFonts w:ascii="Times New Roman" w:hAnsi="Times New Roman" w:eastAsia="宋体" w:cs="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customStyle="1" w:styleId="122">
    <w:name w:val="正文文本缩进 Char1"/>
    <w:basedOn w:val="42"/>
    <w:link w:val="17"/>
    <w:autoRedefine/>
    <w:semiHidden/>
    <w:qFormat/>
    <w:uiPriority w:val="99"/>
    <w:rPr>
      <w:rFonts w:ascii="Times New Roman" w:hAnsi="Times New Roman" w:eastAsia="宋体" w:cs="Times New Roman"/>
      <w:kern w:val="2"/>
      <w:sz w:val="24"/>
      <w:szCs w:val="22"/>
    </w:rPr>
  </w:style>
  <w:style w:type="character" w:customStyle="1" w:styleId="123">
    <w:name w:val="正文文本缩进 2 Char"/>
    <w:basedOn w:val="42"/>
    <w:link w:val="24"/>
    <w:autoRedefine/>
    <w:qFormat/>
    <w:uiPriority w:val="99"/>
    <w:rPr>
      <w:rFonts w:ascii="Times New Roman" w:hAnsi="Times New Roman" w:eastAsia="宋体" w:cs="Times New Roman"/>
      <w:kern w:val="2"/>
      <w:sz w:val="24"/>
      <w:szCs w:val="22"/>
    </w:rPr>
  </w:style>
  <w:style w:type="character" w:customStyle="1" w:styleId="124">
    <w:name w:val="正文文本 Char"/>
    <w:basedOn w:val="42"/>
    <w:link w:val="16"/>
    <w:autoRedefine/>
    <w:semiHidden/>
    <w:qFormat/>
    <w:uiPriority w:val="99"/>
    <w:rPr>
      <w:rFonts w:ascii="Times New Roman" w:hAnsi="Times New Roman" w:eastAsia="宋体" w:cs="Times New Roman"/>
      <w:kern w:val="2"/>
      <w:sz w:val="24"/>
      <w:szCs w:val="22"/>
    </w:rPr>
  </w:style>
  <w:style w:type="character" w:customStyle="1" w:styleId="125">
    <w:name w:val="批注框文本 Char"/>
    <w:basedOn w:val="42"/>
    <w:link w:val="25"/>
    <w:autoRedefine/>
    <w:qFormat/>
    <w:uiPriority w:val="99"/>
    <w:rPr>
      <w:rFonts w:ascii="Times New Roman" w:hAnsi="Times New Roman" w:eastAsia="宋体" w:cs="Times New Roman"/>
      <w:kern w:val="2"/>
      <w:sz w:val="18"/>
      <w:szCs w:val="18"/>
    </w:rPr>
  </w:style>
  <w:style w:type="character" w:customStyle="1" w:styleId="126">
    <w:name w:val="页脚 Char2"/>
    <w:autoRedefine/>
    <w:semiHidden/>
    <w:qFormat/>
    <w:uiPriority w:val="99"/>
    <w:rPr>
      <w:rFonts w:ascii="Times New Roman" w:hAnsi="Times New Roman" w:eastAsia="宋体" w:cs="Times New Roman"/>
      <w:sz w:val="18"/>
      <w:szCs w:val="18"/>
    </w:rPr>
  </w:style>
  <w:style w:type="character" w:customStyle="1" w:styleId="127">
    <w:name w:val="纯文本 Char5"/>
    <w:autoRedefine/>
    <w:semiHidden/>
    <w:qFormat/>
    <w:uiPriority w:val="0"/>
    <w:rPr>
      <w:rFonts w:ascii="宋体" w:hAnsi="Courier New" w:cs="Courier New"/>
      <w:kern w:val="2"/>
      <w:sz w:val="21"/>
      <w:szCs w:val="21"/>
    </w:rPr>
  </w:style>
  <w:style w:type="character" w:customStyle="1" w:styleId="128">
    <w:name w:val="正文首行缩进 2 Char2"/>
    <w:link w:val="129"/>
    <w:autoRedefine/>
    <w:semiHidden/>
    <w:qFormat/>
    <w:uiPriority w:val="99"/>
    <w:rPr>
      <w:rFonts w:ascii="Times New Roman" w:hAnsi="Times New Roman" w:eastAsia="宋体" w:cs="Times New Roman"/>
      <w:sz w:val="32"/>
      <w:szCs w:val="20"/>
    </w:rPr>
  </w:style>
  <w:style w:type="paragraph" w:customStyle="1" w:styleId="129">
    <w:name w:val="_Style 111"/>
    <w:basedOn w:val="17"/>
    <w:next w:val="1"/>
    <w:link w:val="128"/>
    <w:autoRedefine/>
    <w:qFormat/>
    <w:uiPriority w:val="99"/>
    <w:pPr>
      <w:topLinePunct w:val="0"/>
      <w:autoSpaceDE/>
      <w:spacing w:line="240" w:lineRule="auto"/>
      <w:ind w:firstLine="420"/>
    </w:pPr>
    <w:rPr>
      <w:kern w:val="0"/>
      <w:sz w:val="32"/>
      <w:szCs w:val="20"/>
    </w:rPr>
  </w:style>
  <w:style w:type="character" w:customStyle="1" w:styleId="130">
    <w:name w:val="纯文本 字符1"/>
    <w:basedOn w:val="42"/>
    <w:autoRedefine/>
    <w:semiHidden/>
    <w:qFormat/>
    <w:uiPriority w:val="0"/>
    <w:rPr>
      <w:rFonts w:hAnsi="Courier New" w:cs="Courier New" w:asciiTheme="minorEastAsia"/>
      <w:kern w:val="2"/>
      <w:sz w:val="24"/>
      <w:szCs w:val="22"/>
    </w:rPr>
  </w:style>
  <w:style w:type="character" w:customStyle="1" w:styleId="131">
    <w:name w:val="批注文字 Char"/>
    <w:basedOn w:val="42"/>
    <w:link w:val="15"/>
    <w:autoRedefine/>
    <w:semiHidden/>
    <w:qFormat/>
    <w:uiPriority w:val="0"/>
    <w:rPr>
      <w:rFonts w:ascii="Times New Roman" w:hAnsi="Times New Roman" w:eastAsia="宋体" w:cs="Times New Roman"/>
      <w:kern w:val="2"/>
      <w:sz w:val="24"/>
      <w:szCs w:val="22"/>
    </w:rPr>
  </w:style>
  <w:style w:type="paragraph" w:customStyle="1" w:styleId="132">
    <w:name w:val="表格内容"/>
    <w:basedOn w:val="1"/>
    <w:autoRedefine/>
    <w:qFormat/>
    <w:uiPriority w:val="0"/>
    <w:pPr>
      <w:topLinePunct w:val="0"/>
      <w:autoSpaceDE/>
      <w:adjustRightInd w:val="0"/>
      <w:spacing w:line="240" w:lineRule="auto"/>
      <w:ind w:firstLine="0" w:firstLineChars="0"/>
      <w:jc w:val="center"/>
      <w:textAlignment w:val="baseline"/>
    </w:pPr>
    <w:rPr>
      <w:sz w:val="21"/>
    </w:rPr>
  </w:style>
  <w:style w:type="character" w:customStyle="1" w:styleId="133">
    <w:name w:val="表头—高 Char"/>
    <w:link w:val="134"/>
    <w:autoRedefine/>
    <w:qFormat/>
    <w:uiPriority w:val="0"/>
    <w:rPr>
      <w:rFonts w:ascii="Times New Roman" w:hAnsi="Times New Roman" w:eastAsia="宋体"/>
      <w:b/>
      <w:sz w:val="24"/>
    </w:rPr>
  </w:style>
  <w:style w:type="paragraph" w:customStyle="1" w:styleId="134">
    <w:name w:val="表头—高"/>
    <w:basedOn w:val="1"/>
    <w:link w:val="133"/>
    <w:autoRedefine/>
    <w:qFormat/>
    <w:uiPriority w:val="0"/>
    <w:pPr>
      <w:topLinePunct w:val="0"/>
      <w:autoSpaceDE/>
      <w:adjustRightInd w:val="0"/>
      <w:snapToGrid w:val="0"/>
      <w:spacing w:before="120" w:after="40" w:line="360" w:lineRule="auto"/>
      <w:ind w:firstLine="0" w:firstLineChars="0"/>
      <w:jc w:val="center"/>
    </w:pPr>
    <w:rPr>
      <w:rFonts w:cstheme="minorBidi"/>
      <w:b/>
      <w:kern w:val="0"/>
      <w:szCs w:val="20"/>
    </w:rPr>
  </w:style>
  <w:style w:type="character" w:customStyle="1" w:styleId="135">
    <w:name w:val="表格内容--高 Char"/>
    <w:link w:val="136"/>
    <w:autoRedefine/>
    <w:qFormat/>
    <w:uiPriority w:val="0"/>
    <w:rPr>
      <w:rFonts w:ascii="Times New Roman" w:hAnsi="Times New Roman" w:eastAsia="宋体" w:cs="宋体"/>
      <w:szCs w:val="21"/>
    </w:rPr>
  </w:style>
  <w:style w:type="paragraph" w:customStyle="1" w:styleId="136">
    <w:name w:val="表格内容--高"/>
    <w:basedOn w:val="1"/>
    <w:link w:val="135"/>
    <w:autoRedefine/>
    <w:qFormat/>
    <w:uiPriority w:val="0"/>
    <w:pPr>
      <w:topLinePunct w:val="0"/>
      <w:autoSpaceDE/>
      <w:spacing w:line="240" w:lineRule="auto"/>
      <w:ind w:firstLine="0" w:firstLineChars="0"/>
      <w:jc w:val="center"/>
    </w:pPr>
    <w:rPr>
      <w:rFonts w:cs="宋体"/>
      <w:kern w:val="0"/>
      <w:sz w:val="20"/>
      <w:szCs w:val="21"/>
    </w:rPr>
  </w:style>
  <w:style w:type="character" w:customStyle="1" w:styleId="137">
    <w:name w:val="高-正文 Char"/>
    <w:link w:val="138"/>
    <w:autoRedefine/>
    <w:qFormat/>
    <w:uiPriority w:val="0"/>
    <w:rPr>
      <w:rFonts w:ascii="Times New Roman" w:hAnsi="Times New Roman" w:eastAsia="宋体"/>
      <w:snapToGrid w:val="0"/>
      <w:sz w:val="24"/>
    </w:rPr>
  </w:style>
  <w:style w:type="paragraph" w:customStyle="1" w:styleId="138">
    <w:name w:val="高-正文"/>
    <w:basedOn w:val="1"/>
    <w:link w:val="137"/>
    <w:autoRedefine/>
    <w:qFormat/>
    <w:uiPriority w:val="0"/>
    <w:pPr>
      <w:autoSpaceDE/>
      <w:adjustRightInd w:val="0"/>
      <w:snapToGrid w:val="0"/>
      <w:spacing w:line="360" w:lineRule="auto"/>
      <w:ind w:firstLine="600"/>
      <w:jc w:val="left"/>
    </w:pPr>
    <w:rPr>
      <w:rFonts w:cstheme="minorBidi"/>
      <w:snapToGrid w:val="0"/>
      <w:kern w:val="0"/>
      <w:szCs w:val="20"/>
    </w:rPr>
  </w:style>
  <w:style w:type="character" w:customStyle="1" w:styleId="139">
    <w:name w:val="正文样式 Char"/>
    <w:link w:val="140"/>
    <w:autoRedefine/>
    <w:qFormat/>
    <w:uiPriority w:val="0"/>
    <w:rPr>
      <w:rFonts w:ascii="宋体" w:hAnsi="宋体" w:eastAsia="宋体"/>
      <w:kern w:val="2"/>
      <w:sz w:val="24"/>
      <w:szCs w:val="24"/>
    </w:rPr>
  </w:style>
  <w:style w:type="paragraph" w:customStyle="1" w:styleId="140">
    <w:name w:val="正文样式"/>
    <w:basedOn w:val="1"/>
    <w:link w:val="139"/>
    <w:autoRedefine/>
    <w:qFormat/>
    <w:uiPriority w:val="0"/>
    <w:pPr>
      <w:topLinePunct w:val="0"/>
      <w:autoSpaceDE/>
      <w:adjustRightInd w:val="0"/>
      <w:snapToGrid w:val="0"/>
      <w:spacing w:line="360" w:lineRule="auto"/>
      <w:ind w:firstLine="480"/>
    </w:pPr>
    <w:rPr>
      <w:rFonts w:ascii="宋体" w:hAnsi="宋体" w:cstheme="minorBidi"/>
      <w:szCs w:val="24"/>
    </w:rPr>
  </w:style>
  <w:style w:type="paragraph" w:customStyle="1" w:styleId="141">
    <w:name w:val="默认段落字体 Para Char"/>
    <w:basedOn w:val="1"/>
    <w:next w:val="1"/>
    <w:autoRedefine/>
    <w:qFormat/>
    <w:uiPriority w:val="0"/>
    <w:pPr>
      <w:topLinePunct w:val="0"/>
      <w:autoSpaceDE/>
      <w:adjustRightInd w:val="0"/>
      <w:snapToGrid w:val="0"/>
      <w:spacing w:line="360" w:lineRule="auto"/>
    </w:pPr>
    <w:rPr>
      <w:rFonts w:ascii="宋体" w:hAnsi="宋体" w:cs="宋体"/>
      <w:szCs w:val="24"/>
    </w:rPr>
  </w:style>
  <w:style w:type="character" w:customStyle="1" w:styleId="142">
    <w:name w:val="【表中文字】 Char"/>
    <w:link w:val="143"/>
    <w:autoRedefine/>
    <w:qFormat/>
    <w:uiPriority w:val="0"/>
    <w:rPr>
      <w:kern w:val="2"/>
      <w:sz w:val="21"/>
    </w:rPr>
  </w:style>
  <w:style w:type="paragraph" w:customStyle="1" w:styleId="143">
    <w:name w:val="【表中文字】"/>
    <w:basedOn w:val="1"/>
    <w:link w:val="142"/>
    <w:autoRedefine/>
    <w:qFormat/>
    <w:uiPriority w:val="0"/>
    <w:pPr>
      <w:topLinePunct w:val="0"/>
      <w:autoSpaceDE/>
      <w:spacing w:line="240" w:lineRule="auto"/>
      <w:ind w:firstLine="0" w:firstLineChars="0"/>
      <w:jc w:val="center"/>
    </w:pPr>
    <w:rPr>
      <w:rFonts w:asciiTheme="minorHAnsi" w:hAnsiTheme="minorHAnsi" w:eastAsiaTheme="minorEastAsia" w:cstheme="minorBidi"/>
      <w:sz w:val="21"/>
      <w:szCs w:val="20"/>
    </w:rPr>
  </w:style>
  <w:style w:type="paragraph" w:customStyle="1" w:styleId="144">
    <w:name w:val="表格文字"/>
    <w:basedOn w:val="1"/>
    <w:autoRedefine/>
    <w:qFormat/>
    <w:uiPriority w:val="0"/>
    <w:pPr>
      <w:spacing w:line="400" w:lineRule="exact"/>
      <w:ind w:firstLine="0" w:firstLineChars="0"/>
      <w:jc w:val="center"/>
    </w:pPr>
    <w:rPr>
      <w:sz w:val="21"/>
    </w:rPr>
  </w:style>
  <w:style w:type="table" w:customStyle="1" w:styleId="145">
    <w:name w:val="标准表格"/>
    <w:basedOn w:val="40"/>
    <w:autoRedefine/>
    <w:qFormat/>
    <w:uiPriority w:val="99"/>
    <w:pPr>
      <w:spacing w:before="74"/>
      <w:jc w:val="center"/>
    </w:pPr>
    <w:rPr>
      <w:sz w:val="18"/>
    </w:rPr>
    <w:tblP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
    <w:tcPr>
      <w:shd w:val="clear" w:color="auto" w:fill="FFFFFF" w:themeFill="background1"/>
      <w:vAlign w:val="center"/>
    </w:tcPr>
    <w:tblStylePr w:type="firstRow">
      <w:pPr>
        <w:wordWrap/>
        <w:spacing w:beforeLines="0" w:beforeAutospacing="1" w:afterLines="0" w:afterAutospacing="1" w:line="240" w:lineRule="auto"/>
        <w:ind w:left="0" w:leftChars="0" w:right="0" w:rightChars="0" w:firstLine="0" w:firstLineChars="0"/>
        <w:jc w:val="center"/>
      </w:pPr>
      <w:rPr>
        <w:rFonts w:hint="default" w:ascii="Times New Roman" w:hAnsi="Times New Roman" w:eastAsia="宋体" w:cs="Times New Roman"/>
        <w:sz w:val="18"/>
        <w:szCs w:val="18"/>
      </w:rPr>
    </w:tblStylePr>
    <w:tblStylePr w:type="firstCol">
      <w:pPr>
        <w:jc w:val="center"/>
      </w:pPr>
    </w:tblStylePr>
  </w:style>
  <w:style w:type="table" w:customStyle="1" w:styleId="146">
    <w:name w:val="Table Normal3"/>
    <w:autoRedefine/>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147">
    <w:name w:val="Table Paragraph"/>
    <w:basedOn w:val="1"/>
    <w:autoRedefine/>
    <w:qFormat/>
    <w:uiPriority w:val="1"/>
  </w:style>
  <w:style w:type="table" w:customStyle="1" w:styleId="148">
    <w:name w:val="Table Normal4"/>
    <w:autoRedefine/>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149">
    <w:name w:val="Table Normal5"/>
    <w:autoRedefine/>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150">
    <w:name w:val="Table Normal7"/>
    <w:autoRedefine/>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151">
    <w:name w:val="Table Normal8"/>
    <w:autoRedefine/>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152">
    <w:name w:val="表头"/>
    <w:basedOn w:val="31"/>
    <w:next w:val="1"/>
    <w:link w:val="155"/>
    <w:autoRedefine/>
    <w:qFormat/>
    <w:uiPriority w:val="0"/>
    <w:pPr>
      <w:spacing w:before="50" w:beforeLines="50" w:line="360" w:lineRule="auto"/>
      <w:ind w:left="0" w:firstLine="0" w:firstLineChars="0"/>
      <w:jc w:val="center"/>
    </w:pPr>
    <w:rPr>
      <w:rFonts w:ascii="Times New Roman" w:hAnsi="Times New Roman" w:cs="宋体"/>
      <w:b/>
      <w:szCs w:val="24"/>
    </w:rPr>
  </w:style>
  <w:style w:type="paragraph" w:customStyle="1" w:styleId="153">
    <w:name w:val="样式5"/>
    <w:basedOn w:val="1"/>
    <w:autoRedefine/>
    <w:qFormat/>
    <w:uiPriority w:val="0"/>
    <w:pPr>
      <w:snapToGrid w:val="0"/>
      <w:spacing w:line="360" w:lineRule="auto"/>
      <w:ind w:firstLine="510"/>
    </w:pPr>
    <w:rPr>
      <w:sz w:val="24"/>
    </w:rPr>
  </w:style>
  <w:style w:type="character" w:customStyle="1" w:styleId="154">
    <w:name w:val="NormalCharacter"/>
    <w:link w:val="1"/>
    <w:autoRedefine/>
    <w:semiHidden/>
    <w:qFormat/>
    <w:uiPriority w:val="0"/>
    <w:rPr>
      <w:rFonts w:ascii="Times New Roman" w:hAnsi="Times New Roman" w:eastAsia="宋体" w:cs="Times New Roman"/>
      <w:kern w:val="2"/>
      <w:sz w:val="24"/>
      <w:szCs w:val="22"/>
      <w:lang w:val="en-US" w:eastAsia="zh-CN" w:bidi="ar-SA"/>
    </w:rPr>
  </w:style>
  <w:style w:type="character" w:customStyle="1" w:styleId="155">
    <w:name w:val="表头 Char"/>
    <w:link w:val="152"/>
    <w:autoRedefine/>
    <w:qFormat/>
    <w:uiPriority w:val="0"/>
    <w:rPr>
      <w:rFonts w:ascii="Times New Roman" w:hAnsi="Times New Roman" w:cs="宋体"/>
      <w:b/>
      <w:szCs w:val="24"/>
    </w:rPr>
  </w:style>
  <w:style w:type="paragraph" w:styleId="156">
    <w:name w:val="No Spacing"/>
    <w:basedOn w:val="1"/>
    <w:autoRedefine/>
    <w:qFormat/>
    <w:uiPriority w:val="1"/>
    <w:pPr>
      <w:spacing w:line="240" w:lineRule="auto"/>
    </w:pPr>
  </w:style>
  <w:style w:type="table" w:customStyle="1" w:styleId="157">
    <w:name w:val="表格样式3"/>
    <w:basedOn w:val="40"/>
    <w:autoRedefine/>
    <w:qFormat/>
    <w:uiPriority w:val="0"/>
    <w:pPr>
      <w:jc w:val="center"/>
    </w:p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rPr>
      <w:jc w:val="center"/>
    </w:trPr>
    <w:tcPr>
      <w:vAlign w:val="center"/>
    </w:tcPr>
  </w:style>
  <w:style w:type="paragraph" w:customStyle="1" w:styleId="158">
    <w:name w:val="Default"/>
    <w:autoRedefine/>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0" Type="http://schemas.openxmlformats.org/officeDocument/2006/relationships/fontTable" Target="fontTable.xml"/><Relationship Id="rId8" Type="http://schemas.openxmlformats.org/officeDocument/2006/relationships/footer" Target="footer2.xml"/><Relationship Id="rId79" Type="http://schemas.openxmlformats.org/officeDocument/2006/relationships/customXml" Target="../customXml/item2.xml"/><Relationship Id="rId78" Type="http://schemas.openxmlformats.org/officeDocument/2006/relationships/numbering" Target="numbering.xml"/><Relationship Id="rId77" Type="http://schemas.openxmlformats.org/officeDocument/2006/relationships/customXml" Target="../customXml/item1.xml"/><Relationship Id="rId76" Type="http://schemas.openxmlformats.org/officeDocument/2006/relationships/image" Target="media/image49.png"/><Relationship Id="rId75" Type="http://schemas.openxmlformats.org/officeDocument/2006/relationships/image" Target="media/image48.jpeg"/><Relationship Id="rId74" Type="http://schemas.openxmlformats.org/officeDocument/2006/relationships/image" Target="media/image47.jpe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wmf"/><Relationship Id="rId7" Type="http://schemas.openxmlformats.org/officeDocument/2006/relationships/footer" Target="footer1.xml"/><Relationship Id="rId69" Type="http://schemas.openxmlformats.org/officeDocument/2006/relationships/image" Target="media/image42.wmf"/><Relationship Id="rId68" Type="http://schemas.openxmlformats.org/officeDocument/2006/relationships/oleObject" Target="embeddings/oleObject16.bin"/><Relationship Id="rId67" Type="http://schemas.openxmlformats.org/officeDocument/2006/relationships/image" Target="media/image41.wmf"/><Relationship Id="rId66" Type="http://schemas.openxmlformats.org/officeDocument/2006/relationships/oleObject" Target="embeddings/oleObject15.bin"/><Relationship Id="rId65" Type="http://schemas.openxmlformats.org/officeDocument/2006/relationships/image" Target="media/image40.wmf"/><Relationship Id="rId64" Type="http://schemas.openxmlformats.org/officeDocument/2006/relationships/oleObject" Target="embeddings/oleObject14.bin"/><Relationship Id="rId63" Type="http://schemas.openxmlformats.org/officeDocument/2006/relationships/image" Target="media/image39.wmf"/><Relationship Id="rId62" Type="http://schemas.openxmlformats.org/officeDocument/2006/relationships/oleObject" Target="embeddings/oleObject13.bin"/><Relationship Id="rId61" Type="http://schemas.openxmlformats.org/officeDocument/2006/relationships/image" Target="media/image38.wmf"/><Relationship Id="rId60" Type="http://schemas.openxmlformats.org/officeDocument/2006/relationships/oleObject" Target="embeddings/oleObject12.bin"/><Relationship Id="rId6" Type="http://schemas.openxmlformats.org/officeDocument/2006/relationships/header" Target="header2.xml"/><Relationship Id="rId59" Type="http://schemas.openxmlformats.org/officeDocument/2006/relationships/image" Target="media/image37.wmf"/><Relationship Id="rId58" Type="http://schemas.openxmlformats.org/officeDocument/2006/relationships/oleObject" Target="embeddings/oleObject11.bin"/><Relationship Id="rId57" Type="http://schemas.openxmlformats.org/officeDocument/2006/relationships/image" Target="media/image36.wmf"/><Relationship Id="rId56" Type="http://schemas.openxmlformats.org/officeDocument/2006/relationships/oleObject" Target="embeddings/oleObject10.bin"/><Relationship Id="rId55" Type="http://schemas.openxmlformats.org/officeDocument/2006/relationships/image" Target="media/image35.wmf"/><Relationship Id="rId54" Type="http://schemas.openxmlformats.org/officeDocument/2006/relationships/oleObject" Target="embeddings/oleObject9.bin"/><Relationship Id="rId53" Type="http://schemas.openxmlformats.org/officeDocument/2006/relationships/image" Target="media/image34.png"/><Relationship Id="rId52" Type="http://schemas.openxmlformats.org/officeDocument/2006/relationships/image" Target="media/image33.png"/><Relationship Id="rId51" Type="http://schemas.openxmlformats.org/officeDocument/2006/relationships/image" Target="media/image32.png"/><Relationship Id="rId50" Type="http://schemas.openxmlformats.org/officeDocument/2006/relationships/image" Target="media/image31.png"/><Relationship Id="rId5" Type="http://schemas.openxmlformats.org/officeDocument/2006/relationships/header" Target="header1.xml"/><Relationship Id="rId49" Type="http://schemas.openxmlformats.org/officeDocument/2006/relationships/image" Target="media/image30.png"/><Relationship Id="rId48" Type="http://schemas.openxmlformats.org/officeDocument/2006/relationships/image" Target="media/image29.png"/><Relationship Id="rId47" Type="http://schemas.openxmlformats.org/officeDocument/2006/relationships/image" Target="media/image28.png"/><Relationship Id="rId46" Type="http://schemas.openxmlformats.org/officeDocument/2006/relationships/image" Target="media/image27.png"/><Relationship Id="rId45" Type="http://schemas.openxmlformats.org/officeDocument/2006/relationships/image" Target="media/image26.png"/><Relationship Id="rId44" Type="http://schemas.openxmlformats.org/officeDocument/2006/relationships/image" Target="media/image25.png"/><Relationship Id="rId43" Type="http://schemas.openxmlformats.org/officeDocument/2006/relationships/image" Target="media/image24.png"/><Relationship Id="rId42" Type="http://schemas.openxmlformats.org/officeDocument/2006/relationships/image" Target="media/image23.png"/><Relationship Id="rId41" Type="http://schemas.openxmlformats.org/officeDocument/2006/relationships/image" Target="media/image22.png"/><Relationship Id="rId40" Type="http://schemas.openxmlformats.org/officeDocument/2006/relationships/image" Target="media/image21.png"/><Relationship Id="rId4" Type="http://schemas.openxmlformats.org/officeDocument/2006/relationships/endnotes" Target="endnotes.xml"/><Relationship Id="rId39" Type="http://schemas.openxmlformats.org/officeDocument/2006/relationships/image" Target="media/image20.wmf"/><Relationship Id="rId38" Type="http://schemas.openxmlformats.org/officeDocument/2006/relationships/oleObject" Target="embeddings/oleObject8.bin"/><Relationship Id="rId37" Type="http://schemas.openxmlformats.org/officeDocument/2006/relationships/image" Target="media/image19.png"/><Relationship Id="rId36" Type="http://schemas.openxmlformats.org/officeDocument/2006/relationships/image" Target="media/image18.jpeg"/><Relationship Id="rId35" Type="http://schemas.openxmlformats.org/officeDocument/2006/relationships/image" Target="media/image17.jpeg"/><Relationship Id="rId34" Type="http://schemas.openxmlformats.org/officeDocument/2006/relationships/oleObject" Target="embeddings/oleObject7.bin"/><Relationship Id="rId33" Type="http://schemas.openxmlformats.org/officeDocument/2006/relationships/image" Target="media/image16.emf"/><Relationship Id="rId32" Type="http://schemas.openxmlformats.org/officeDocument/2006/relationships/oleObject" Target="embeddings/oleObject6.bin"/><Relationship Id="rId31" Type="http://schemas.openxmlformats.org/officeDocument/2006/relationships/image" Target="media/image15.emf"/><Relationship Id="rId30" Type="http://schemas.openxmlformats.org/officeDocument/2006/relationships/oleObject" Target="embeddings/oleObject5.bin"/><Relationship Id="rId3" Type="http://schemas.openxmlformats.org/officeDocument/2006/relationships/footnotes" Target="footnotes.xml"/><Relationship Id="rId29" Type="http://schemas.openxmlformats.org/officeDocument/2006/relationships/image" Target="media/image14.png"/><Relationship Id="rId28" Type="http://schemas.openxmlformats.org/officeDocument/2006/relationships/image" Target="media/image13.emf"/><Relationship Id="rId27" Type="http://schemas.openxmlformats.org/officeDocument/2006/relationships/oleObject" Target="embeddings/oleObject4.bin"/><Relationship Id="rId26" Type="http://schemas.openxmlformats.org/officeDocument/2006/relationships/image" Target="media/image12.emf"/><Relationship Id="rId25" Type="http://schemas.openxmlformats.org/officeDocument/2006/relationships/oleObject" Target="embeddings/oleObject3.bin"/><Relationship Id="rId24" Type="http://schemas.openxmlformats.org/officeDocument/2006/relationships/image" Target="media/image11.jpeg"/><Relationship Id="rId23" Type="http://schemas.openxmlformats.org/officeDocument/2006/relationships/image" Target="media/image10.jpeg"/><Relationship Id="rId22" Type="http://schemas.openxmlformats.org/officeDocument/2006/relationships/image" Target="media/image9.png"/><Relationship Id="rId21" Type="http://schemas.openxmlformats.org/officeDocument/2006/relationships/image" Target="media/image8.jpeg"/><Relationship Id="rId20" Type="http://schemas.openxmlformats.org/officeDocument/2006/relationships/image" Target="media/image7.emf"/><Relationship Id="rId2" Type="http://schemas.openxmlformats.org/officeDocument/2006/relationships/settings" Target="settings.xml"/><Relationship Id="rId19" Type="http://schemas.openxmlformats.org/officeDocument/2006/relationships/oleObject" Target="embeddings/oleObject2.bin"/><Relationship Id="rId18" Type="http://schemas.openxmlformats.org/officeDocument/2006/relationships/image" Target="media/image6.png"/><Relationship Id="rId17" Type="http://schemas.openxmlformats.org/officeDocument/2006/relationships/image" Target="media/image5.jpeg"/><Relationship Id="rId16" Type="http://schemas.openxmlformats.org/officeDocument/2006/relationships/image" Target="media/image4.png"/><Relationship Id="rId15" Type="http://schemas.openxmlformats.org/officeDocument/2006/relationships/image" Target="media/image3.wmf"/><Relationship Id="rId14" Type="http://schemas.openxmlformats.org/officeDocument/2006/relationships/oleObject" Target="embeddings/oleObject1.bin"/><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4759F18-44CD-45F3-AFB8-4645B9FFDB67}">
  <ds:schemaRefs/>
</ds:datastoreItem>
</file>

<file path=docProps/app.xml><?xml version="1.0" encoding="utf-8"?>
<Properties xmlns="http://schemas.openxmlformats.org/officeDocument/2006/extended-properties" xmlns:vt="http://schemas.openxmlformats.org/officeDocument/2006/docPropsVTypes">
  <Template>Normal.dotm</Template>
  <Company>Www.SangSan.Cn</Company>
  <Pages>212</Pages>
  <Words>116507</Words>
  <Characters>137540</Characters>
  <Lines>1308</Lines>
  <Paragraphs>368</Paragraphs>
  <TotalTime>28</TotalTime>
  <ScaleCrop>false</ScaleCrop>
  <LinksUpToDate>false</LinksUpToDate>
  <CharactersWithSpaces>138184</CharactersWithSpaces>
  <Application>WPS Office_12.1.0.17145_F1E327BC-269C-435d-A152-05C5408002CA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2019-02-21T01:54:00Z</dcterms:created>
  <dc:creator>tie</dc:creator>
  <cp:lastModifiedBy>11</cp:lastModifiedBy>
  <dcterms:modified xsi:type="dcterms:W3CDTF">2024-07-10T07:42:32Z</dcterms:modified>
  <cp:revision>1078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2052-12.1.0.17145</vt:lpwstr>
  </property>
  <property fmtid="{D5CDD505-2E9C-101B-9397-08002B2CF9AE}" pid="3" name="ICV">
    <vt:lpwstr>21C1104DF1F842468E13AC8D63008606</vt:lpwstr>
  </property>
</Properties>
</file>