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8046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巴彦淖尔市生态环境局乌拉特前旗分局</w:t>
      </w:r>
    </w:p>
    <w:p w14:paraId="7025CF78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关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于《</w:t>
      </w:r>
      <w:r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内蒙古得会永再生资源回收有限公司20万吨/年危险废物综合收集暂存转运项目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环境影响报告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》的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审批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意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见</w:t>
      </w:r>
    </w:p>
    <w:p w14:paraId="42C7675C">
      <w:pPr>
        <w:spacing w:line="360" w:lineRule="auto"/>
        <w:ind w:firstLine="3092" w:firstLineChars="11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乌前环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审[202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]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号</w:t>
      </w:r>
    </w:p>
    <w:p w14:paraId="2EF0540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内蒙古得会永再生资源回收有限公司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p w14:paraId="0795A02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根据《巴彦淖尔市生态环境局关于调整巴彦淖尔市环境影响评价文件（非辐射类）审查审批权限的通知》（巴环办[2020]94号），你公司报送的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由内蒙古和合生态环保技术咨询有限公司编制的《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内蒙古得会永再生资源回收有限公司20万吨/年危险废物综合收集暂存转运项目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环境影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响报告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》（以下简称《报告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巴彦淖尔市生态环境局授权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局审批。经专家组审查和我局研究，批复如下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： </w:t>
      </w:r>
    </w:p>
    <w:p w14:paraId="0852AF19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一、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内蒙古得会永再生资源回收有限公司20万吨/年危险废物综合收集暂存转运项目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位于</w:t>
      </w:r>
      <w:bookmarkStart w:id="0" w:name="_Hlk115341644"/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内蒙古自治区巴彦淖尔乌拉特前旗工业园区黑柳子主体园区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内，</w:t>
      </w:r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项目中心坐标:东经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10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°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′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21.62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″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北纬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40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°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′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50.11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本项目为新建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</w:t>
      </w:r>
      <w:bookmarkStart w:id="1" w:name="_Hlk62658214"/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设计收集、暂存、转运35类危险废物，危废最大暂存量5000t，年周转危险废物共20万吨。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本项目最终收集危废区域及种类以行政许可（转移联单）为准。</w:t>
      </w:r>
    </w:p>
    <w:p w14:paraId="1D3963F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本项目建设内容包括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：智能仓库（危废暂存间）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事故水池、雨水收集池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、办公室、职工宿舍、过磅房、门卫室以及公辅设施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、环保工程等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。</w:t>
      </w:r>
      <w:bookmarkEnd w:id="1"/>
    </w:p>
    <w:p w14:paraId="233B1B6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乌拉特前旗发展和改革委员会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对本项目予以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备案（2023年3月16日）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。该项目建设符合巴彦淖尔市生态环境分区管控要求。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根据《报告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》结论，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该项目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全面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落实《报告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》提出的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环境保护对策措施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项目建设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环境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不利影响能够得到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一定的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缓解和控制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从环保角度分析，我局原则同意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该项目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按照《报告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》中所列的建设项目性质、规模、地点、生产工艺、环境保护对策措施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和下述要求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进行建设。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该项目建设必须严格执行国家相关法律法规和政策，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采用先进适用的工艺技术和设备。严格按照行政许可种类生产经营。</w:t>
      </w:r>
    </w:p>
    <w:p w14:paraId="1C2E8E99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在设计、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建设与运行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过程中还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应做好以下工作：</w:t>
      </w:r>
    </w:p>
    <w:p w14:paraId="5D1F777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1、认真落实《报告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》提出的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施工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期的污染防治措施和生态保护措施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，确保施工期各项污染物排放符合相关标准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。施工时应将表土层集中堆放并进行临时防护。施工场地四周设置施工屏障，粉状物料进行苫盖；对易产生扬尘的作业面（点）和道路洒水抑尘，运输车辆进行苫盖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，施工期项目区无组织排放浓度达标。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施工场地建防渗沉淀池，施工废水经沉淀后回用。选用低噪声的施工机械，合理布置施工场地，施工噪声应满足《建筑施工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场界环境噪声排放标准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》（GB12523-2011）要求。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施工机械、运输车辆等排放的尾气必须达到国家相关的排放标准。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施工过程产生的建筑固废运送到指定地点，生活垃圾由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当地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环卫部门集中收集。</w:t>
      </w:r>
    </w:p>
    <w:p w14:paraId="08E447B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严格落实《报告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》提出的大气污染防治措施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，设置卫生防护距离不小于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50米，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确保废气排放符合各项排放标准和总量指标。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本项目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危废暂存间对逸散的有机废气、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碱性废气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酸性废气、臭气异味进行收集，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通过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集气罩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A区域、B区域、C区域、D区域上方分别设置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收集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后经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“稀碱液喷淋+活性炭吸附”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两套，一用一备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净化处理后经15m高排气筒排放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，确保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有组织废气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非甲烷总烃、硫酸雾、氯化氢排放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浓度满足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《大气污染物综合排放标准》（GB16297- 1996）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表2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相应标准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限值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要求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；硫化氢、氨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排放浓度满足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《恶臭污染物排放标准》（GB14554- 1993）表 1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表 2 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相应标准限值要求；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厂区道路硬化，其他区域硬化、绿化或采取有效抑尘措施，厂区内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无组织挥发性有机物排放执行《挥发性有机物无组织排放控制标准》（GB37822-2019）附录A厂内VOCs无组织排放限值要求；厂界无组织废气排放满足《大气污染物综合排放标准》（GB16297-1996）表2无组织排放要求。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各项大气污染物的排放自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2026年1月1日起全部执行大气污染物特别排放限值（内政发[2024]17号）。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职工食堂安装油烟净化设施，确保油烟达标排放。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非道路移动机械进行环保编码登记。运输及作业车辆尾气达标排放。鼓励使用清洁能源车辆。 </w:t>
      </w:r>
    </w:p>
    <w:p w14:paraId="29FD02C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严格按照《报告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》要求落实水污染防治措施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初期雨水经收集后拉运至内蒙古昱力通环境科技有限公司进行处置；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生活污水经化粪池处理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，满足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《污水综合排放标准》（GB8978- 1996）中三级标准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及园区污水处理厂入水标准后经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园区污水管网排入园区污水处理厂进行处理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发生事故时事故废液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en-US"/>
        </w:rPr>
        <w:t>通过导流沟导入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收集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en-US"/>
        </w:rPr>
        <w:t>池，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收集到具盖耐酸耐腐蚀容器中暂存，由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有危废处置资质单位及时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抽取清运处理。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废水排放口安装流量计等监测监控设施。</w:t>
      </w:r>
    </w:p>
    <w:p w14:paraId="360114B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4、选用低噪声设备，并采取妥善的减振、隔声和消声等噪声控制措施，确保厂界噪声满足《工业企业厂界环境噪声排放标准》(GB12348-2008)中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类标准。</w:t>
      </w:r>
    </w:p>
    <w:p w14:paraId="4B7B84D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5、认真落实《报告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》中固体废物污染防治措施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，分类处置各类固废。本项目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不产生一般工业固体废物，项目自身产生的危险废物在厂区危废暂存区分类暂存，定期与本项目周转的危险废物一同交由有资质的单位处置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危险废物暂存间（智能仓库）的选址、设计、建设、运行和管理及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危险废物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收集、贮存、转移等严格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执行《危险废物贮存污染控制标准》（GB18597-20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建立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健全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危险废物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收集、贮存、转移、使用、产生、处置等运行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情况台账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，实现危险废物全过程信息“可定位、可溯源、可共享”的精细化管理。按照环境保护法律法规规章和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《危险废物识别标志设置技术规范》（HJ1276-2022）、《环境保护图形标志—固体废物贮存（处置）场》（GB15562.2-1995）及其修改单的要求设置贮存设施标志牌、危险废物标签等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职工日常生活产生的生活垃圾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</w:rPr>
        <w:t>分类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收集后委托园区环卫部门清运处置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。</w:t>
      </w:r>
    </w:p>
    <w:p w14:paraId="6FC934F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GB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按照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相关技术规范、标准和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《报告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》要求严格落实厂区一般污染防治区、重点污染防治区的防渗措施，加强地下水水质监控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GB"/>
        </w:rPr>
        <w:t>强化土壤污染防治。严禁地下水和土壤污染。</w:t>
      </w:r>
    </w:p>
    <w:p w14:paraId="7934F4C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、强化环境风险防范意识，落实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该项目《报告表》、《环境风险专项评价报告》及国家相关的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环境风险事故防范措施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。启动生产前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突发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环境事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应急预案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并报我局备案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，提高事故风险防范和污染控制能力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。加强对厂区管网和危险化学品（危险废物）运输、存储及使用的安全管理，切实做好各项应急防范工作，防止生产过程中“跑、冒、滴、漏”造成污染事故的发生。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制定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污染防治设施运行安全管理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制度并严格执行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，配套安装的污染防治设施必须符合国家相关规定和技术规范。污染防治设施安装用电计量装置。</w:t>
      </w:r>
    </w:p>
    <w:p w14:paraId="740B1B0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企业应按照环境管理规定和技术规范及《报告表》的要求，设计、建设、维护永久性采样口、采样测试平台、监控设施、安全防护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设施和排污口标志、标识。</w:t>
      </w:r>
    </w:p>
    <w:p w14:paraId="6DB53AB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项目建设必须严格执行环境保护“三同时”制度，项目竣工后你公司要按规定进行项目竣工环境保护验收。验收合格后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主体工程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方可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正式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投入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生产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</w:p>
    <w:p w14:paraId="7B88DA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、建设项目在启动生产设施或者在实际排污之前，依法需申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排污许可证的，须按相关规定申领排污许可证，做到持证排污、按证排污。项目投产后按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排污许可证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规定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开展厂区及周边环境监测，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提交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公示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污染物排放检测报告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和排污许可证执行报告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严格执行污染源自行检测的相关规定。建立健全环境保护管理台账。</w:t>
      </w:r>
    </w:p>
    <w:p w14:paraId="3FC57EC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建设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项目环境影响评价文件经批准后,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建设项目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的性质、规模、地点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、工艺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或者污染防治措施发生重大变动,你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应当重新报批环境影响评价文件,否则不得实施建设。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该项目的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环评文件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批准之日起超过五年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方决定开工建设,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其环评文件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应当报我局重新审核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，否则不得开工建设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。</w:t>
      </w:r>
    </w:p>
    <w:p w14:paraId="2294839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、该项目的环境执法现场监察和日常监督管理由乌拉特前旗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生态环境综合行政执法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大队负责。</w:t>
      </w:r>
    </w:p>
    <w:p w14:paraId="4B13A0E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36390F5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41E0493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6CB56C0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0A2F320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　　　　　　　　巴彦淖尔市生态环境局乌拉特前旗分局</w:t>
      </w:r>
    </w:p>
    <w:p w14:paraId="4DC2035D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       　　 2025年3月5日</w:t>
      </w:r>
    </w:p>
    <w:p w14:paraId="3E2C850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1FA23EA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71E7931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72C90D9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3223BAC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60B71A28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7ABE7F39">
      <w:p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</w:p>
    <w:p w14:paraId="7781EBE1">
      <w:pPr>
        <w:pStyle w:val="2"/>
        <w:rPr>
          <w:rFonts w:hint="eastAsia"/>
        </w:rPr>
      </w:pPr>
    </w:p>
    <w:p w14:paraId="298370B2">
      <w:pPr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single"/>
        </w:rPr>
        <w:t>抄送：乌拉特前旗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single"/>
          <w:lang w:eastAsia="zh-CN"/>
        </w:rPr>
        <w:t>生态环境综合行政执法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single"/>
        </w:rPr>
        <w:t>大队、乌拉特前旗环境保护监测站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77E6"/>
    <w:rsid w:val="01A544B3"/>
    <w:rsid w:val="03623F11"/>
    <w:rsid w:val="05C459D1"/>
    <w:rsid w:val="06906652"/>
    <w:rsid w:val="087A6DA4"/>
    <w:rsid w:val="0EEC3721"/>
    <w:rsid w:val="12064421"/>
    <w:rsid w:val="1365377B"/>
    <w:rsid w:val="1B4924E2"/>
    <w:rsid w:val="1C026332"/>
    <w:rsid w:val="1C0564C6"/>
    <w:rsid w:val="1DB7139E"/>
    <w:rsid w:val="25417593"/>
    <w:rsid w:val="26900E0A"/>
    <w:rsid w:val="275859A0"/>
    <w:rsid w:val="27BC295E"/>
    <w:rsid w:val="27ED1C6C"/>
    <w:rsid w:val="29921E4F"/>
    <w:rsid w:val="2B0E6BAF"/>
    <w:rsid w:val="2E5A0431"/>
    <w:rsid w:val="2F6E6D27"/>
    <w:rsid w:val="37895702"/>
    <w:rsid w:val="3CFB00FD"/>
    <w:rsid w:val="41BD66D4"/>
    <w:rsid w:val="43BD0C0D"/>
    <w:rsid w:val="451D5766"/>
    <w:rsid w:val="45B40CF8"/>
    <w:rsid w:val="46F0722F"/>
    <w:rsid w:val="47C6412F"/>
    <w:rsid w:val="47CD5197"/>
    <w:rsid w:val="4C4B0D80"/>
    <w:rsid w:val="4F3B0861"/>
    <w:rsid w:val="518014CC"/>
    <w:rsid w:val="5D7A4D88"/>
    <w:rsid w:val="5F3427FB"/>
    <w:rsid w:val="61AD1B06"/>
    <w:rsid w:val="66AA6A00"/>
    <w:rsid w:val="6DC14E7B"/>
    <w:rsid w:val="70B6211F"/>
    <w:rsid w:val="70F21646"/>
    <w:rsid w:val="71E04B42"/>
    <w:rsid w:val="7227435E"/>
    <w:rsid w:val="745E52AC"/>
    <w:rsid w:val="77317741"/>
    <w:rsid w:val="79336CA0"/>
    <w:rsid w:val="7AB4616E"/>
    <w:rsid w:val="7E4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Cambria" w:hAnsi="Cambria" w:eastAsia="宋体" w:cs="Times New Roman"/>
      <w:b/>
      <w:bCs/>
      <w:kern w:val="0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firstLine="210"/>
    </w:pPr>
  </w:style>
  <w:style w:type="paragraph" w:styleId="3">
    <w:name w:val="Body Text Indent"/>
    <w:basedOn w:val="1"/>
    <w:next w:val="1"/>
    <w:qFormat/>
    <w:uiPriority w:val="0"/>
    <w:pPr>
      <w:adjustRightInd w:val="0"/>
      <w:spacing w:line="360" w:lineRule="atLeast"/>
      <w:ind w:firstLine="480"/>
      <w:jc w:val="left"/>
      <w:textAlignment w:val="baseline"/>
    </w:pPr>
    <w:rPr>
      <w:kern w:val="0"/>
      <w:sz w:val="24"/>
      <w:szCs w:val="20"/>
    </w:rPr>
  </w:style>
  <w:style w:type="paragraph" w:customStyle="1" w:styleId="7">
    <w:name w:val="表文"/>
    <w:basedOn w:val="1"/>
    <w:next w:val="1"/>
    <w:qFormat/>
    <w:uiPriority w:val="0"/>
    <w:pPr>
      <w:spacing w:line="360" w:lineRule="exact"/>
      <w:ind w:firstLine="0" w:firstLineChars="0"/>
      <w:jc w:val="center"/>
    </w:pPr>
    <w:rPr>
      <w:kern w:val="0"/>
      <w:sz w:val="21"/>
      <w:szCs w:val="20"/>
    </w:rPr>
  </w:style>
  <w:style w:type="paragraph" w:customStyle="1" w:styleId="8">
    <w:name w:val="1西西表格文"/>
    <w:basedOn w:val="1"/>
    <w:qFormat/>
    <w:uiPriority w:val="0"/>
    <w:pPr>
      <w:adjustRightInd w:val="0"/>
      <w:snapToGrid w:val="0"/>
      <w:jc w:val="center"/>
    </w:pPr>
    <w:rPr>
      <w:rFonts w:ascii="Times New Roman" w:hAnsi="Times New Roman" w:eastAsia="宋体" w:cs="楷体_GB2312"/>
      <w:snapToGrid w:val="0"/>
      <w:kern w:val="0"/>
      <w:szCs w:val="21"/>
    </w:rPr>
  </w:style>
  <w:style w:type="paragraph" w:customStyle="1" w:styleId="9">
    <w:name w:val="1西西正文"/>
    <w:basedOn w:val="1"/>
    <w:qFormat/>
    <w:uiPriority w:val="0"/>
    <w:pPr>
      <w:adjustRightInd w:val="0"/>
      <w:snapToGrid w:val="0"/>
      <w:ind w:firstLine="200"/>
    </w:pPr>
    <w:rPr>
      <w:sz w:val="24"/>
      <w:szCs w:val="22"/>
    </w:rPr>
  </w:style>
  <w:style w:type="paragraph" w:customStyle="1" w:styleId="10">
    <w:name w:val="本文正文"/>
    <w:basedOn w:val="1"/>
    <w:qFormat/>
    <w:uiPriority w:val="0"/>
    <w:pPr>
      <w:adjustRightInd w:val="0"/>
      <w:snapToGrid w:val="0"/>
    </w:pPr>
    <w:rPr>
      <w:rFonts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2938</Words>
  <Characters>3108</Characters>
  <Lines>0</Lines>
  <Paragraphs>0</Paragraphs>
  <TotalTime>1726</TotalTime>
  <ScaleCrop>false</ScaleCrop>
  <LinksUpToDate>false</LinksUpToDate>
  <CharactersWithSpaces>3150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2024-04-17T03:40:00Z</dcterms:created>
  <dc:creator>Admin</dc:creator>
  <cp:lastModifiedBy>浅听风吟</cp:lastModifiedBy>
  <cp:lastPrinted>2025-03-05T01:41:28Z</cp:lastPrinted>
  <dcterms:modified xsi:type="dcterms:W3CDTF">2025-03-05T07:52:26Z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eyJoZGlkIjoiOWUzNzg4ZTMzM2YxZDhiN2ExM2ZjZGU0NjdiYTRiMjUiLCJ1c2VySWQiOiIyODY3ODg0NjUifQ==</vt:lpwstr>
  </property>
  <property fmtid="{D5CDD505-2E9C-101B-9397-08002B2CF9AE}" pid="4" name="ICV">
    <vt:lpwstr>242696A2C34D415B8055A5BC2E1DA367_13</vt:lpwstr>
  </property>
</Properties>
</file>