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FC66">
      <w:pPr>
        <w:rPr>
          <w:rFonts w:ascii="黑体" w:hAnsi="黑体" w:eastAsia="黑体" w:cs="黑体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>附件</w:t>
      </w:r>
    </w:p>
    <w:p w14:paraId="373E056E">
      <w:pPr>
        <w:spacing w:before="206" w:line="233" w:lineRule="auto"/>
        <w:ind w:left="2661"/>
        <w:rPr>
          <w:rFonts w:ascii="方正小标宋简体" w:hAnsi="方正小标宋简体" w:eastAsia="方正小标宋简体" w:cs="方正小标宋简体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zh-CN"/>
        </w:rPr>
        <w:t>乌拉特前旗</w:t>
      </w:r>
      <w:r>
        <w:rPr>
          <w:rFonts w:ascii="方正小标宋简体" w:hAnsi="方正小标宋简体" w:eastAsia="方正小标宋简体" w:cs="方正小标宋简体"/>
          <w:spacing w:val="0"/>
          <w:sz w:val="40"/>
          <w:szCs w:val="40"/>
        </w:rPr>
        <w:t>科技</w:t>
      </w:r>
      <w:r>
        <w:rPr>
          <w:rFonts w:ascii="Times New Roman" w:hAnsi="Times New Roman" w:eastAsia="Times New Roman" w:cs="Times New Roman"/>
          <w:spacing w:val="0"/>
          <w:sz w:val="40"/>
          <w:szCs w:val="40"/>
        </w:rPr>
        <w:t>“</w:t>
      </w:r>
      <w:r>
        <w:rPr>
          <w:rFonts w:ascii="方正小标宋简体" w:hAnsi="方正小标宋简体" w:eastAsia="方正小标宋简体" w:cs="方正小标宋简体"/>
          <w:spacing w:val="0"/>
          <w:sz w:val="40"/>
          <w:szCs w:val="40"/>
        </w:rPr>
        <w:t>突围</w:t>
      </w:r>
      <w:r>
        <w:rPr>
          <w:rFonts w:ascii="Times New Roman" w:hAnsi="Times New Roman" w:eastAsia="Times New Roman" w:cs="Times New Roman"/>
          <w:spacing w:val="0"/>
          <w:sz w:val="40"/>
          <w:szCs w:val="40"/>
        </w:rPr>
        <w:t>”</w:t>
      </w:r>
      <w:r>
        <w:rPr>
          <w:rFonts w:ascii="方正小标宋简体" w:hAnsi="方正小标宋简体" w:eastAsia="方正小标宋简体" w:cs="方正小标宋简体"/>
          <w:spacing w:val="0"/>
          <w:sz w:val="40"/>
          <w:szCs w:val="40"/>
        </w:rPr>
        <w:t>工程实施方案重点任务清单</w:t>
      </w:r>
    </w:p>
    <w:tbl>
      <w:tblPr>
        <w:tblStyle w:val="6"/>
        <w:tblW w:w="138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259"/>
        <w:gridCol w:w="5005"/>
        <w:gridCol w:w="4964"/>
        <w:gridCol w:w="1897"/>
      </w:tblGrid>
      <w:tr w14:paraId="08593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54" w:type="dxa"/>
            <w:vAlign w:val="center"/>
          </w:tcPr>
          <w:p w14:paraId="4B9070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6264" w:type="dxa"/>
            <w:gridSpan w:val="2"/>
            <w:vAlign w:val="center"/>
          </w:tcPr>
          <w:p w14:paraId="2CE288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</w:rPr>
              <w:t>重点任务</w:t>
            </w:r>
          </w:p>
        </w:tc>
        <w:tc>
          <w:tcPr>
            <w:tcW w:w="4964" w:type="dxa"/>
            <w:vAlign w:val="center"/>
          </w:tcPr>
          <w:p w14:paraId="36FDCC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</w:rPr>
              <w:t>任务目标</w:t>
            </w:r>
          </w:p>
        </w:tc>
        <w:tc>
          <w:tcPr>
            <w:tcW w:w="1897" w:type="dxa"/>
            <w:vAlign w:val="center"/>
          </w:tcPr>
          <w:p w14:paraId="6729E5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</w:rPr>
              <w:t>责任部门</w:t>
            </w:r>
          </w:p>
        </w:tc>
      </w:tr>
      <w:tr w14:paraId="0B6CE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879" w:type="dxa"/>
            <w:gridSpan w:val="5"/>
            <w:vAlign w:val="center"/>
          </w:tcPr>
          <w:p w14:paraId="4B04D9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ascii="Times New Roman" w:hAnsi="Times New Roman" w:eastAsia="Times New Roman" w:cs="Times New Roman"/>
                <w:spacing w:val="0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  <w:t>一、农牧业领域重点“突围”</w:t>
            </w:r>
          </w:p>
        </w:tc>
      </w:tr>
      <w:tr w14:paraId="5B4AF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754" w:type="dxa"/>
            <w:vAlign w:val="center"/>
          </w:tcPr>
          <w:p w14:paraId="5AFDCE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1</w:t>
            </w:r>
          </w:p>
        </w:tc>
        <w:tc>
          <w:tcPr>
            <w:tcW w:w="1259" w:type="dxa"/>
            <w:vAlign w:val="center"/>
          </w:tcPr>
          <w:p w14:paraId="1A355DB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种业</w:t>
            </w:r>
          </w:p>
          <w:p w14:paraId="0C29DE6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振兴</w:t>
            </w:r>
          </w:p>
        </w:tc>
        <w:tc>
          <w:tcPr>
            <w:tcW w:w="5005" w:type="dxa"/>
            <w:vAlign w:val="center"/>
          </w:tcPr>
          <w:p w14:paraId="7D3B02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105" w:leftChars="50" w:right="105" w:rightChars="5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聚焦肉羊、玉米、向日葵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、辣椒及中药材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等优势特色产业，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鼓励企业加大研发力度，开展新品种选育。推广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新品种、核心种群扩繁等关键核心技术和成果转化。</w:t>
            </w:r>
          </w:p>
        </w:tc>
        <w:tc>
          <w:tcPr>
            <w:tcW w:w="4964" w:type="dxa"/>
            <w:vAlign w:val="center"/>
          </w:tcPr>
          <w:p w14:paraId="036B56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105" w:leftChars="50" w:right="105" w:rightChars="50" w:firstLine="6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力争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3年内，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推广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华蒙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等优质肉羊品种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2500只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培育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高抗向日葵品种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个以上，耐密高产耐旱玉米新品种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个以上，繁育制种面积在稳定0.5万亩基础上，力争突破1万亩。</w:t>
            </w:r>
          </w:p>
        </w:tc>
        <w:tc>
          <w:tcPr>
            <w:tcW w:w="1897" w:type="dxa"/>
            <w:vAlign w:val="center"/>
          </w:tcPr>
          <w:p w14:paraId="2E5AD1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农科局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乡村振兴局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392C8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754" w:type="dxa"/>
            <w:vAlign w:val="center"/>
          </w:tcPr>
          <w:p w14:paraId="78311B8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</w:t>
            </w:r>
          </w:p>
        </w:tc>
        <w:tc>
          <w:tcPr>
            <w:tcW w:w="1259" w:type="dxa"/>
            <w:vAlign w:val="center"/>
          </w:tcPr>
          <w:p w14:paraId="06B53BE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耕地地力</w:t>
            </w:r>
          </w:p>
          <w:p w14:paraId="1170615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提升</w:t>
            </w:r>
          </w:p>
        </w:tc>
        <w:tc>
          <w:tcPr>
            <w:tcW w:w="5005" w:type="dxa"/>
            <w:vAlign w:val="center"/>
          </w:tcPr>
          <w:p w14:paraId="0F4056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110" w:leftChars="50" w:right="105" w:rightChars="50" w:hanging="5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聚焦盐碱地资源高效利用模式创新，在秸秆还田利用、盐碱地治理关键技术熟化利用、障碍耕地分类治理等关键点位开展技术攻关和集成示范。</w:t>
            </w:r>
          </w:p>
        </w:tc>
        <w:tc>
          <w:tcPr>
            <w:tcW w:w="4964" w:type="dxa"/>
            <w:vAlign w:val="center"/>
          </w:tcPr>
          <w:p w14:paraId="144E56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105" w:leftChars="50" w:right="105" w:rightChars="50" w:firstLine="1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力争3年内，熟化1套盐碱地治理关键技术模式，形成标准化盐碱地治理技术模式2-3项，技术成果示范推广面积10万亩。</w:t>
            </w:r>
          </w:p>
        </w:tc>
        <w:tc>
          <w:tcPr>
            <w:tcW w:w="1897" w:type="dxa"/>
            <w:vAlign w:val="center"/>
          </w:tcPr>
          <w:p w14:paraId="1C7DED8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农科局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乡村振兴局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03AD4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879" w:type="dxa"/>
            <w:gridSpan w:val="5"/>
            <w:vAlign w:val="center"/>
          </w:tcPr>
          <w:p w14:paraId="7A2433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  <w:t>二、工业领域精准“突围”</w:t>
            </w:r>
          </w:p>
        </w:tc>
      </w:tr>
      <w:tr w14:paraId="5BADE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754" w:type="dxa"/>
            <w:vAlign w:val="center"/>
          </w:tcPr>
          <w:p w14:paraId="5F4C11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3</w:t>
            </w:r>
          </w:p>
        </w:tc>
        <w:tc>
          <w:tcPr>
            <w:tcW w:w="1259" w:type="dxa"/>
            <w:vAlign w:val="center"/>
          </w:tcPr>
          <w:p w14:paraId="68B637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 w:firstLine="3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农畜产品</w:t>
            </w:r>
          </w:p>
          <w:p w14:paraId="463F6AE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 w:firstLine="3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精深加工</w:t>
            </w:r>
          </w:p>
        </w:tc>
        <w:tc>
          <w:tcPr>
            <w:tcW w:w="5005" w:type="dxa"/>
            <w:vAlign w:val="center"/>
          </w:tcPr>
          <w:p w14:paraId="15C2CE3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7" w:leftChars="50" w:right="105" w:rightChars="50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聚焦肉羊、向日葵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、辣椒等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农畜产品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及枸杞、黄芪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中药材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高附加值产品研发、副产物高值化利用等关键环节开展技术攻关和成果转化。</w:t>
            </w:r>
          </w:p>
        </w:tc>
        <w:tc>
          <w:tcPr>
            <w:tcW w:w="4964" w:type="dxa"/>
            <w:vAlign w:val="center"/>
          </w:tcPr>
          <w:p w14:paraId="52D7BF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7" w:leftChars="50" w:right="105" w:rightChars="50" w:hanging="2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力争3年内，形成羊皮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（羊上羊）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、羊毛、羊绒等副产物高值化利用技术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项以上，开发功能型高附加值产品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个以上。</w:t>
            </w:r>
          </w:p>
        </w:tc>
        <w:tc>
          <w:tcPr>
            <w:tcW w:w="1897" w:type="dxa"/>
            <w:vAlign w:val="center"/>
          </w:tcPr>
          <w:p w14:paraId="7E2C5F4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农科局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乡村振兴局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</w:tbl>
    <w:p w14:paraId="417D1C7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105" w:leftChars="50" w:right="105" w:rightChars="5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1"/>
          <w:szCs w:val="21"/>
          <w:lang w:val="en-US" w:eastAsia="en-US" w:bidi="ar-SA"/>
        </w:rPr>
      </w:pPr>
    </w:p>
    <w:p w14:paraId="58007C2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105" w:leftChars="50" w:right="105" w:rightChars="5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1"/>
          <w:szCs w:val="21"/>
          <w:lang w:val="en-US" w:eastAsia="en-US" w:bidi="ar-SA"/>
        </w:rPr>
      </w:pPr>
    </w:p>
    <w:p w14:paraId="3891564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105" w:leftChars="50" w:right="105" w:rightChars="5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1"/>
          <w:szCs w:val="21"/>
          <w:lang w:val="en-US" w:eastAsia="en-US" w:bidi="ar-SA"/>
        </w:rPr>
        <w:sectPr>
          <w:footerReference r:id="rId5" w:type="default"/>
          <w:pgSz w:w="16838" w:h="11906" w:orient="landscape"/>
          <w:pgMar w:top="1011" w:right="1596" w:bottom="1394" w:left="1357" w:header="0" w:footer="1115" w:gutter="0"/>
          <w:cols w:space="720" w:num="1"/>
        </w:sectPr>
      </w:pPr>
    </w:p>
    <w:tbl>
      <w:tblPr>
        <w:tblStyle w:val="6"/>
        <w:tblW w:w="140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279"/>
        <w:gridCol w:w="5084"/>
        <w:gridCol w:w="5043"/>
        <w:gridCol w:w="1927"/>
      </w:tblGrid>
      <w:tr w14:paraId="05076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766" w:type="dxa"/>
            <w:vAlign w:val="center"/>
          </w:tcPr>
          <w:p w14:paraId="39F33D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4</w:t>
            </w:r>
          </w:p>
        </w:tc>
        <w:tc>
          <w:tcPr>
            <w:tcW w:w="1279" w:type="dxa"/>
            <w:vAlign w:val="center"/>
          </w:tcPr>
          <w:p w14:paraId="44EBC58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新能源</w:t>
            </w:r>
          </w:p>
        </w:tc>
        <w:tc>
          <w:tcPr>
            <w:tcW w:w="5084" w:type="dxa"/>
            <w:vAlign w:val="center"/>
          </w:tcPr>
          <w:p w14:paraId="1E858C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 w:firstLine="1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前瞻性布局绿氢“制储输用”多场景应用、远距离和低成本液氢储运等技术创新，充分挖掘技术突围关键点位和技术需求，支持企业组建创新联合体开展关键技术攻关。</w:t>
            </w:r>
          </w:p>
        </w:tc>
        <w:tc>
          <w:tcPr>
            <w:tcW w:w="5043" w:type="dxa"/>
            <w:vAlign w:val="center"/>
          </w:tcPr>
          <w:p w14:paraId="2EA9C09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前瞻性布局绿氢“制储输用”多场景应用、远距离和低成本液氢储运等技术创新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927" w:type="dxa"/>
            <w:vAlign w:val="center"/>
          </w:tcPr>
          <w:p w14:paraId="22ECD3E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88" w:leftChars="50" w:right="105" w:rightChars="50" w:hanging="183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发改委、工信局</w:t>
            </w:r>
          </w:p>
        </w:tc>
      </w:tr>
      <w:tr w14:paraId="5AC8A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766" w:type="dxa"/>
            <w:vAlign w:val="center"/>
          </w:tcPr>
          <w:p w14:paraId="7EF83D7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1279" w:type="dxa"/>
            <w:vAlign w:val="center"/>
          </w:tcPr>
          <w:p w14:paraId="1527A04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新材料</w:t>
            </w:r>
          </w:p>
        </w:tc>
        <w:tc>
          <w:tcPr>
            <w:tcW w:w="5084" w:type="dxa"/>
            <w:vAlign w:val="center"/>
          </w:tcPr>
          <w:p w14:paraId="27A4DE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聚焦高纯晶硅等新材料制备，实施新型多晶硅制备系统研发及产业化等技术攻关和成果转化。实施重大科技攻关和成果转化项目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个以上。</w:t>
            </w:r>
          </w:p>
        </w:tc>
        <w:tc>
          <w:tcPr>
            <w:tcW w:w="5043" w:type="dxa"/>
            <w:vAlign w:val="center"/>
          </w:tcPr>
          <w:p w14:paraId="53C1390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 w:firstLine="11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实施重大科技攻关和成果转化项目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个以上。</w:t>
            </w:r>
          </w:p>
        </w:tc>
        <w:tc>
          <w:tcPr>
            <w:tcW w:w="1927" w:type="dxa"/>
            <w:vAlign w:val="center"/>
          </w:tcPr>
          <w:p w14:paraId="060FA89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90" w:leftChars="50" w:right="105" w:rightChars="50" w:hanging="18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工信局、发改委</w:t>
            </w:r>
          </w:p>
        </w:tc>
      </w:tr>
      <w:tr w14:paraId="5CED1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766" w:type="dxa"/>
            <w:vAlign w:val="center"/>
          </w:tcPr>
          <w:p w14:paraId="73024A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79" w:type="dxa"/>
            <w:vAlign w:val="center"/>
          </w:tcPr>
          <w:p w14:paraId="1C412EC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 w:firstLine="1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冶金化工</w:t>
            </w:r>
          </w:p>
        </w:tc>
        <w:tc>
          <w:tcPr>
            <w:tcW w:w="5084" w:type="dxa"/>
            <w:vAlign w:val="center"/>
          </w:tcPr>
          <w:p w14:paraId="0712FC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 w:firstLine="11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聚焦稀土深加工，硫化工产业链等方面开展研发创新，实施高强度劳动环节机器换人成果转化。力争3年内，实施重大公关和成果转化项目2个以上。</w:t>
            </w:r>
          </w:p>
        </w:tc>
        <w:tc>
          <w:tcPr>
            <w:tcW w:w="5043" w:type="dxa"/>
            <w:vAlign w:val="center"/>
          </w:tcPr>
          <w:p w14:paraId="1C00492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 w:firstLine="11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力争3年内，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实施重大公关和成果转化项目2个以上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。</w:t>
            </w:r>
          </w:p>
        </w:tc>
        <w:tc>
          <w:tcPr>
            <w:tcW w:w="1927" w:type="dxa"/>
            <w:vAlign w:val="center"/>
          </w:tcPr>
          <w:p w14:paraId="06F260C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90" w:leftChars="50" w:right="105" w:rightChars="50" w:hanging="18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工信局、发改委</w:t>
            </w:r>
          </w:p>
        </w:tc>
      </w:tr>
    </w:tbl>
    <w:p w14:paraId="716C3B7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105" w:leftChars="50" w:right="105" w:rightChars="5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21"/>
          <w:szCs w:val="21"/>
          <w:lang w:val="en-US" w:eastAsia="en-US" w:bidi="ar-SA"/>
        </w:rPr>
        <w:sectPr>
          <w:footerReference r:id="rId6" w:type="default"/>
          <w:pgSz w:w="16838" w:h="11906" w:orient="landscape"/>
          <w:pgMar w:top="1587" w:right="1984" w:bottom="1587" w:left="1701" w:header="0" w:footer="0" w:gutter="0"/>
          <w:cols w:space="720" w:num="1"/>
        </w:sectPr>
      </w:pPr>
    </w:p>
    <w:tbl>
      <w:tblPr>
        <w:tblStyle w:val="6"/>
        <w:tblW w:w="138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259"/>
        <w:gridCol w:w="5005"/>
        <w:gridCol w:w="4964"/>
        <w:gridCol w:w="1897"/>
      </w:tblGrid>
      <w:tr w14:paraId="4E1D6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3879" w:type="dxa"/>
            <w:gridSpan w:val="5"/>
            <w:vAlign w:val="center"/>
          </w:tcPr>
          <w:p w14:paraId="077A3E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  <w:t>三、社会发展领域持续“突围”</w:t>
            </w:r>
          </w:p>
        </w:tc>
      </w:tr>
      <w:tr w14:paraId="6EAE7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754" w:type="dxa"/>
            <w:vAlign w:val="center"/>
          </w:tcPr>
          <w:p w14:paraId="1BEC553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259" w:type="dxa"/>
            <w:vAlign w:val="center"/>
          </w:tcPr>
          <w:p w14:paraId="6CD529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防沙治沙</w:t>
            </w:r>
          </w:p>
        </w:tc>
        <w:tc>
          <w:tcPr>
            <w:tcW w:w="5005" w:type="dxa"/>
            <w:vAlign w:val="center"/>
          </w:tcPr>
          <w:p w14:paraId="10FEC8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聚焦“光伏+生态治理”技术模式、高标准农田防护林体系建设、荒漠草原综合治理等关键位点成果转化。</w:t>
            </w:r>
          </w:p>
        </w:tc>
        <w:tc>
          <w:tcPr>
            <w:tcW w:w="4964" w:type="dxa"/>
            <w:vAlign w:val="center"/>
          </w:tcPr>
          <w:p w14:paraId="4FA2453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力争3年内，形成“光伏+生态治理”技术模式1项，建立光伏电站生态效应评估体系1套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897" w:type="dxa"/>
            <w:vAlign w:val="center"/>
          </w:tcPr>
          <w:p w14:paraId="0F260F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林草局</w:t>
            </w:r>
          </w:p>
        </w:tc>
      </w:tr>
      <w:tr w14:paraId="327DC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879" w:type="dxa"/>
            <w:gridSpan w:val="5"/>
            <w:vAlign w:val="center"/>
          </w:tcPr>
          <w:p w14:paraId="3695C5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</w:rPr>
              <w:t>四、组织保障</w:t>
            </w:r>
          </w:p>
        </w:tc>
      </w:tr>
      <w:tr w14:paraId="2D576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754" w:type="dxa"/>
            <w:vAlign w:val="center"/>
          </w:tcPr>
          <w:p w14:paraId="11098A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59" w:type="dxa"/>
            <w:vAlign w:val="center"/>
          </w:tcPr>
          <w:p w14:paraId="0B3F0B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强化人才</w:t>
            </w:r>
          </w:p>
          <w:p w14:paraId="7F03BD1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保障</w:t>
            </w:r>
          </w:p>
        </w:tc>
        <w:tc>
          <w:tcPr>
            <w:tcW w:w="9969" w:type="dxa"/>
            <w:gridSpan w:val="2"/>
            <w:vAlign w:val="center"/>
          </w:tcPr>
          <w:p w14:paraId="5A58B0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依托“三站两中心”，结合产业发展需求，积极与市、自治区高校及科研院对接，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落实好各类人才创新创业优惠政策，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吸引高层次人才来旗服务，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为高层次人才引进落地提供有力保障。</w:t>
            </w:r>
          </w:p>
        </w:tc>
        <w:tc>
          <w:tcPr>
            <w:tcW w:w="1897" w:type="dxa"/>
            <w:vAlign w:val="center"/>
          </w:tcPr>
          <w:p w14:paraId="45140EB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组织部、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农科局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乡村振兴局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人社局、科协</w:t>
            </w:r>
          </w:p>
        </w:tc>
      </w:tr>
      <w:tr w14:paraId="1DF56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754" w:type="dxa"/>
            <w:vAlign w:val="center"/>
          </w:tcPr>
          <w:p w14:paraId="1B69D6C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259" w:type="dxa"/>
            <w:vAlign w:val="center"/>
          </w:tcPr>
          <w:p w14:paraId="3F81FA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强化模式</w:t>
            </w:r>
          </w:p>
          <w:p w14:paraId="12C739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创新</w:t>
            </w:r>
          </w:p>
        </w:tc>
        <w:tc>
          <w:tcPr>
            <w:tcW w:w="9969" w:type="dxa"/>
            <w:gridSpan w:val="2"/>
            <w:vAlign w:val="center"/>
          </w:tcPr>
          <w:p w14:paraId="503A17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聚焦关键点位、瞄准创新团队，采用“揭榜挂帅”、“赛马制”、委托开发等方式，实施科技突围攻关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联合开展技术攻关和成果转化。支持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企业建设新型研发机构、创新联合体，为创新人才团队搭建创新平台。</w:t>
            </w:r>
          </w:p>
        </w:tc>
        <w:tc>
          <w:tcPr>
            <w:tcW w:w="1897" w:type="dxa"/>
            <w:vAlign w:val="center"/>
          </w:tcPr>
          <w:p w14:paraId="7A6C1E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发改委、工信局、林草局、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农科局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乡村振兴局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6FF28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754" w:type="dxa"/>
            <w:vAlign w:val="center"/>
          </w:tcPr>
          <w:p w14:paraId="5F3B36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259" w:type="dxa"/>
            <w:vAlign w:val="center"/>
          </w:tcPr>
          <w:p w14:paraId="1ECCB3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强化资金</w:t>
            </w:r>
          </w:p>
          <w:p w14:paraId="54E623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支持</w:t>
            </w:r>
          </w:p>
        </w:tc>
        <w:tc>
          <w:tcPr>
            <w:tcW w:w="9969" w:type="dxa"/>
            <w:gridSpan w:val="2"/>
            <w:vAlign w:val="center"/>
          </w:tcPr>
          <w:p w14:paraId="36108C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各部门要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积极争取自治区科技突围工程项目、“揭榜挂帅”项目、重点研发计划等项目资金。建立健全科技金融工作推进机制，支持银行业金融机构单列科技型企业贷款规模，为企业提供全生命周期金融服务。</w:t>
            </w:r>
          </w:p>
        </w:tc>
        <w:tc>
          <w:tcPr>
            <w:tcW w:w="1897" w:type="dxa"/>
            <w:vAlign w:val="center"/>
          </w:tcPr>
          <w:p w14:paraId="6886A0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财政局、发改委、工信局、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农科局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>乡村振兴局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</w:tbl>
    <w:p w14:paraId="62C650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828B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BA47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12E8D"/>
    <w:rsid w:val="0F612E8D"/>
    <w:rsid w:val="44C2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_GB2312" w:hAnsi="仿宋_GB2312" w:eastAsia="仿宋_GB2312" w:cs="仿宋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1279</Words>
  <Characters>1288</Characters>
  <Lines>0</Lines>
  <Paragraphs>0</Paragraphs>
  <TotalTime>5</TotalTime>
  <ScaleCrop>false</ScaleCrop>
  <LinksUpToDate>false</LinksUpToDate>
  <CharactersWithSpaces>1288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2024-11-07T10:00:00Z</dcterms:created>
  <dc:creator>大西几的wps</dc:creator>
  <cp:lastModifiedBy>Administrator</cp:lastModifiedBy>
  <dcterms:modified xsi:type="dcterms:W3CDTF">2025-08-26T03:00:03Z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191B44DC61444617A1C9E25F77318F2F_13</vt:lpwstr>
  </property>
  <property fmtid="{D5CDD505-2E9C-101B-9397-08002B2CF9AE}" pid="4" name="KSOTemplateDocerSaveRecord">
    <vt:lpwstr>eyJoZGlkIjoiOTQ0NzUzNWVmOTg1YjM4MmY3MzVlOTEzYzlmYTU5Y2MifQ==</vt:lpwstr>
  </property>
</Properties>
</file>