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ascii="方正小标宋_GBK" w:hAnsi="方正小标宋_GBK" w:eastAsia="方正小标宋_GBK"/>
          <w:b w:val="0"/>
          <w:bCs w:val="0"/>
          <w:sz w:val="30"/>
        </w:rPr>
      </w:pPr>
      <w:bookmarkStart w:id="0" w:name="_Toc24724707"/>
      <w:r>
        <w:rPr>
          <w:rFonts w:hint="eastAsia" w:ascii="方正小标宋_GBK" w:hAnsi="方正小标宋_GBK" w:eastAsia="方正小标宋_GBK"/>
          <w:b w:val="0"/>
          <w:bCs w:val="0"/>
          <w:sz w:val="30"/>
          <w:lang w:val="en-US" w:eastAsia="zh-CN"/>
        </w:rPr>
        <w:t>统计领域基层政务</w:t>
      </w:r>
      <w:bookmarkStart w:id="1" w:name="_GoBack"/>
      <w:bookmarkEnd w:id="1"/>
      <w:r>
        <w:rPr>
          <w:rFonts w:hint="eastAsia" w:ascii="方正小标宋_GBK" w:hAnsi="方正小标宋_GBK" w:eastAsia="方正小标宋_GBK"/>
          <w:b w:val="0"/>
          <w:bCs w:val="0"/>
          <w:sz w:val="30"/>
        </w:rPr>
        <w:t>公开标准目录</w:t>
      </w:r>
      <w:bookmarkEnd w:id="0"/>
    </w:p>
    <w:tbl>
      <w:tblPr>
        <w:tblStyle w:val="9"/>
        <w:tblW w:w="15480" w:type="dxa"/>
        <w:tblInd w:w="-7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900"/>
        <w:gridCol w:w="900"/>
        <w:gridCol w:w="2160"/>
        <w:gridCol w:w="2520"/>
        <w:gridCol w:w="1620"/>
        <w:gridCol w:w="1080"/>
        <w:gridCol w:w="1800"/>
        <w:gridCol w:w="540"/>
        <w:gridCol w:w="709"/>
        <w:gridCol w:w="551"/>
        <w:gridCol w:w="720"/>
        <w:gridCol w:w="720"/>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540" w:type="dxa"/>
            <w:vMerge w:val="restart"/>
            <w:shd w:val="clear" w:color="auto" w:fill="auto"/>
            <w:vAlign w:val="center"/>
          </w:tcPr>
          <w:p>
            <w:pPr>
              <w:widowControl/>
              <w:spacing w:line="240" w:lineRule="atLeast"/>
              <w:jc w:val="center"/>
              <w:rPr>
                <w:rFonts w:ascii="Times New Roman" w:hAnsi="Times New Roman"/>
                <w:color w:val="000000"/>
                <w:kern w:val="0"/>
                <w:sz w:val="22"/>
              </w:rPr>
            </w:pPr>
            <w:r>
              <w:rPr>
                <w:rFonts w:ascii="Times New Roman" w:hAnsi="宋体"/>
                <w:color w:val="000000"/>
                <w:kern w:val="0"/>
                <w:sz w:val="22"/>
              </w:rPr>
              <w:t>序号</w:t>
            </w:r>
          </w:p>
        </w:tc>
        <w:tc>
          <w:tcPr>
            <w:tcW w:w="1800" w:type="dxa"/>
            <w:gridSpan w:val="2"/>
            <w:shd w:val="clear" w:color="auto" w:fill="auto"/>
            <w:vAlign w:val="center"/>
          </w:tcPr>
          <w:p>
            <w:pPr>
              <w:widowControl/>
              <w:spacing w:line="240" w:lineRule="atLeast"/>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2160" w:type="dxa"/>
            <w:vMerge w:val="restart"/>
            <w:shd w:val="clear" w:color="auto" w:fill="auto"/>
            <w:vAlign w:val="center"/>
          </w:tcPr>
          <w:p>
            <w:pPr>
              <w:widowControl/>
              <w:spacing w:line="240" w:lineRule="atLeast"/>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2520" w:type="dxa"/>
            <w:vMerge w:val="restart"/>
            <w:shd w:val="clear" w:color="auto" w:fill="auto"/>
            <w:vAlign w:val="center"/>
          </w:tcPr>
          <w:p>
            <w:pPr>
              <w:widowControl/>
              <w:spacing w:line="240" w:lineRule="atLeast"/>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620" w:type="dxa"/>
            <w:vMerge w:val="restart"/>
            <w:shd w:val="clear" w:color="auto" w:fill="auto"/>
            <w:vAlign w:val="center"/>
          </w:tcPr>
          <w:p>
            <w:pPr>
              <w:widowControl/>
              <w:spacing w:line="240" w:lineRule="atLeast"/>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080" w:type="dxa"/>
            <w:vMerge w:val="restart"/>
            <w:shd w:val="clear" w:color="auto" w:fill="auto"/>
            <w:vAlign w:val="center"/>
          </w:tcPr>
          <w:p>
            <w:pPr>
              <w:widowControl/>
              <w:spacing w:line="240" w:lineRule="atLeast"/>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800" w:type="dxa"/>
            <w:vMerge w:val="restart"/>
            <w:shd w:val="clear" w:color="auto" w:fill="auto"/>
            <w:vAlign w:val="center"/>
          </w:tcPr>
          <w:p>
            <w:pPr>
              <w:widowControl/>
              <w:spacing w:line="240" w:lineRule="atLeast"/>
              <w:jc w:val="center"/>
              <w:rPr>
                <w:rFonts w:ascii="黑体" w:hAnsi="宋体" w:eastAsia="黑体" w:cs="宋体"/>
                <w:kern w:val="0"/>
                <w:sz w:val="22"/>
              </w:rPr>
            </w:pPr>
            <w:r>
              <w:rPr>
                <w:rFonts w:hint="eastAsia" w:ascii="黑体" w:hAnsi="宋体" w:eastAsia="黑体" w:cs="宋体"/>
                <w:kern w:val="0"/>
                <w:sz w:val="22"/>
              </w:rPr>
              <w:t>公开渠道和载体</w:t>
            </w:r>
          </w:p>
        </w:tc>
        <w:tc>
          <w:tcPr>
            <w:tcW w:w="1249" w:type="dxa"/>
            <w:gridSpan w:val="2"/>
            <w:shd w:val="clear" w:color="auto" w:fill="auto"/>
            <w:vAlign w:val="center"/>
          </w:tcPr>
          <w:p>
            <w:pPr>
              <w:widowControl/>
              <w:spacing w:line="240" w:lineRule="atLeast"/>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shd w:val="clear" w:color="auto" w:fill="auto"/>
            <w:vAlign w:val="center"/>
          </w:tcPr>
          <w:p>
            <w:pPr>
              <w:widowControl/>
              <w:spacing w:line="240" w:lineRule="atLeast"/>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shd w:val="clear" w:color="auto" w:fill="auto"/>
            <w:vAlign w:val="center"/>
          </w:tcPr>
          <w:p>
            <w:pPr>
              <w:widowControl/>
              <w:spacing w:line="240" w:lineRule="atLeast"/>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540" w:type="dxa"/>
            <w:vMerge w:val="continue"/>
            <w:vAlign w:val="center"/>
          </w:tcPr>
          <w:p>
            <w:pPr>
              <w:widowControl/>
              <w:spacing w:line="240" w:lineRule="atLeast"/>
              <w:jc w:val="left"/>
              <w:rPr>
                <w:rFonts w:ascii="Times New Roman" w:hAnsi="Times New Roman"/>
                <w:color w:val="000000"/>
                <w:kern w:val="0"/>
                <w:sz w:val="22"/>
              </w:rPr>
            </w:pPr>
          </w:p>
        </w:tc>
        <w:tc>
          <w:tcPr>
            <w:tcW w:w="900" w:type="dxa"/>
            <w:shd w:val="clear" w:color="auto" w:fill="auto"/>
            <w:vAlign w:val="center"/>
          </w:tcPr>
          <w:p>
            <w:pPr>
              <w:widowControl/>
              <w:spacing w:line="240" w:lineRule="atLeast"/>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900" w:type="dxa"/>
            <w:shd w:val="clear" w:color="auto" w:fill="auto"/>
            <w:vAlign w:val="center"/>
          </w:tcPr>
          <w:p>
            <w:pPr>
              <w:widowControl/>
              <w:spacing w:line="240" w:lineRule="atLeast"/>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2160" w:type="dxa"/>
            <w:vMerge w:val="continue"/>
            <w:vAlign w:val="center"/>
          </w:tcPr>
          <w:p>
            <w:pPr>
              <w:widowControl/>
              <w:spacing w:line="240" w:lineRule="atLeast"/>
              <w:rPr>
                <w:rFonts w:ascii="黑体" w:hAnsi="宋体" w:eastAsia="黑体" w:cs="宋体"/>
                <w:color w:val="000000"/>
                <w:kern w:val="0"/>
                <w:sz w:val="22"/>
              </w:rPr>
            </w:pPr>
          </w:p>
        </w:tc>
        <w:tc>
          <w:tcPr>
            <w:tcW w:w="2520" w:type="dxa"/>
            <w:vMerge w:val="continue"/>
            <w:vAlign w:val="center"/>
          </w:tcPr>
          <w:p>
            <w:pPr>
              <w:widowControl/>
              <w:spacing w:line="240" w:lineRule="atLeast"/>
              <w:jc w:val="left"/>
              <w:rPr>
                <w:rFonts w:ascii="黑体" w:hAnsi="宋体" w:eastAsia="黑体" w:cs="宋体"/>
                <w:color w:val="000000"/>
                <w:kern w:val="0"/>
                <w:sz w:val="22"/>
              </w:rPr>
            </w:pPr>
          </w:p>
        </w:tc>
        <w:tc>
          <w:tcPr>
            <w:tcW w:w="1620" w:type="dxa"/>
            <w:vMerge w:val="continue"/>
            <w:vAlign w:val="center"/>
          </w:tcPr>
          <w:p>
            <w:pPr>
              <w:widowControl/>
              <w:spacing w:line="240" w:lineRule="atLeast"/>
              <w:jc w:val="left"/>
              <w:rPr>
                <w:rFonts w:ascii="黑体" w:hAnsi="宋体" w:eastAsia="黑体" w:cs="宋体"/>
                <w:color w:val="000000"/>
                <w:kern w:val="0"/>
                <w:sz w:val="22"/>
              </w:rPr>
            </w:pPr>
          </w:p>
        </w:tc>
        <w:tc>
          <w:tcPr>
            <w:tcW w:w="1080" w:type="dxa"/>
            <w:vMerge w:val="continue"/>
            <w:vAlign w:val="center"/>
          </w:tcPr>
          <w:p>
            <w:pPr>
              <w:widowControl/>
              <w:spacing w:line="240" w:lineRule="atLeast"/>
              <w:jc w:val="left"/>
              <w:rPr>
                <w:rFonts w:ascii="黑体" w:hAnsi="宋体" w:eastAsia="黑体" w:cs="宋体"/>
                <w:color w:val="000000"/>
                <w:kern w:val="0"/>
                <w:sz w:val="22"/>
              </w:rPr>
            </w:pPr>
          </w:p>
        </w:tc>
        <w:tc>
          <w:tcPr>
            <w:tcW w:w="1800" w:type="dxa"/>
            <w:vMerge w:val="continue"/>
            <w:vAlign w:val="center"/>
          </w:tcPr>
          <w:p>
            <w:pPr>
              <w:widowControl/>
              <w:spacing w:line="240" w:lineRule="atLeast"/>
              <w:jc w:val="left"/>
              <w:rPr>
                <w:rFonts w:ascii="黑体" w:hAnsi="宋体" w:eastAsia="黑体" w:cs="宋体"/>
                <w:kern w:val="0"/>
                <w:sz w:val="22"/>
              </w:rPr>
            </w:pPr>
          </w:p>
        </w:tc>
        <w:tc>
          <w:tcPr>
            <w:tcW w:w="540" w:type="dxa"/>
            <w:shd w:val="clear" w:color="auto" w:fill="auto"/>
            <w:vAlign w:val="center"/>
          </w:tcPr>
          <w:p>
            <w:pPr>
              <w:widowControl/>
              <w:spacing w:line="240" w:lineRule="atLeast"/>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shd w:val="clear" w:color="auto" w:fill="auto"/>
            <w:vAlign w:val="center"/>
          </w:tcPr>
          <w:p>
            <w:pPr>
              <w:widowControl/>
              <w:spacing w:line="240" w:lineRule="atLeast"/>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shd w:val="clear" w:color="auto" w:fill="auto"/>
            <w:vAlign w:val="center"/>
          </w:tcPr>
          <w:p>
            <w:pPr>
              <w:widowControl/>
              <w:spacing w:line="240" w:lineRule="atLeast"/>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shd w:val="clear" w:color="auto" w:fill="auto"/>
            <w:vAlign w:val="center"/>
          </w:tcPr>
          <w:p>
            <w:pPr>
              <w:widowControl/>
              <w:spacing w:line="240" w:lineRule="atLeast"/>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shd w:val="clear" w:color="auto" w:fill="auto"/>
            <w:vAlign w:val="center"/>
          </w:tcPr>
          <w:p>
            <w:pPr>
              <w:widowControl/>
              <w:spacing w:line="240" w:lineRule="atLeast"/>
              <w:jc w:val="center"/>
              <w:rPr>
                <w:rFonts w:ascii="黑体" w:hAnsi="宋体" w:eastAsia="黑体" w:cs="宋体"/>
                <w:color w:val="000000"/>
                <w:kern w:val="0"/>
                <w:sz w:val="22"/>
              </w:rPr>
            </w:pPr>
            <w:r>
              <w:rPr>
                <w:rFonts w:hint="eastAsia" w:ascii="黑体" w:hAnsi="宋体" w:eastAsia="黑体" w:cs="宋体"/>
                <w:color w:val="000000"/>
                <w:kern w:val="0"/>
                <w:sz w:val="22"/>
              </w:rPr>
              <w:t>县级</w:t>
            </w:r>
          </w:p>
        </w:tc>
        <w:tc>
          <w:tcPr>
            <w:tcW w:w="720" w:type="dxa"/>
            <w:shd w:val="clear" w:color="auto" w:fill="auto"/>
            <w:vAlign w:val="center"/>
          </w:tcPr>
          <w:p>
            <w:pPr>
              <w:widowControl/>
              <w:spacing w:line="240" w:lineRule="atLeast"/>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540" w:type="dxa"/>
            <w:vAlign w:val="center"/>
          </w:tcPr>
          <w:p>
            <w:pPr>
              <w:widowControl/>
              <w:spacing w:line="240" w:lineRule="atLeast"/>
              <w:jc w:val="center"/>
              <w:textAlignment w:val="center"/>
              <w:rPr>
                <w:rFonts w:ascii="仿宋_GB2312" w:hAnsi="宋体" w:eastAsia="仿宋_GB2312"/>
                <w:color w:val="000000"/>
                <w:sz w:val="18"/>
                <w:szCs w:val="18"/>
              </w:rPr>
            </w:pPr>
            <w:r>
              <w:rPr>
                <w:rFonts w:ascii="仿宋_GB2312" w:hAnsi="宋体" w:eastAsia="仿宋_GB2312"/>
                <w:color w:val="000000"/>
                <w:sz w:val="18"/>
                <w:szCs w:val="18"/>
              </w:rPr>
              <w:t>1</w:t>
            </w:r>
          </w:p>
        </w:tc>
        <w:tc>
          <w:tcPr>
            <w:tcW w:w="900" w:type="dxa"/>
            <w:shd w:val="clear" w:color="auto" w:fill="auto"/>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统计法律规范</w:t>
            </w:r>
          </w:p>
        </w:tc>
        <w:tc>
          <w:tcPr>
            <w:tcW w:w="900" w:type="dxa"/>
            <w:shd w:val="clear" w:color="auto" w:fill="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规范性文件</w:t>
            </w:r>
          </w:p>
        </w:tc>
        <w:tc>
          <w:tcPr>
            <w:tcW w:w="2160" w:type="dxa"/>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统计领域相关规范性</w:t>
            </w:r>
          </w:p>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 xml:space="preserve">文件     </w:t>
            </w:r>
          </w:p>
        </w:tc>
        <w:tc>
          <w:tcPr>
            <w:tcW w:w="2520" w:type="dxa"/>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《中华人民共和国统计法》《中华人民共和国政府信息公开条例》《中华人民共和国统计法实施条例》</w:t>
            </w:r>
          </w:p>
        </w:tc>
        <w:tc>
          <w:tcPr>
            <w:tcW w:w="1620" w:type="dxa"/>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信息形成或者变更之日起20个工作日内</w:t>
            </w:r>
          </w:p>
        </w:tc>
        <w:tc>
          <w:tcPr>
            <w:tcW w:w="1080" w:type="dxa"/>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乌拉特前旗统计局</w:t>
            </w:r>
          </w:p>
        </w:tc>
        <w:tc>
          <w:tcPr>
            <w:tcW w:w="1800" w:type="dxa"/>
            <w:vAlign w:val="center"/>
          </w:tcPr>
          <w:p>
            <w:pPr>
              <w:widowControl/>
              <w:spacing w:line="240" w:lineRule="atLeast"/>
              <w:jc w:val="left"/>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widowControl/>
              <w:spacing w:line="240" w:lineRule="atLeast"/>
              <w:jc w:val="left"/>
              <w:textAlignment w:val="center"/>
              <w:rPr>
                <w:rFonts w:hint="eastAsia" w:ascii="仿宋_GB2312" w:hAnsi="宋体" w:eastAsia="仿宋_GB2312"/>
                <w:color w:val="000000"/>
                <w:sz w:val="18"/>
                <w:szCs w:val="18"/>
                <w:lang w:eastAsia="zh-CN"/>
              </w:rPr>
            </w:pPr>
          </w:p>
        </w:tc>
        <w:tc>
          <w:tcPr>
            <w:tcW w:w="540" w:type="dxa"/>
            <w:shd w:val="clear" w:color="auto" w:fill="auto"/>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shd w:val="clear" w:color="auto" w:fill="auto"/>
            <w:vAlign w:val="center"/>
          </w:tcPr>
          <w:p>
            <w:pPr>
              <w:widowControl/>
              <w:spacing w:line="240" w:lineRule="atLeast"/>
              <w:rPr>
                <w:rFonts w:hint="eastAsia" w:ascii="仿宋_GB2312" w:hAnsi="宋体" w:eastAsia="仿宋_GB2312"/>
                <w:color w:val="000000"/>
                <w:sz w:val="18"/>
                <w:szCs w:val="18"/>
              </w:rPr>
            </w:pPr>
          </w:p>
        </w:tc>
        <w:tc>
          <w:tcPr>
            <w:tcW w:w="551" w:type="dxa"/>
            <w:shd w:val="clear" w:color="auto" w:fill="auto"/>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widowControl/>
              <w:spacing w:line="240" w:lineRule="atLeast"/>
              <w:rPr>
                <w:rFonts w:hint="eastAsia" w:ascii="仿宋_GB2312" w:hAnsi="宋体" w:eastAsia="仿宋_GB2312"/>
                <w:color w:val="000000"/>
                <w:sz w:val="18"/>
                <w:szCs w:val="18"/>
              </w:rPr>
            </w:pPr>
          </w:p>
        </w:tc>
        <w:tc>
          <w:tcPr>
            <w:tcW w:w="720" w:type="dxa"/>
            <w:shd w:val="clear" w:color="auto" w:fill="auto"/>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widowControl/>
              <w:spacing w:line="240" w:lineRule="atLeast"/>
              <w:jc w:val="center"/>
              <w:textAlignment w:val="center"/>
              <w:rPr>
                <w:rFonts w:hint="eastAsia"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540" w:type="dxa"/>
            <w:vAlign w:val="center"/>
          </w:tcPr>
          <w:p>
            <w:pPr>
              <w:widowControl/>
              <w:spacing w:line="240" w:lineRule="atLeast"/>
              <w:jc w:val="center"/>
              <w:textAlignment w:val="center"/>
              <w:rPr>
                <w:rFonts w:ascii="仿宋_GB2312" w:hAnsi="宋体" w:eastAsia="仿宋_GB2312"/>
                <w:color w:val="000000"/>
                <w:sz w:val="18"/>
                <w:szCs w:val="18"/>
              </w:rPr>
            </w:pPr>
            <w:r>
              <w:rPr>
                <w:rFonts w:ascii="仿宋_GB2312" w:hAnsi="宋体" w:eastAsia="仿宋_GB2312"/>
                <w:color w:val="000000"/>
                <w:sz w:val="18"/>
                <w:szCs w:val="18"/>
              </w:rPr>
              <w:t>2</w:t>
            </w:r>
          </w:p>
        </w:tc>
        <w:tc>
          <w:tcPr>
            <w:tcW w:w="900" w:type="dxa"/>
            <w:shd w:val="clear" w:color="auto" w:fill="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统计</w:t>
            </w:r>
          </w:p>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调查</w:t>
            </w:r>
          </w:p>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制度</w:t>
            </w:r>
          </w:p>
        </w:tc>
        <w:tc>
          <w:tcPr>
            <w:tcW w:w="900" w:type="dxa"/>
            <w:shd w:val="clear" w:color="auto" w:fill="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地方统计调查制度</w:t>
            </w:r>
          </w:p>
        </w:tc>
        <w:tc>
          <w:tcPr>
            <w:tcW w:w="2160" w:type="dxa"/>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 xml:space="preserve">开展统计调查工作中执行的地方统计调查制度的主要内容      </w:t>
            </w:r>
          </w:p>
        </w:tc>
        <w:tc>
          <w:tcPr>
            <w:tcW w:w="2520" w:type="dxa"/>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《中华人民共和国统计法》《中华人民共和国政府信息公开条例》《中华人民共和国统计法实施条例》</w:t>
            </w:r>
          </w:p>
        </w:tc>
        <w:tc>
          <w:tcPr>
            <w:tcW w:w="1620" w:type="dxa"/>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实时更新</w:t>
            </w:r>
          </w:p>
        </w:tc>
        <w:tc>
          <w:tcPr>
            <w:tcW w:w="1080" w:type="dxa"/>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乌拉特前旗统计局</w:t>
            </w:r>
          </w:p>
        </w:tc>
        <w:tc>
          <w:tcPr>
            <w:tcW w:w="1800" w:type="dxa"/>
            <w:vAlign w:val="center"/>
          </w:tcPr>
          <w:p>
            <w:pPr>
              <w:widowControl/>
              <w:spacing w:line="240" w:lineRule="atLeast"/>
              <w:jc w:val="left"/>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widowControl/>
              <w:spacing w:line="240" w:lineRule="atLeast"/>
              <w:ind w:left="180" w:hanging="180" w:hangingChars="100"/>
              <w:jc w:val="left"/>
              <w:textAlignment w:val="center"/>
              <w:rPr>
                <w:rFonts w:hint="default" w:ascii="仿宋_GB2312" w:hAnsi="宋体" w:eastAsia="仿宋_GB2312"/>
                <w:color w:val="000000"/>
                <w:sz w:val="18"/>
                <w:szCs w:val="18"/>
                <w:lang w:val="en-US" w:eastAsia="zh-CN"/>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val="en-US" w:eastAsia="zh-CN"/>
              </w:rPr>
              <w:t>乌拉特前旗统计微讯</w:t>
            </w:r>
          </w:p>
        </w:tc>
        <w:tc>
          <w:tcPr>
            <w:tcW w:w="540" w:type="dxa"/>
            <w:shd w:val="clear" w:color="auto" w:fill="auto"/>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shd w:val="clear" w:color="auto" w:fill="auto"/>
            <w:vAlign w:val="center"/>
          </w:tcPr>
          <w:p>
            <w:pPr>
              <w:widowControl/>
              <w:spacing w:line="240" w:lineRule="atLeast"/>
              <w:rPr>
                <w:rFonts w:hint="eastAsia" w:ascii="仿宋_GB2312" w:hAnsi="宋体" w:eastAsia="仿宋_GB2312"/>
                <w:color w:val="000000"/>
                <w:sz w:val="18"/>
                <w:szCs w:val="18"/>
              </w:rPr>
            </w:pPr>
          </w:p>
        </w:tc>
        <w:tc>
          <w:tcPr>
            <w:tcW w:w="551" w:type="dxa"/>
            <w:shd w:val="clear" w:color="auto" w:fill="auto"/>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widowControl/>
              <w:spacing w:line="240" w:lineRule="atLeast"/>
              <w:rPr>
                <w:rFonts w:hint="eastAsia" w:ascii="仿宋_GB2312" w:hAnsi="宋体" w:eastAsia="仿宋_GB2312"/>
                <w:color w:val="000000"/>
                <w:sz w:val="18"/>
                <w:szCs w:val="18"/>
              </w:rPr>
            </w:pPr>
          </w:p>
        </w:tc>
        <w:tc>
          <w:tcPr>
            <w:tcW w:w="720" w:type="dxa"/>
            <w:shd w:val="clear" w:color="auto" w:fill="auto"/>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widowControl/>
              <w:spacing w:line="240" w:lineRule="atLeast"/>
              <w:jc w:val="center"/>
              <w:textAlignment w:val="center"/>
              <w:rPr>
                <w:rFonts w:hint="eastAsia"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540" w:type="dxa"/>
            <w:vAlign w:val="center"/>
          </w:tcPr>
          <w:p>
            <w:pPr>
              <w:widowControl/>
              <w:spacing w:line="240" w:lineRule="atLeast"/>
              <w:jc w:val="center"/>
              <w:textAlignment w:val="center"/>
              <w:rPr>
                <w:rFonts w:ascii="仿宋_GB2312" w:hAnsi="宋体" w:eastAsia="仿宋_GB2312"/>
                <w:color w:val="000000"/>
                <w:sz w:val="18"/>
                <w:szCs w:val="18"/>
              </w:rPr>
            </w:pPr>
            <w:r>
              <w:rPr>
                <w:rFonts w:ascii="仿宋_GB2312" w:hAnsi="宋体" w:eastAsia="仿宋_GB2312"/>
                <w:color w:val="000000"/>
                <w:sz w:val="18"/>
                <w:szCs w:val="18"/>
              </w:rPr>
              <w:t>3</w:t>
            </w:r>
          </w:p>
        </w:tc>
        <w:tc>
          <w:tcPr>
            <w:tcW w:w="900" w:type="dxa"/>
            <w:shd w:val="clear" w:color="auto" w:fill="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统计</w:t>
            </w:r>
          </w:p>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val="en-US" w:eastAsia="zh-CN"/>
              </w:rPr>
              <w:t>数据</w:t>
            </w:r>
          </w:p>
        </w:tc>
        <w:tc>
          <w:tcPr>
            <w:tcW w:w="900" w:type="dxa"/>
            <w:shd w:val="clear" w:color="auto" w:fill="auto"/>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数据</w:t>
            </w:r>
          </w:p>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发布</w:t>
            </w:r>
          </w:p>
        </w:tc>
        <w:tc>
          <w:tcPr>
            <w:tcW w:w="2160" w:type="dxa"/>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 xml:space="preserve">统计公报，年度、季度、月度主要统计数据，按国家规定对外发布的重大国情国力普查数据和重要统计调查相关数据     </w:t>
            </w:r>
          </w:p>
        </w:tc>
        <w:tc>
          <w:tcPr>
            <w:tcW w:w="2520" w:type="dxa"/>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《中华人民共和国统计法》《中华人民共和国政府信息公开条例》《中华人民共和国统计法实施条例》</w:t>
            </w:r>
          </w:p>
        </w:tc>
        <w:tc>
          <w:tcPr>
            <w:tcW w:w="1620" w:type="dxa"/>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适时发布</w:t>
            </w:r>
          </w:p>
        </w:tc>
        <w:tc>
          <w:tcPr>
            <w:tcW w:w="1080" w:type="dxa"/>
            <w:vAlign w:val="center"/>
          </w:tcPr>
          <w:p>
            <w:pPr>
              <w:widowControl/>
              <w:spacing w:line="240" w:lineRule="atLeast"/>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乌拉特前旗统计局</w:t>
            </w:r>
          </w:p>
        </w:tc>
        <w:tc>
          <w:tcPr>
            <w:tcW w:w="1800" w:type="dxa"/>
            <w:vAlign w:val="center"/>
          </w:tcPr>
          <w:p>
            <w:pPr>
              <w:widowControl/>
              <w:spacing w:line="240" w:lineRule="atLeast"/>
              <w:jc w:val="left"/>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widowControl/>
              <w:spacing w:line="240" w:lineRule="atLeast"/>
              <w:ind w:left="180" w:hanging="180" w:hangingChars="100"/>
              <w:jc w:val="left"/>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val="en-US" w:eastAsia="zh-CN"/>
              </w:rPr>
              <w:t>乌拉特前旗统计微讯</w:t>
            </w:r>
          </w:p>
        </w:tc>
        <w:tc>
          <w:tcPr>
            <w:tcW w:w="540" w:type="dxa"/>
            <w:shd w:val="clear" w:color="auto" w:fill="auto"/>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shd w:val="clear" w:color="auto" w:fill="auto"/>
            <w:vAlign w:val="center"/>
          </w:tcPr>
          <w:p>
            <w:pPr>
              <w:widowControl/>
              <w:spacing w:line="240" w:lineRule="atLeast"/>
              <w:rPr>
                <w:rFonts w:hint="eastAsia" w:ascii="仿宋_GB2312" w:hAnsi="宋体" w:eastAsia="仿宋_GB2312"/>
                <w:color w:val="000000"/>
                <w:sz w:val="18"/>
                <w:szCs w:val="18"/>
              </w:rPr>
            </w:pPr>
          </w:p>
        </w:tc>
        <w:tc>
          <w:tcPr>
            <w:tcW w:w="551" w:type="dxa"/>
            <w:shd w:val="clear" w:color="auto" w:fill="auto"/>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widowControl/>
              <w:spacing w:line="240" w:lineRule="atLeast"/>
              <w:rPr>
                <w:rFonts w:hint="eastAsia" w:ascii="仿宋_GB2312" w:hAnsi="宋体" w:eastAsia="仿宋_GB2312"/>
                <w:color w:val="000000"/>
                <w:sz w:val="18"/>
                <w:szCs w:val="18"/>
              </w:rPr>
            </w:pPr>
          </w:p>
        </w:tc>
        <w:tc>
          <w:tcPr>
            <w:tcW w:w="720" w:type="dxa"/>
            <w:shd w:val="clear" w:color="auto" w:fill="auto"/>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widowControl/>
              <w:spacing w:line="240" w:lineRule="atLeast"/>
              <w:jc w:val="center"/>
              <w:textAlignment w:val="center"/>
              <w:rPr>
                <w:rFonts w:hint="eastAsia" w:ascii="仿宋_GB2312" w:hAnsi="宋体" w:eastAsia="仿宋_GB2312"/>
                <w:color w:val="000000"/>
                <w:sz w:val="18"/>
                <w:szCs w:val="18"/>
              </w:rPr>
            </w:pP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golian Baiti">
    <w:panose1 w:val="03000500000000000000"/>
    <w:charset w:val="00"/>
    <w:family w:val="script"/>
    <w:pitch w:val="default"/>
    <w:sig w:usb0="80000023" w:usb1="00000000" w:usb2="00020000" w:usb3="00000000" w:csb0="00000001" w:csb1="00000000"/>
  </w:font>
  <w:font w:name="等线">
    <w:panose1 w:val="02010600030101010101"/>
    <w:charset w:val="86"/>
    <w:family w:val="auto"/>
    <w:pitch w:val="default"/>
    <w:sig w:usb0="A00002BF" w:usb1="38CF7CFA" w:usb2="00000016" w:usb3="00000000" w:csb0="0004000F"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7"/>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k0ZjFkYjRmNDQ4ZWY0MDFlYTJiMDFkYjZjMTE3ZjAifQ=="/>
  </w:docVars>
  <w:rsids>
    <w:rsidRoot w:val="00416393"/>
    <w:rsid w:val="001E6D63"/>
    <w:rsid w:val="002967AA"/>
    <w:rsid w:val="002E0878"/>
    <w:rsid w:val="003B2C77"/>
    <w:rsid w:val="00416393"/>
    <w:rsid w:val="00FA002F"/>
    <w:rsid w:val="00FF0C45"/>
    <w:rsid w:val="02380A5E"/>
    <w:rsid w:val="085372D4"/>
    <w:rsid w:val="10CE2792"/>
    <w:rsid w:val="184D5F12"/>
    <w:rsid w:val="4B144765"/>
    <w:rsid w:val="77250B48"/>
  </w:rsids>
  <m:mathPr>
    <m:mathFont m:val="Cambria Math"/>
    <m:brkBin m:val="before"/>
    <m:brkBinSub m:val="--"/>
    <m:smallFrac m:val="0"/>
    <m:dispDef/>
    <m:lMargin m:val="0"/>
    <m:rMargin m:val="0"/>
    <m:defJc m:val="centerGroup"/>
    <m:wrapIndent m:val="1440"/>
    <m:intLim m:val="subSup"/>
    <m:naryLim m:val="undOvr"/>
  </m:mathPr>
  <w:themeFontLang w:val="en-US" w:eastAsia="zh-CN" w:bidi="mn-Mong-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nhideWhenUsed="0" w:uiPriority="0" w:name="annotation text"/>
    <w:lsdException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qFormat="1" w:unhideWhenUsed="0" w:uiPriority="0" w:name="Balloon Text"/>
    <w:lsdException w:qFormat="1" w:unhideWhenUsed="0" w:uiPriority="0"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5"/>
    <w:qFormat/>
    <w:uiPriority w:val="0"/>
    <w:pPr>
      <w:keepNext/>
      <w:keepLines/>
      <w:spacing w:before="340" w:after="330" w:line="578" w:lineRule="auto"/>
      <w:outlineLvl w:val="0"/>
    </w:pPr>
    <w:rPr>
      <w:b/>
      <w:bCs/>
      <w:kern w:val="44"/>
      <w:sz w:val="44"/>
      <w:szCs w:val="44"/>
    </w:rPr>
  </w:style>
  <w:style w:type="character" w:default="1" w:styleId="11">
    <w:name w:val="Default Paragraph Font"/>
    <w:semiHidden/>
    <w:unhideWhenUsed/>
    <w:qFormat/>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17"/>
    <w:semiHidden/>
    <w:uiPriority w:val="0"/>
    <w:pPr>
      <w:jc w:val="left"/>
    </w:pPr>
  </w:style>
  <w:style w:type="paragraph" w:styleId="4">
    <w:name w:val="Balloon Text"/>
    <w:basedOn w:val="1"/>
    <w:link w:val="19"/>
    <w:semiHidden/>
    <w:qFormat/>
    <w:uiPriority w:val="0"/>
    <w:rPr>
      <w:sz w:val="18"/>
      <w:szCs w:val="18"/>
    </w:rPr>
  </w:style>
  <w:style w:type="paragraph" w:styleId="5">
    <w:name w:val="footer"/>
    <w:basedOn w:val="1"/>
    <w:link w:val="22"/>
    <w:uiPriority w:val="0"/>
    <w:pPr>
      <w:tabs>
        <w:tab w:val="center" w:pos="4153"/>
        <w:tab w:val="right" w:pos="8306"/>
      </w:tabs>
      <w:snapToGrid w:val="0"/>
      <w:jc w:val="left"/>
    </w:pPr>
    <w:rPr>
      <w:sz w:val="18"/>
      <w:szCs w:val="18"/>
    </w:rPr>
  </w:style>
  <w:style w:type="paragraph" w:styleId="6">
    <w:name w:val="header"/>
    <w:basedOn w:val="1"/>
    <w:link w:val="21"/>
    <w:uiPriority w:val="0"/>
    <w:pPr>
      <w:pBdr>
        <w:bottom w:val="single" w:color="auto" w:sz="6" w:space="1"/>
      </w:pBdr>
      <w:tabs>
        <w:tab w:val="center" w:pos="4153"/>
        <w:tab w:val="right" w:pos="8306"/>
      </w:tabs>
      <w:snapToGrid w:val="0"/>
      <w:jc w:val="center"/>
    </w:pPr>
    <w:rPr>
      <w:sz w:val="18"/>
      <w:szCs w:val="18"/>
    </w:rPr>
  </w:style>
  <w:style w:type="paragraph" w:styleId="7">
    <w:name w:val="toc 1"/>
    <w:basedOn w:val="1"/>
    <w:next w:val="1"/>
    <w:semiHidden/>
    <w:uiPriority w:val="0"/>
    <w:pPr>
      <w:tabs>
        <w:tab w:val="right" w:leader="dot" w:pos="14760"/>
      </w:tabs>
      <w:spacing w:line="700" w:lineRule="exact"/>
      <w:ind w:left="359" w:leftChars="171" w:right="332" w:rightChars="158"/>
    </w:pPr>
  </w:style>
  <w:style w:type="paragraph" w:styleId="8">
    <w:name w:val="annotation subject"/>
    <w:basedOn w:val="3"/>
    <w:next w:val="3"/>
    <w:link w:val="18"/>
    <w:semiHidden/>
    <w:uiPriority w:val="0"/>
    <w:rPr>
      <w:b/>
      <w:bCs/>
    </w:rPr>
  </w:style>
  <w:style w:type="table" w:styleId="10">
    <w:name w:val="Table Grid"/>
    <w:basedOn w:val="9"/>
    <w:qFormat/>
    <w:uiPriority w:val="0"/>
    <w:rPr>
      <w:rFonts w:ascii="Calibri" w:hAnsi="Calibri" w:eastAsia="宋体" w:cs="Times New Roman"/>
      <w:kern w:val="0"/>
      <w:sz w:val="20"/>
      <w:szCs w:val="20"/>
      <w:lang w:bidi="mn-Mong-C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2">
    <w:name w:val="page number"/>
    <w:basedOn w:val="11"/>
    <w:qFormat/>
    <w:uiPriority w:val="0"/>
  </w:style>
  <w:style w:type="character" w:styleId="13">
    <w:name w:val="Hyperlink"/>
    <w:uiPriority w:val="0"/>
    <w:rPr>
      <w:color w:val="0000FF"/>
      <w:u w:val="single"/>
    </w:rPr>
  </w:style>
  <w:style w:type="character" w:styleId="14">
    <w:name w:val="annotation reference"/>
    <w:semiHidden/>
    <w:uiPriority w:val="0"/>
    <w:rPr>
      <w:sz w:val="21"/>
      <w:szCs w:val="21"/>
    </w:rPr>
  </w:style>
  <w:style w:type="character" w:customStyle="1" w:styleId="15">
    <w:name w:val="标题 1 字符"/>
    <w:basedOn w:val="11"/>
    <w:link w:val="2"/>
    <w:uiPriority w:val="0"/>
    <w:rPr>
      <w:rFonts w:ascii="Calibri" w:hAnsi="Calibri" w:eastAsia="宋体" w:cs="Times New Roman"/>
      <w:b/>
      <w:bCs/>
      <w:kern w:val="44"/>
      <w:sz w:val="44"/>
      <w:szCs w:val="44"/>
    </w:rPr>
  </w:style>
  <w:style w:type="paragraph" w:customStyle="1" w:styleId="16">
    <w:name w:val="列出段落"/>
    <w:basedOn w:val="1"/>
    <w:qFormat/>
    <w:uiPriority w:val="0"/>
    <w:pPr>
      <w:ind w:firstLine="420" w:firstLineChars="200"/>
    </w:pPr>
    <w:rPr>
      <w:rFonts w:ascii="等线" w:hAnsi="等线" w:eastAsia="等线"/>
    </w:rPr>
  </w:style>
  <w:style w:type="character" w:customStyle="1" w:styleId="17">
    <w:name w:val="批注文字 字符"/>
    <w:basedOn w:val="11"/>
    <w:link w:val="3"/>
    <w:semiHidden/>
    <w:uiPriority w:val="0"/>
    <w:rPr>
      <w:rFonts w:ascii="Calibri" w:hAnsi="Calibri" w:eastAsia="宋体" w:cs="Times New Roman"/>
    </w:rPr>
  </w:style>
  <w:style w:type="character" w:customStyle="1" w:styleId="18">
    <w:name w:val="批注主题 字符"/>
    <w:basedOn w:val="17"/>
    <w:link w:val="8"/>
    <w:semiHidden/>
    <w:qFormat/>
    <w:uiPriority w:val="0"/>
    <w:rPr>
      <w:rFonts w:ascii="Calibri" w:hAnsi="Calibri" w:eastAsia="宋体" w:cs="Times New Roman"/>
      <w:b/>
      <w:bCs/>
    </w:rPr>
  </w:style>
  <w:style w:type="character" w:customStyle="1" w:styleId="19">
    <w:name w:val="批注框文本 字符"/>
    <w:basedOn w:val="11"/>
    <w:link w:val="4"/>
    <w:semiHidden/>
    <w:uiPriority w:val="0"/>
    <w:rPr>
      <w:rFonts w:ascii="Calibri" w:hAnsi="Calibri" w:eastAsia="宋体" w:cs="Times New Roman"/>
      <w:sz w:val="18"/>
      <w:szCs w:val="18"/>
    </w:rPr>
  </w:style>
  <w:style w:type="paragraph" w:customStyle="1" w:styleId="20">
    <w:name w:val="列出段落1"/>
    <w:basedOn w:val="1"/>
    <w:uiPriority w:val="0"/>
    <w:pPr>
      <w:ind w:firstLine="420" w:firstLineChars="200"/>
    </w:pPr>
  </w:style>
  <w:style w:type="character" w:customStyle="1" w:styleId="21">
    <w:name w:val="页眉 字符"/>
    <w:basedOn w:val="11"/>
    <w:link w:val="6"/>
    <w:uiPriority w:val="0"/>
    <w:rPr>
      <w:rFonts w:ascii="Calibri" w:hAnsi="Calibri" w:eastAsia="宋体" w:cs="Times New Roman"/>
      <w:sz w:val="18"/>
      <w:szCs w:val="18"/>
    </w:rPr>
  </w:style>
  <w:style w:type="character" w:customStyle="1" w:styleId="22">
    <w:name w:val="页脚 字符"/>
    <w:basedOn w:val="11"/>
    <w:link w:val="5"/>
    <w:uiPriority w:val="0"/>
    <w:rPr>
      <w:rFonts w:ascii="Calibri" w:hAnsi="Calibri" w:eastAsia="宋体" w:cs="Times New Roman"/>
      <w:sz w:val="18"/>
      <w:szCs w:val="18"/>
    </w:rPr>
  </w:style>
  <w:style w:type="paragraph" w:customStyle="1" w:styleId="23">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CA6F60-3CB5-4881-AEAB-C1BECD53DFCC}">
  <ds:schemaRefs/>
</ds:datastoreItem>
</file>

<file path=docProps/app.xml><?xml version="1.0" encoding="utf-8"?>
<Properties xmlns="http://schemas.openxmlformats.org/officeDocument/2006/extended-properties" xmlns:vt="http://schemas.openxmlformats.org/officeDocument/2006/docPropsVTypes">
  <Template>Normal.dotm</Template>
  <Pages>1</Pages>
  <Words>436</Words>
  <Characters>437</Characters>
  <Lines>18</Lines>
  <Paragraphs>5</Paragraphs>
  <TotalTime>3</TotalTime>
  <ScaleCrop>false</ScaleCrop>
  <LinksUpToDate>false</LinksUpToDate>
  <CharactersWithSpaces>461</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2020-03-06T06:50:00Z</dcterms:created>
  <dc:creator>tai yuzhu</dc:creator>
  <cp:lastModifiedBy>GZ</cp:lastModifiedBy>
  <dcterms:modified xsi:type="dcterms:W3CDTF">2022-07-19T08:31:02Z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2412A5F90D3445AD9B810BDD5D2F6E92</vt:lpwstr>
  </property>
</Properties>
</file>