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0" w:name="_Toc24724707"/>
      <w:r>
        <w:rPr>
          <w:rFonts w:hint="eastAsia" w:ascii="方正小标宋_GBK" w:hAnsi="方正小标宋_GBK" w:eastAsia="方正小标宋_GBK"/>
          <w:b w:val="0"/>
          <w:bCs w:val="0"/>
          <w:sz w:val="30"/>
          <w:lang w:val="en-US" w:eastAsia="zh-CN"/>
        </w:rPr>
        <w:t>统计领域基层政务</w:t>
      </w:r>
      <w:bookmarkStart w:id="1" w:name="_GoBack"/>
      <w:bookmarkEnd w:id="1"/>
      <w:r>
        <w:rPr>
          <w:rFonts w:hint="eastAsia" w:ascii="方正小标宋_GBK" w:hAnsi="方正小标宋_GBK" w:eastAsia="方正小标宋_GBK"/>
          <w:b w:val="0"/>
          <w:bCs w:val="0"/>
          <w:sz w:val="30"/>
        </w:rPr>
        <w:t>公开标准目录</w:t>
      </w:r>
      <w:bookmarkEnd w:id="0"/>
    </w:p>
    <w:tbl>
      <w:tblPr>
        <w:tblStyle w:val="9"/>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900"/>
        <w:gridCol w:w="2160"/>
        <w:gridCol w:w="2520"/>
        <w:gridCol w:w="1620"/>
        <w:gridCol w:w="1080"/>
        <w:gridCol w:w="1800"/>
        <w:gridCol w:w="540"/>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vMerge w:val="restart"/>
            <w:shd w:val="clear" w:color="auto" w:fill="auto"/>
            <w:vAlign w:val="center"/>
          </w:tcPr>
          <w:p>
            <w:pPr>
              <w:widowControl/>
              <w:spacing w:line="240" w:lineRule="atLeast"/>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shd w:val="clear" w:color="auto" w:fill="auto"/>
            <w:vAlign w:val="center"/>
          </w:tcPr>
          <w:p>
            <w:pPr>
              <w:widowControl/>
              <w:spacing w:line="240" w:lineRule="atLeast"/>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shd w:val="clear" w:color="auto" w:fill="auto"/>
            <w:vAlign w:val="center"/>
          </w:tcPr>
          <w:p>
            <w:pPr>
              <w:widowControl/>
              <w:spacing w:line="240" w:lineRule="atLeast"/>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vMerge w:val="continue"/>
            <w:vAlign w:val="center"/>
          </w:tcPr>
          <w:p>
            <w:pPr>
              <w:widowControl/>
              <w:spacing w:line="240" w:lineRule="atLeast"/>
              <w:jc w:val="left"/>
              <w:rPr>
                <w:rFonts w:ascii="Times New Roman" w:hAnsi="Times New Roman"/>
                <w:color w:val="000000"/>
                <w:kern w:val="0"/>
                <w:sz w:val="22"/>
              </w:rPr>
            </w:pPr>
          </w:p>
        </w:tc>
        <w:tc>
          <w:tcPr>
            <w:tcW w:w="900" w:type="dxa"/>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pPr>
              <w:widowControl/>
              <w:spacing w:line="240" w:lineRule="atLeast"/>
              <w:rPr>
                <w:rFonts w:ascii="黑体" w:hAnsi="宋体" w:eastAsia="黑体" w:cs="宋体"/>
                <w:color w:val="000000"/>
                <w:kern w:val="0"/>
                <w:sz w:val="22"/>
              </w:rPr>
            </w:pPr>
          </w:p>
        </w:tc>
        <w:tc>
          <w:tcPr>
            <w:tcW w:w="2520" w:type="dxa"/>
            <w:vMerge w:val="continue"/>
            <w:vAlign w:val="center"/>
          </w:tcPr>
          <w:p>
            <w:pPr>
              <w:widowControl/>
              <w:spacing w:line="240" w:lineRule="atLeast"/>
              <w:jc w:val="left"/>
              <w:rPr>
                <w:rFonts w:ascii="黑体" w:hAnsi="宋体" w:eastAsia="黑体" w:cs="宋体"/>
                <w:color w:val="000000"/>
                <w:kern w:val="0"/>
                <w:sz w:val="22"/>
              </w:rPr>
            </w:pPr>
          </w:p>
        </w:tc>
        <w:tc>
          <w:tcPr>
            <w:tcW w:w="1620" w:type="dxa"/>
            <w:vMerge w:val="continue"/>
            <w:vAlign w:val="center"/>
          </w:tcPr>
          <w:p>
            <w:pPr>
              <w:widowControl/>
              <w:spacing w:line="240" w:lineRule="atLeast"/>
              <w:jc w:val="left"/>
              <w:rPr>
                <w:rFonts w:ascii="黑体" w:hAnsi="宋体" w:eastAsia="黑体" w:cs="宋体"/>
                <w:color w:val="000000"/>
                <w:kern w:val="0"/>
                <w:sz w:val="22"/>
              </w:rPr>
            </w:pPr>
          </w:p>
        </w:tc>
        <w:tc>
          <w:tcPr>
            <w:tcW w:w="1080" w:type="dxa"/>
            <w:vMerge w:val="continue"/>
            <w:vAlign w:val="center"/>
          </w:tcPr>
          <w:p>
            <w:pPr>
              <w:widowControl/>
              <w:spacing w:line="240" w:lineRule="atLeast"/>
              <w:jc w:val="left"/>
              <w:rPr>
                <w:rFonts w:ascii="黑体" w:hAnsi="宋体" w:eastAsia="黑体" w:cs="宋体"/>
                <w:color w:val="000000"/>
                <w:kern w:val="0"/>
                <w:sz w:val="22"/>
              </w:rPr>
            </w:pPr>
          </w:p>
        </w:tc>
        <w:tc>
          <w:tcPr>
            <w:tcW w:w="1800" w:type="dxa"/>
            <w:vMerge w:val="continue"/>
            <w:vAlign w:val="center"/>
          </w:tcPr>
          <w:p>
            <w:pPr>
              <w:widowControl/>
              <w:spacing w:line="240" w:lineRule="atLeast"/>
              <w:jc w:val="left"/>
              <w:rPr>
                <w:rFonts w:ascii="黑体" w:hAnsi="宋体" w:eastAsia="黑体" w:cs="宋体"/>
                <w:kern w:val="0"/>
                <w:sz w:val="22"/>
              </w:rPr>
            </w:pPr>
          </w:p>
        </w:tc>
        <w:tc>
          <w:tcPr>
            <w:tcW w:w="540" w:type="dxa"/>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vAlign w:val="center"/>
          </w:tcPr>
          <w:p>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90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统计法律规范</w:t>
            </w:r>
          </w:p>
        </w:tc>
        <w:tc>
          <w:tcPr>
            <w:tcW w:w="90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规范性文件</w:t>
            </w:r>
          </w:p>
        </w:tc>
        <w:tc>
          <w:tcPr>
            <w:tcW w:w="216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统计领域相关规范性</w:t>
            </w:r>
          </w:p>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 xml:space="preserve">文件     </w:t>
            </w:r>
          </w:p>
        </w:tc>
        <w:tc>
          <w:tcPr>
            <w:tcW w:w="252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《中华人民共和国统计法》《中华人民共和国政府信息公开条例》《中华人民共和国统计法实施条例》</w:t>
            </w:r>
          </w:p>
        </w:tc>
        <w:tc>
          <w:tcPr>
            <w:tcW w:w="162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信息形成或者变更之日起20个工作日内</w:t>
            </w:r>
          </w:p>
        </w:tc>
        <w:tc>
          <w:tcPr>
            <w:tcW w:w="108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乌拉特前旗统计局</w:t>
            </w:r>
          </w:p>
        </w:tc>
        <w:tc>
          <w:tcPr>
            <w:tcW w:w="1800" w:type="dxa"/>
            <w:vAlign w:val="center"/>
          </w:tcPr>
          <w:p>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widowControl/>
              <w:spacing w:line="240" w:lineRule="atLeast"/>
              <w:jc w:val="left"/>
              <w:textAlignment w:val="center"/>
              <w:rPr>
                <w:rFonts w:hint="eastAsia" w:ascii="仿宋_GB2312" w:hAnsi="宋体" w:eastAsia="仿宋_GB2312"/>
                <w:color w:val="000000"/>
                <w:sz w:val="18"/>
                <w:szCs w:val="18"/>
                <w:lang w:eastAsia="zh-CN"/>
              </w:rPr>
            </w:pPr>
          </w:p>
        </w:tc>
        <w:tc>
          <w:tcPr>
            <w:tcW w:w="54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widowControl/>
              <w:spacing w:line="240" w:lineRule="atLeast"/>
              <w:rPr>
                <w:rFonts w:hint="eastAsia" w:ascii="仿宋_GB2312" w:hAnsi="宋体" w:eastAsia="仿宋_GB2312"/>
                <w:color w:val="000000"/>
                <w:sz w:val="18"/>
                <w:szCs w:val="18"/>
              </w:rPr>
            </w:pPr>
          </w:p>
        </w:tc>
        <w:tc>
          <w:tcPr>
            <w:tcW w:w="551"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widowControl/>
              <w:spacing w:line="240" w:lineRule="atLeast"/>
              <w:rPr>
                <w:rFonts w:hint="eastAsia" w:ascii="仿宋_GB2312" w:hAnsi="宋体" w:eastAsia="仿宋_GB2312"/>
                <w:color w:val="000000"/>
                <w:sz w:val="18"/>
                <w:szCs w:val="18"/>
              </w:rPr>
            </w:pPr>
          </w:p>
        </w:tc>
        <w:tc>
          <w:tcPr>
            <w:tcW w:w="72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vAlign w:val="center"/>
          </w:tcPr>
          <w:p>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90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统计</w:t>
            </w:r>
          </w:p>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调查</w:t>
            </w:r>
          </w:p>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制度</w:t>
            </w:r>
          </w:p>
        </w:tc>
        <w:tc>
          <w:tcPr>
            <w:tcW w:w="90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地方统计调查制度</w:t>
            </w:r>
          </w:p>
        </w:tc>
        <w:tc>
          <w:tcPr>
            <w:tcW w:w="216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 xml:space="preserve">开展统计调查工作中执行的地方统计调查制度的主要内容      </w:t>
            </w:r>
          </w:p>
        </w:tc>
        <w:tc>
          <w:tcPr>
            <w:tcW w:w="252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《中华人民共和国统计法》《中华人民共和国政府信息公开条例》《中华人民共和国统计法实施条例》</w:t>
            </w:r>
          </w:p>
        </w:tc>
        <w:tc>
          <w:tcPr>
            <w:tcW w:w="162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实时更新</w:t>
            </w:r>
          </w:p>
        </w:tc>
        <w:tc>
          <w:tcPr>
            <w:tcW w:w="108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乌拉特前旗统计局</w:t>
            </w:r>
          </w:p>
        </w:tc>
        <w:tc>
          <w:tcPr>
            <w:tcW w:w="1800" w:type="dxa"/>
            <w:vAlign w:val="center"/>
          </w:tcPr>
          <w:p>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widowControl/>
              <w:spacing w:line="240" w:lineRule="atLeast"/>
              <w:ind w:left="180" w:hanging="180" w:hangingChars="100"/>
              <w:jc w:val="left"/>
              <w:textAlignment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乌拉特前旗统计微讯</w:t>
            </w:r>
          </w:p>
        </w:tc>
        <w:tc>
          <w:tcPr>
            <w:tcW w:w="54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widowControl/>
              <w:spacing w:line="240" w:lineRule="atLeast"/>
              <w:rPr>
                <w:rFonts w:hint="eastAsia" w:ascii="仿宋_GB2312" w:hAnsi="宋体" w:eastAsia="仿宋_GB2312"/>
                <w:color w:val="000000"/>
                <w:sz w:val="18"/>
                <w:szCs w:val="18"/>
              </w:rPr>
            </w:pPr>
          </w:p>
        </w:tc>
        <w:tc>
          <w:tcPr>
            <w:tcW w:w="551"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widowControl/>
              <w:spacing w:line="240" w:lineRule="atLeast"/>
              <w:rPr>
                <w:rFonts w:hint="eastAsia" w:ascii="仿宋_GB2312" w:hAnsi="宋体" w:eastAsia="仿宋_GB2312"/>
                <w:color w:val="000000"/>
                <w:sz w:val="18"/>
                <w:szCs w:val="18"/>
              </w:rPr>
            </w:pPr>
          </w:p>
        </w:tc>
        <w:tc>
          <w:tcPr>
            <w:tcW w:w="72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vAlign w:val="center"/>
          </w:tcPr>
          <w:p>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90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统计</w:t>
            </w:r>
          </w:p>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数据</w:t>
            </w:r>
          </w:p>
        </w:tc>
        <w:tc>
          <w:tcPr>
            <w:tcW w:w="90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数据</w:t>
            </w:r>
          </w:p>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发布</w:t>
            </w:r>
          </w:p>
        </w:tc>
        <w:tc>
          <w:tcPr>
            <w:tcW w:w="216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 xml:space="preserve">统计公报，年度、季度、月度主要统计数据，按国家规定对外发布的重大国情国力普查数据和重要统计调查相关数据     </w:t>
            </w:r>
          </w:p>
        </w:tc>
        <w:tc>
          <w:tcPr>
            <w:tcW w:w="252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《中华人民共和国统计法》《中华人民共和国政府信息公开条例》《中华人民共和国统计法实施条例》</w:t>
            </w:r>
          </w:p>
        </w:tc>
        <w:tc>
          <w:tcPr>
            <w:tcW w:w="162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适时发布</w:t>
            </w:r>
          </w:p>
        </w:tc>
        <w:tc>
          <w:tcPr>
            <w:tcW w:w="1080" w:type="dxa"/>
            <w:vAlign w:val="center"/>
          </w:tcPr>
          <w:p>
            <w:pPr>
              <w:widowControl/>
              <w:spacing w:line="240" w:lineRule="atLeast"/>
              <w:jc w:val="center"/>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乌拉特前旗统计局</w:t>
            </w:r>
          </w:p>
        </w:tc>
        <w:tc>
          <w:tcPr>
            <w:tcW w:w="1800" w:type="dxa"/>
            <w:vAlign w:val="center"/>
          </w:tcPr>
          <w:p>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widowControl/>
              <w:spacing w:line="240" w:lineRule="atLeast"/>
              <w:ind w:left="180" w:hanging="180" w:hangingChars="100"/>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乌拉特前旗统计微讯</w:t>
            </w:r>
          </w:p>
        </w:tc>
        <w:tc>
          <w:tcPr>
            <w:tcW w:w="54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widowControl/>
              <w:spacing w:line="240" w:lineRule="atLeast"/>
              <w:rPr>
                <w:rFonts w:hint="eastAsia" w:ascii="仿宋_GB2312" w:hAnsi="宋体" w:eastAsia="仿宋_GB2312"/>
                <w:color w:val="000000"/>
                <w:sz w:val="18"/>
                <w:szCs w:val="18"/>
              </w:rPr>
            </w:pPr>
          </w:p>
        </w:tc>
        <w:tc>
          <w:tcPr>
            <w:tcW w:w="551"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widowControl/>
              <w:spacing w:line="240" w:lineRule="atLeast"/>
              <w:rPr>
                <w:rFonts w:hint="eastAsia" w:ascii="仿宋_GB2312" w:hAnsi="宋体" w:eastAsia="仿宋_GB2312"/>
                <w:color w:val="000000"/>
                <w:sz w:val="18"/>
                <w:szCs w:val="18"/>
              </w:rPr>
            </w:pPr>
          </w:p>
        </w:tc>
        <w:tc>
          <w:tcPr>
            <w:tcW w:w="72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widowControl/>
              <w:spacing w:line="240" w:lineRule="atLeast"/>
              <w:jc w:val="center"/>
              <w:textAlignment w:val="center"/>
              <w:rPr>
                <w:rFonts w:hint="eastAsia" w:ascii="仿宋_GB2312" w:hAnsi="宋体" w:eastAsia="仿宋_GB2312"/>
                <w:color w:val="000000"/>
                <w:sz w:val="18"/>
                <w:szCs w:val="18"/>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0ZjFkYjRmNDQ4ZWY0MDFlYTJiMDFkYjZjMTE3ZjAifQ=="/>
  </w:docVars>
  <w:rsids>
    <w:rsidRoot w:val="00416393"/>
    <w:rsid w:val="001E6D63"/>
    <w:rsid w:val="002967AA"/>
    <w:rsid w:val="002E0878"/>
    <w:rsid w:val="003B2C77"/>
    <w:rsid w:val="00416393"/>
    <w:rsid w:val="00FA002F"/>
    <w:rsid w:val="00FF0C45"/>
    <w:rsid w:val="02380A5E"/>
    <w:rsid w:val="085372D4"/>
    <w:rsid w:val="10CE2792"/>
    <w:rsid w:val="184D5F12"/>
    <w:rsid w:val="4B144765"/>
    <w:rsid w:val="77250B48"/>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semiHidden/>
    <w:uiPriority w:val="0"/>
    <w:pPr>
      <w:jc w:val="left"/>
    </w:pPr>
  </w:style>
  <w:style w:type="paragraph" w:styleId="4">
    <w:name w:val="Balloon Text"/>
    <w:basedOn w:val="1"/>
    <w:link w:val="19"/>
    <w:semiHidden/>
    <w:qFormat/>
    <w:uiPriority w:val="0"/>
    <w:rPr>
      <w:sz w:val="18"/>
      <w:szCs w:val="18"/>
    </w:rPr>
  </w:style>
  <w:style w:type="paragraph" w:styleId="5">
    <w:name w:val="footer"/>
    <w:basedOn w:val="1"/>
    <w:link w:val="22"/>
    <w:uiPriority w:val="0"/>
    <w:pPr>
      <w:tabs>
        <w:tab w:val="center" w:pos="4153"/>
        <w:tab w:val="right" w:pos="8306"/>
      </w:tabs>
      <w:snapToGrid w:val="0"/>
      <w:jc w:val="left"/>
    </w:pPr>
    <w:rPr>
      <w:sz w:val="18"/>
      <w:szCs w:val="18"/>
    </w:rPr>
  </w:style>
  <w:style w:type="paragraph" w:styleId="6">
    <w:name w:val="header"/>
    <w:basedOn w:val="1"/>
    <w:link w:val="21"/>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uiPriority w:val="0"/>
    <w:pPr>
      <w:tabs>
        <w:tab w:val="right" w:leader="dot" w:pos="14760"/>
      </w:tabs>
      <w:spacing w:line="700" w:lineRule="exact"/>
      <w:ind w:left="359" w:leftChars="171" w:right="332" w:rightChars="158"/>
    </w:pPr>
  </w:style>
  <w:style w:type="paragraph" w:styleId="8">
    <w:name w:val="annotation subject"/>
    <w:basedOn w:val="3"/>
    <w:next w:val="3"/>
    <w:link w:val="18"/>
    <w:semiHidden/>
    <w:uiPriority w:val="0"/>
    <w:rPr>
      <w:b/>
      <w:bCs/>
    </w:rPr>
  </w:style>
  <w:style w:type="table" w:styleId="10">
    <w:name w:val="Table Grid"/>
    <w:basedOn w:val="9"/>
    <w:qFormat/>
    <w:uiPriority w:val="0"/>
    <w:rPr>
      <w:rFonts w:ascii="Calibri" w:hAnsi="Calibri" w:eastAsia="宋体" w:cs="Times New Roman"/>
      <w:kern w:val="0"/>
      <w:sz w:val="20"/>
      <w:szCs w:val="20"/>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styleId="13">
    <w:name w:val="Hyperlink"/>
    <w:uiPriority w:val="0"/>
    <w:rPr>
      <w:color w:val="0000FF"/>
      <w:u w:val="single"/>
    </w:rPr>
  </w:style>
  <w:style w:type="character" w:styleId="14">
    <w:name w:val="annotation reference"/>
    <w:semiHidden/>
    <w:uiPriority w:val="0"/>
    <w:rPr>
      <w:sz w:val="21"/>
      <w:szCs w:val="21"/>
    </w:rPr>
  </w:style>
  <w:style w:type="character" w:customStyle="1" w:styleId="15">
    <w:name w:val="标题 1 字符"/>
    <w:basedOn w:val="11"/>
    <w:link w:val="2"/>
    <w:uiPriority w:val="0"/>
    <w:rPr>
      <w:rFonts w:ascii="Calibri" w:hAnsi="Calibri" w:eastAsia="宋体" w:cs="Times New Roman"/>
      <w:b/>
      <w:bCs/>
      <w:kern w:val="44"/>
      <w:sz w:val="44"/>
      <w:szCs w:val="44"/>
    </w:rPr>
  </w:style>
  <w:style w:type="paragraph" w:customStyle="1" w:styleId="16">
    <w:name w:val="列出段落"/>
    <w:basedOn w:val="1"/>
    <w:qFormat/>
    <w:uiPriority w:val="0"/>
    <w:pPr>
      <w:ind w:firstLine="420" w:firstLineChars="200"/>
    </w:pPr>
    <w:rPr>
      <w:rFonts w:ascii="等线" w:hAnsi="等线" w:eastAsia="等线"/>
    </w:rPr>
  </w:style>
  <w:style w:type="character" w:customStyle="1" w:styleId="17">
    <w:name w:val="批注文字 字符"/>
    <w:basedOn w:val="11"/>
    <w:link w:val="3"/>
    <w:semiHidden/>
    <w:uiPriority w:val="0"/>
    <w:rPr>
      <w:rFonts w:ascii="Calibri" w:hAnsi="Calibri" w:eastAsia="宋体" w:cs="Times New Roman"/>
    </w:rPr>
  </w:style>
  <w:style w:type="character" w:customStyle="1" w:styleId="18">
    <w:name w:val="批注主题 字符"/>
    <w:basedOn w:val="17"/>
    <w:link w:val="8"/>
    <w:semiHidden/>
    <w:qFormat/>
    <w:uiPriority w:val="0"/>
    <w:rPr>
      <w:rFonts w:ascii="Calibri" w:hAnsi="Calibri" w:eastAsia="宋体" w:cs="Times New Roman"/>
      <w:b/>
      <w:bCs/>
    </w:rPr>
  </w:style>
  <w:style w:type="character" w:customStyle="1" w:styleId="19">
    <w:name w:val="批注框文本 字符"/>
    <w:basedOn w:val="11"/>
    <w:link w:val="4"/>
    <w:semiHidden/>
    <w:uiPriority w:val="0"/>
    <w:rPr>
      <w:rFonts w:ascii="Calibri" w:hAnsi="Calibri" w:eastAsia="宋体" w:cs="Times New Roman"/>
      <w:sz w:val="18"/>
      <w:szCs w:val="18"/>
    </w:rPr>
  </w:style>
  <w:style w:type="paragraph" w:customStyle="1" w:styleId="20">
    <w:name w:val="列出段落1"/>
    <w:basedOn w:val="1"/>
    <w:uiPriority w:val="0"/>
    <w:pPr>
      <w:ind w:firstLine="420" w:firstLineChars="200"/>
    </w:pPr>
  </w:style>
  <w:style w:type="character" w:customStyle="1" w:styleId="21">
    <w:name w:val="页眉 字符"/>
    <w:basedOn w:val="11"/>
    <w:link w:val="6"/>
    <w:uiPriority w:val="0"/>
    <w:rPr>
      <w:rFonts w:ascii="Calibri" w:hAnsi="Calibri" w:eastAsia="宋体" w:cs="Times New Roman"/>
      <w:sz w:val="18"/>
      <w:szCs w:val="18"/>
    </w:rPr>
  </w:style>
  <w:style w:type="character" w:customStyle="1" w:styleId="22">
    <w:name w:val="页脚 字符"/>
    <w:basedOn w:val="11"/>
    <w:link w:val="5"/>
    <w:uiPriority w:val="0"/>
    <w:rPr>
      <w:rFonts w:ascii="Calibri" w:hAnsi="Calibri" w:eastAsia="宋体" w:cs="Times New Roman"/>
      <w:sz w:val="18"/>
      <w:szCs w:val="18"/>
    </w:rPr>
  </w:style>
  <w:style w:type="paragraph" w:customStyle="1" w:styleId="23">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A6F60-3CB5-4881-AEAB-C1BECD53DFCC}">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436</Words>
  <Characters>437</Characters>
  <Lines>18</Lines>
  <Paragraphs>5</Paragraphs>
  <TotalTime>3</TotalTime>
  <ScaleCrop>false</ScaleCrop>
  <LinksUpToDate>false</LinksUpToDate>
  <CharactersWithSpaces>461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2020-03-06T06:50:00Z</dcterms:created>
  <dc:creator>tai yuzhu</dc:creator>
  <cp:lastModifiedBy>GZ</cp:lastModifiedBy>
  <dcterms:modified xsi:type="dcterms:W3CDTF">2022-07-19T08:31:02Z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2412A5F90D3445AD9B810BDD5D2F6E92</vt:lpwstr>
  </property>
</Properties>
</file>