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AD3FF">
      <w:pPr>
        <w:snapToGrid w:val="0"/>
        <w:spacing w:line="600" w:lineRule="exact"/>
        <w:jc w:val="center"/>
        <w:rPr>
          <w:rFonts w:ascii="仿宋_GB2312" w:hAnsi="Times New Roman" w:eastAsia="仿宋_GB2312" w:cs="仿宋_GB2312"/>
          <w:sz w:val="32"/>
          <w:szCs w:val="32"/>
        </w:rPr>
      </w:pPr>
    </w:p>
    <w:p w14:paraId="75A5D37C">
      <w:pPr>
        <w:snapToGrid w:val="0"/>
        <w:spacing w:line="600" w:lineRule="exact"/>
        <w:jc w:val="center"/>
        <w:rPr>
          <w:rFonts w:ascii="仿宋_GB2312" w:hAnsi="Times New Roman" w:eastAsia="仿宋_GB2312" w:cs="仿宋_GB2312"/>
          <w:sz w:val="32"/>
          <w:szCs w:val="32"/>
        </w:rPr>
      </w:pPr>
    </w:p>
    <w:p w14:paraId="6BAD908A">
      <w:pPr>
        <w:snapToGrid w:val="0"/>
        <w:spacing w:line="600" w:lineRule="exact"/>
        <w:jc w:val="center"/>
        <w:rPr>
          <w:rFonts w:ascii="仿宋_GB2312" w:hAnsi="Times New Roman" w:eastAsia="仿宋_GB2312" w:cs="仿宋_GB2312"/>
          <w:sz w:val="32"/>
          <w:szCs w:val="32"/>
        </w:rPr>
      </w:pPr>
    </w:p>
    <w:p w14:paraId="45EAE7AA">
      <w:pPr>
        <w:snapToGrid w:val="0"/>
        <w:spacing w:line="600" w:lineRule="exact"/>
        <w:jc w:val="center"/>
        <w:rPr>
          <w:rFonts w:ascii="方正小标宋简体" w:hAnsi="方正小标宋简体" w:eastAsia="方正小标宋简体" w:cs="方正小标宋简体"/>
          <w:sz w:val="44"/>
          <w:szCs w:val="44"/>
        </w:rPr>
      </w:pPr>
      <w:r>
        <w:rPr>
          <w:rFonts w:hint="eastAsia" w:ascii="仿宋_GB2312" w:hAnsi="Times New Roman" w:eastAsia="仿宋_GB2312" w:cs="仿宋_GB2312"/>
          <w:sz w:val="32"/>
          <w:szCs w:val="32"/>
        </w:rPr>
        <w:t>内农牧机发〔2024〕</w:t>
      </w:r>
      <w:r>
        <w:rPr>
          <w:rFonts w:hint="eastAsia" w:ascii="仿宋_GB2312" w:hAnsi="Times New Roman" w:eastAsia="仿宋_GB2312" w:cs="仿宋_GB2312"/>
          <w:sz w:val="32"/>
          <w:szCs w:val="32"/>
          <w:lang w:val="en-US" w:eastAsia="zh-CN"/>
        </w:rPr>
        <w:t>517</w:t>
      </w:r>
      <w:r>
        <w:rPr>
          <w:rFonts w:hint="eastAsia" w:ascii="仿宋_GB2312" w:hAnsi="Times New Roman" w:eastAsia="仿宋_GB2312" w:cs="仿宋_GB2312"/>
          <w:sz w:val="32"/>
          <w:szCs w:val="32"/>
        </w:rPr>
        <w:t>号</w:t>
      </w:r>
    </w:p>
    <w:p w14:paraId="553EDBFE">
      <w:pPr>
        <w:snapToGrid w:val="0"/>
        <w:spacing w:line="600" w:lineRule="exact"/>
        <w:jc w:val="center"/>
        <w:rPr>
          <w:rFonts w:ascii="方正小标宋简体" w:hAnsi="方正小标宋简体" w:eastAsia="方正小标宋简体" w:cs="方正小标宋简体"/>
          <w:sz w:val="44"/>
          <w:szCs w:val="44"/>
        </w:rPr>
      </w:pPr>
    </w:p>
    <w:p w14:paraId="0AA482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内蒙古自治区农牧厅 财政厅关于印发</w:t>
      </w:r>
    </w:p>
    <w:p w14:paraId="220E9CF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自治区2024—2026年农机</w:t>
      </w:r>
    </w:p>
    <w:p w14:paraId="1F5016E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购置与应用补贴实施方案的通知</w:t>
      </w:r>
    </w:p>
    <w:p w14:paraId="4CE2534C"/>
    <w:p w14:paraId="7D8107EF"/>
    <w:p w14:paraId="3E4B2F67">
      <w:pPr>
        <w:snapToGrid w:val="0"/>
        <w:spacing w:line="600" w:lineRule="exact"/>
        <w:ind w:firstLine="880" w:firstLineChars="200"/>
        <w:rPr>
          <w:rFonts w:ascii="方正小标宋简体" w:hAnsi="方正小标宋简体" w:eastAsia="方正小标宋简体" w:cs="方正小标宋简体"/>
          <w:sz w:val="44"/>
          <w:szCs w:val="44"/>
        </w:rPr>
      </w:pPr>
    </w:p>
    <w:p w14:paraId="6F8A8578">
      <w:pPr>
        <w:snapToGrid w:val="0"/>
        <w:spacing w:line="600" w:lineRule="exact"/>
        <w:rPr>
          <w:rFonts w:ascii="仿宋_GB2312" w:eastAsia="仿宋_GB2312" w:cs="仿宋_GB2312"/>
          <w:sz w:val="32"/>
          <w:szCs w:val="32"/>
        </w:rPr>
      </w:pPr>
      <w:r>
        <w:rPr>
          <w:rFonts w:hint="eastAsia" w:ascii="仿宋_GB2312" w:hAnsi="Times New Roman" w:eastAsia="仿宋_GB2312" w:cs="仿宋_GB2312"/>
          <w:sz w:val="32"/>
          <w:szCs w:val="32"/>
        </w:rPr>
        <w:t>各盟市农牧局、财政局：</w:t>
      </w:r>
    </w:p>
    <w:p w14:paraId="639495DE">
      <w:pPr>
        <w:snapToGrid w:val="0"/>
        <w:spacing w:line="600" w:lineRule="exact"/>
        <w:ind w:firstLine="664" w:firstLineChars="200"/>
        <w:rPr>
          <w:rFonts w:ascii="仿宋_GB2312" w:eastAsia="仿宋_GB2312" w:cs="仿宋_GB2312"/>
          <w:sz w:val="32"/>
          <w:szCs w:val="32"/>
        </w:rPr>
      </w:pPr>
      <w:r>
        <w:rPr>
          <w:rFonts w:hint="eastAsia" w:ascii="仿宋_GB2312" w:hAnsi="方正小标宋简体" w:eastAsia="仿宋_GB2312" w:cs="仿宋_GB2312"/>
          <w:spacing w:val="6"/>
          <w:sz w:val="32"/>
          <w:szCs w:val="32"/>
        </w:rPr>
        <w:t>根据农业农村部办公厅 财政部办公厅《</w:t>
      </w:r>
      <w:r>
        <w:rPr>
          <w:rFonts w:hint="eastAsia" w:ascii="仿宋_GB2312" w:hAnsi="方正小标宋简体" w:eastAsia="仿宋_GB2312" w:cs="仿宋_GB2312"/>
          <w:spacing w:val="6"/>
          <w:sz w:val="32"/>
          <w:szCs w:val="32"/>
          <w:lang w:eastAsia="zh-CN"/>
        </w:rPr>
        <w:t>关于印发〈</w:t>
      </w:r>
      <w:r>
        <w:rPr>
          <w:rFonts w:hint="eastAsia" w:ascii="仿宋_GB2312" w:hAnsi="方正小标宋简体" w:eastAsia="仿宋_GB2312" w:cs="仿宋_GB2312"/>
          <w:spacing w:val="6"/>
          <w:sz w:val="32"/>
          <w:szCs w:val="32"/>
        </w:rPr>
        <w:t>2024—2026年农机购置与应用补贴实施意见</w:t>
      </w:r>
      <w:r>
        <w:rPr>
          <w:rFonts w:hint="eastAsia" w:ascii="仿宋_GB2312" w:hAnsi="方正小标宋简体" w:eastAsia="仿宋_GB2312" w:cs="仿宋_GB2312"/>
          <w:spacing w:val="6"/>
          <w:sz w:val="32"/>
          <w:szCs w:val="32"/>
          <w:lang w:eastAsia="zh-CN"/>
        </w:rPr>
        <w:t>〉的通知</w:t>
      </w:r>
      <w:r>
        <w:rPr>
          <w:rFonts w:hint="eastAsia" w:ascii="仿宋_GB2312" w:hAnsi="方正小标宋简体" w:eastAsia="仿宋_GB2312" w:cs="仿宋_GB2312"/>
          <w:spacing w:val="6"/>
          <w:sz w:val="32"/>
          <w:szCs w:val="32"/>
        </w:rPr>
        <w:t>》（农</w:t>
      </w:r>
      <w:r>
        <w:rPr>
          <w:rFonts w:hint="eastAsia" w:ascii="仿宋_GB2312" w:hAnsi="方正小标宋简体" w:eastAsia="仿宋_GB2312" w:cs="仿宋_GB2312"/>
          <w:spacing w:val="6"/>
          <w:sz w:val="32"/>
          <w:szCs w:val="32"/>
          <w:highlight w:val="none"/>
        </w:rPr>
        <w:t>办</w:t>
      </w:r>
      <w:r>
        <w:rPr>
          <w:rFonts w:hint="eastAsia" w:ascii="仿宋_GB2312" w:hAnsi="方正小标宋简体" w:eastAsia="仿宋_GB2312" w:cs="仿宋_GB2312"/>
          <w:spacing w:val="6"/>
          <w:sz w:val="32"/>
          <w:szCs w:val="32"/>
          <w:highlight w:val="none"/>
          <w:lang w:val="en-US" w:eastAsia="zh-CN"/>
        </w:rPr>
        <w:t>机</w:t>
      </w:r>
      <w:r>
        <w:rPr>
          <w:rFonts w:hint="eastAsia" w:ascii="仿宋_GB2312" w:hAnsi="方正小标宋简体" w:eastAsia="仿宋_GB2312" w:cs="仿宋_GB2312"/>
          <w:spacing w:val="6"/>
          <w:sz w:val="32"/>
          <w:szCs w:val="32"/>
          <w:highlight w:val="none"/>
        </w:rPr>
        <w:t>〔2024〕</w:t>
      </w:r>
      <w:r>
        <w:rPr>
          <w:rFonts w:hint="eastAsia" w:ascii="仿宋_GB2312" w:hAnsi="方正小标宋简体" w:eastAsia="仿宋_GB2312" w:cs="仿宋_GB2312"/>
          <w:spacing w:val="6"/>
          <w:sz w:val="32"/>
          <w:szCs w:val="32"/>
          <w:highlight w:val="none"/>
          <w:lang w:val="en-US" w:eastAsia="zh-CN"/>
        </w:rPr>
        <w:t>3</w:t>
      </w:r>
      <w:r>
        <w:rPr>
          <w:rFonts w:hint="eastAsia" w:ascii="仿宋_GB2312" w:hAnsi="方正小标宋简体" w:eastAsia="仿宋_GB2312" w:cs="仿宋_GB2312"/>
          <w:spacing w:val="6"/>
          <w:sz w:val="32"/>
          <w:szCs w:val="32"/>
          <w:highlight w:val="none"/>
        </w:rPr>
        <w:t>号</w:t>
      </w:r>
      <w:r>
        <w:rPr>
          <w:rFonts w:hint="eastAsia" w:ascii="仿宋_GB2312" w:hAnsi="方正小标宋简体" w:eastAsia="仿宋_GB2312" w:cs="仿宋_GB2312"/>
          <w:spacing w:val="6"/>
          <w:sz w:val="32"/>
          <w:szCs w:val="32"/>
        </w:rPr>
        <w:t>）精神，结合我区实际，自治区农牧厅、财政厅制定了《内蒙古自治区2024—2026年农机购置与应用补贴实施方案》，现予印发，请遵照执行</w:t>
      </w:r>
      <w:r>
        <w:rPr>
          <w:rFonts w:hint="eastAsia" w:ascii="仿宋_GB2312" w:hAnsi="方正小标宋简体" w:eastAsia="仿宋_GB2312" w:cs="仿宋_GB2312"/>
          <w:sz w:val="32"/>
          <w:szCs w:val="32"/>
        </w:rPr>
        <w:t>。</w:t>
      </w:r>
    </w:p>
    <w:p w14:paraId="24719D84">
      <w:pPr>
        <w:snapToGrid w:val="0"/>
        <w:spacing w:line="600" w:lineRule="exact"/>
        <w:rPr>
          <w:rFonts w:ascii="仿宋_GB2312" w:eastAsia="仿宋_GB2312" w:cs="仿宋_GB2312"/>
          <w:sz w:val="32"/>
          <w:szCs w:val="32"/>
        </w:rPr>
      </w:pPr>
    </w:p>
    <w:p w14:paraId="7AA4555E">
      <w:pPr>
        <w:snapToGrid w:val="0"/>
        <w:spacing w:line="600" w:lineRule="exact"/>
        <w:ind w:firstLine="1280" w:firstLineChars="400"/>
        <w:rPr>
          <w:rFonts w:ascii="仿宋_GB2312" w:eastAsia="仿宋_GB2312" w:cs="仿宋_GB2312"/>
          <w:sz w:val="32"/>
          <w:szCs w:val="32"/>
        </w:rPr>
      </w:pPr>
      <w:r>
        <w:rPr>
          <w:rFonts w:hint="eastAsia" w:ascii="仿宋_GB2312" w:hAnsi="Times New Roman" w:eastAsia="仿宋_GB2312" w:cs="仿宋_GB2312"/>
          <w:sz w:val="32"/>
          <w:szCs w:val="32"/>
        </w:rPr>
        <w:t>内蒙古自治区农牧厅      内蒙古自治区财政厅</w:t>
      </w:r>
    </w:p>
    <w:p w14:paraId="7639918E">
      <w:pPr>
        <w:snapToGrid w:val="0"/>
        <w:spacing w:line="600" w:lineRule="exact"/>
        <w:ind w:firstLine="5760" w:firstLineChars="1800"/>
        <w:rPr>
          <w:rFonts w:ascii="仿宋_GB2312" w:eastAsia="仿宋_GB2312" w:cs="仿宋_GB2312"/>
          <w:sz w:val="32"/>
          <w:szCs w:val="32"/>
        </w:rPr>
      </w:pPr>
      <w:r>
        <w:rPr>
          <w:rFonts w:hint="eastAsia" w:ascii="仿宋_GB2312" w:hAnsi="Times New Roman" w:eastAsia="仿宋_GB2312" w:cs="仿宋_GB2312"/>
          <w:sz w:val="32"/>
          <w:szCs w:val="32"/>
        </w:rPr>
        <w:t>2024年</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7</w:t>
      </w:r>
      <w:r>
        <w:rPr>
          <w:rFonts w:hint="eastAsia" w:ascii="仿宋_GB2312" w:hAnsi="Times New Roman" w:eastAsia="仿宋_GB2312" w:cs="仿宋_GB2312"/>
          <w:sz w:val="32"/>
          <w:szCs w:val="32"/>
        </w:rPr>
        <w:t>日</w:t>
      </w:r>
    </w:p>
    <w:p w14:paraId="31B0E604">
      <w:pPr>
        <w:snapToGrid w:val="0"/>
        <w:spacing w:line="600" w:lineRule="exact"/>
        <w:rPr>
          <w:rFonts w:ascii="仿宋_GB2312" w:eastAsia="仿宋_GB2312" w:cs="仿宋_GB2312"/>
          <w:sz w:val="32"/>
          <w:szCs w:val="32"/>
        </w:rPr>
      </w:pPr>
    </w:p>
    <w:p w14:paraId="4409ADEC">
      <w:pPr>
        <w:snapToGrid w:val="0"/>
        <w:spacing w:line="600" w:lineRule="exact"/>
        <w:jc w:val="center"/>
        <w:rPr>
          <w:rFonts w:hint="eastAsia" w:ascii="方正小标宋简体" w:hAnsi="方正小标宋简体" w:eastAsia="方正小标宋简体" w:cs="方正小标宋简体"/>
          <w:color w:val="auto"/>
          <w:sz w:val="44"/>
          <w:szCs w:val="44"/>
        </w:rPr>
      </w:pPr>
    </w:p>
    <w:p w14:paraId="76A9C75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内蒙古自治区2024—2026年农机</w:t>
      </w:r>
    </w:p>
    <w:p w14:paraId="22B43B5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购置与应用补贴实施方案</w:t>
      </w:r>
    </w:p>
    <w:p w14:paraId="72B919F9">
      <w:pPr>
        <w:rPr>
          <w:color w:val="auto"/>
        </w:rPr>
      </w:pPr>
    </w:p>
    <w:p w14:paraId="11916A1F">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077C1F47">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54A037E5">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763F40C4">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(一)在支持重点方面着力突出稳产保供。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6C3A1E79">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(二)在补贴资质方面着力突出自主创新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30F786A5">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rPr>
        <w:t>(三)在补贴标准方面着力做到有升有降。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4F1EE8DB">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14:paraId="62E69DAB">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自治区、盟市、旗县（区）</w:t>
      </w:r>
      <w:r>
        <w:rPr>
          <w:rFonts w:hint="eastAsia" w:ascii="仿宋_GB2312" w:hAnsi="仿宋_GB2312" w:eastAsia="仿宋_GB2312" w:cs="仿宋_GB2312"/>
          <w:color w:val="auto"/>
          <w:kern w:val="0"/>
          <w:sz w:val="32"/>
          <w:szCs w:val="32"/>
          <w:highlight w:val="none"/>
          <w:lang w:val="en-US" w:eastAsia="zh-CN"/>
        </w:rPr>
        <w:t>三级监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14:paraId="74CD3D92">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bCs/>
          <w:color w:val="auto"/>
          <w:sz w:val="32"/>
          <w:szCs w:val="32"/>
          <w:lang w:val="en-US" w:eastAsia="zh-CN"/>
        </w:rPr>
        <w:t>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14:paraId="4666E235">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6684C364">
      <w:pPr>
        <w:widowControl/>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27850101">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53B6FBBC">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各盟市根据农牧业生产需要和资金供需实际，</w:t>
      </w:r>
      <w:r>
        <w:rPr>
          <w:rFonts w:hint="eastAsia" w:ascii="仿宋_GB2312" w:hAnsi="仿宋_GB2312" w:eastAsia="仿宋_GB2312" w:cs="仿宋_GB2312"/>
          <w:color w:val="auto"/>
          <w:kern w:val="0"/>
          <w:sz w:val="32"/>
          <w:szCs w:val="32"/>
          <w:lang w:val="en-US" w:eastAsia="zh-CN"/>
        </w:rPr>
        <w:t>可</w:t>
      </w:r>
      <w:r>
        <w:rPr>
          <w:rFonts w:hint="eastAsia" w:ascii="仿宋_GB2312" w:hAnsi="仿宋_GB2312" w:eastAsia="仿宋_GB2312" w:cs="仿宋_GB2312"/>
          <w:color w:val="auto"/>
          <w:kern w:val="0"/>
          <w:sz w:val="32"/>
          <w:szCs w:val="32"/>
        </w:rPr>
        <w:t>从自治区补贴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范围中选取确定本盟市</w:t>
      </w:r>
      <w:r>
        <w:rPr>
          <w:rFonts w:hint="eastAsia" w:ascii="仿宋_GB2312" w:hAnsi="仿宋_GB2312" w:eastAsia="仿宋_GB2312" w:cs="仿宋_GB2312"/>
          <w:color w:val="auto"/>
          <w:kern w:val="0"/>
          <w:sz w:val="32"/>
          <w:szCs w:val="32"/>
          <w:lang w:val="en-US" w:eastAsia="zh-CN"/>
        </w:rPr>
        <w:t>补</w:t>
      </w:r>
      <w:r>
        <w:rPr>
          <w:rFonts w:hint="eastAsia" w:ascii="仿宋_GB2312" w:hAnsi="仿宋_GB2312" w:eastAsia="仿宋_GB2312" w:cs="仿宋_GB2312"/>
          <w:color w:val="auto"/>
          <w:kern w:val="0"/>
          <w:sz w:val="32"/>
          <w:szCs w:val="32"/>
        </w:rPr>
        <w:t>贴</w:t>
      </w:r>
      <w:r>
        <w:rPr>
          <w:rFonts w:hint="eastAsia" w:ascii="仿宋_GB2312" w:hAnsi="仿宋_GB2312" w:eastAsia="仿宋_GB2312" w:cs="仿宋_GB2312"/>
          <w:color w:val="auto"/>
          <w:kern w:val="0"/>
          <w:sz w:val="32"/>
          <w:szCs w:val="32"/>
          <w:highlight w:val="none"/>
        </w:rPr>
        <w:t>机具品目，优先保障</w:t>
      </w:r>
      <w:r>
        <w:rPr>
          <w:rFonts w:hint="eastAsia" w:ascii="仿宋_GB2312" w:hAnsi="仿宋_GB2312" w:eastAsia="仿宋_GB2312" w:cs="仿宋_GB2312"/>
          <w:color w:val="auto"/>
          <w:kern w:val="0"/>
          <w:sz w:val="32"/>
          <w:szCs w:val="32"/>
          <w:highlight w:val="none"/>
          <w:lang w:val="en-US" w:eastAsia="zh-CN"/>
        </w:rPr>
        <w:t>重点机具，报自治区农牧厅备案后实施。</w:t>
      </w:r>
    </w:p>
    <w:p w14:paraId="067426D3">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农机</w:t>
      </w:r>
      <w:r>
        <w:rPr>
          <w:rFonts w:hint="eastAsia" w:ascii="楷体_GB2312" w:hAnsi="楷体_GB2312" w:eastAsia="楷体_GB2312" w:cs="楷体_GB2312"/>
          <w:bCs/>
          <w:color w:val="auto"/>
          <w:sz w:val="32"/>
          <w:szCs w:val="32"/>
          <w:lang w:val="en-US" w:eastAsia="zh-CN"/>
        </w:rPr>
        <w:t>专项鉴定产品和农机新产品</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color w:val="auto"/>
          <w:kern w:val="0"/>
          <w:sz w:val="32"/>
          <w:szCs w:val="32"/>
          <w:lang w:val="en-US" w:eastAsia="zh-CN"/>
        </w:rPr>
        <w:t>使用中央财政资金的专项鉴定产品、农机新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14:paraId="3CEE6B04">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39C739B5">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rPr>
        <w:t>(一)补贴对象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14:paraId="3664F2B4">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农机购置与应用补贴实行定额补贴，即同一种类、同一档次农牧业机械在自治区内实行统一的补贴标准。</w:t>
      </w:r>
      <w:r>
        <w:rPr>
          <w:rFonts w:hint="eastAsia" w:ascii="仿宋_GB2312" w:hAnsi="仿宋_GB2312" w:eastAsia="仿宋_GB2312" w:cs="仿宋_GB2312"/>
          <w:strike w:val="0"/>
          <w:dstrike w:val="0"/>
          <w:color w:val="auto"/>
          <w:kern w:val="0"/>
          <w:sz w:val="32"/>
          <w:szCs w:val="32"/>
          <w:highlight w:val="none"/>
        </w:rPr>
        <w:t>我区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lang w:val="en-US" w:eastAsia="zh-CN"/>
        </w:rPr>
        <w:t>补贴政策普惠共享、兑付难度等因素，制定发布自治区补贴额一览表。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6CBC8D0D">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w:t>
      </w:r>
      <w:r>
        <w:rPr>
          <w:rFonts w:hint="eastAsia" w:ascii="仿宋_GB2312" w:hAnsi="仿宋_GB2312" w:eastAsia="仿宋_GB2312" w:cs="仿宋_GB2312"/>
          <w:strike w:val="0"/>
          <w:dstrike w:val="0"/>
          <w:color w:val="auto"/>
          <w:kern w:val="0"/>
          <w:sz w:val="32"/>
          <w:szCs w:val="32"/>
          <w:highlight w:val="none"/>
          <w:u w:val="none"/>
          <w:lang w:val="en-US" w:eastAsia="zh-CN"/>
        </w:rPr>
        <w:t>各盟市、旗县（区）不得开展累加补贴。</w:t>
      </w:r>
      <w:r>
        <w:rPr>
          <w:rFonts w:hint="eastAsia" w:ascii="仿宋_GB2312" w:hAnsi="仿宋_GB2312" w:eastAsia="仿宋_GB2312" w:cs="仿宋_GB2312"/>
          <w:color w:val="auto"/>
          <w:sz w:val="32"/>
          <w:szCs w:val="32"/>
          <w:lang w:val="en-US" w:eastAsia="zh-CN"/>
        </w:rPr>
        <w:t>逐步降低区域内保有量明显过多、技术相对落后机具品目（档次）的补贴额，补贴额测算比例不超过20%，并将部分低价值的机具退出补贴范围。对轮式拖拉机，除动力换挡和无级变速等档次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3625223C">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1A345120">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在政策实施过程中发现具体产品或档次的中央财政资金实际补</w:t>
      </w:r>
      <w:r>
        <w:rPr>
          <w:rFonts w:hint="eastAsia" w:ascii="仿宋_GB2312" w:hAnsi="仿宋_GB2312" w:eastAsia="仿宋_GB2312" w:cs="仿宋_GB2312"/>
          <w:color w:val="auto"/>
          <w:kern w:val="0"/>
          <w:sz w:val="32"/>
          <w:szCs w:val="32"/>
        </w:rPr>
        <w:t>贴比例</w:t>
      </w:r>
      <w:r>
        <w:rPr>
          <w:rFonts w:hint="eastAsia" w:ascii="仿宋_GB2312" w:hAnsi="仿宋_GB2312" w:eastAsia="仿宋_GB2312" w:cs="仿宋_GB2312"/>
          <w:color w:val="auto"/>
          <w:kern w:val="0"/>
          <w:sz w:val="32"/>
          <w:szCs w:val="32"/>
          <w:lang w:val="en-US" w:eastAsia="zh-CN"/>
        </w:rPr>
        <w:t>超过测算比例15个百分点以上的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农牧部门会同财政部门结合实际情况</w:t>
      </w:r>
      <w:r>
        <w:rPr>
          <w:rFonts w:hint="eastAsia" w:ascii="仿宋_GB2312" w:hAnsi="仿宋_GB2312" w:eastAsia="仿宋_GB2312" w:cs="仿宋_GB2312"/>
          <w:color w:val="auto"/>
          <w:kern w:val="0"/>
          <w:sz w:val="32"/>
          <w:szCs w:val="32"/>
        </w:rPr>
        <w:t>及时组织调查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并将调查情况及时报送自治区农牧厅、财政厅</w:t>
      </w:r>
      <w:r>
        <w:rPr>
          <w:rFonts w:hint="eastAsia" w:ascii="仿宋_GB2312" w:hAnsi="仿宋_GB2312" w:eastAsia="仿宋_GB2312" w:cs="仿宋_GB2312"/>
          <w:color w:val="auto"/>
          <w:kern w:val="0"/>
          <w:sz w:val="32"/>
          <w:szCs w:val="32"/>
        </w:rPr>
        <w:t>。对有违规情节的，按相关规定处理；对无违规情节的补贴申请，可按原规定兑付</w:t>
      </w:r>
      <w:r>
        <w:rPr>
          <w:rFonts w:hint="eastAsia" w:ascii="仿宋_GB2312" w:hAnsi="仿宋_GB2312" w:eastAsia="仿宋_GB2312" w:cs="仿宋_GB2312"/>
          <w:color w:val="auto"/>
          <w:kern w:val="0"/>
          <w:sz w:val="32"/>
          <w:szCs w:val="32"/>
          <w:highlight w:val="none"/>
        </w:rPr>
        <w:t>补贴资金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发现劣质产品以低价扰乱市场秩序的,要严肃查处。</w:t>
      </w:r>
    </w:p>
    <w:p w14:paraId="1EDA3B2C">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14:paraId="242616D6">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14:paraId="62F39D3E">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rPr>
        <w:t>各级农牧部门会同财政部门按照有关规定</w:t>
      </w:r>
      <w:r>
        <w:rPr>
          <w:rFonts w:hint="eastAsia" w:ascii="仿宋_GB2312" w:hAnsi="仿宋_GB2312" w:eastAsia="仿宋_GB2312" w:cs="仿宋_GB2312"/>
          <w:snapToGrid w:val="0"/>
          <w:color w:val="auto"/>
          <w:sz w:val="32"/>
          <w:szCs w:val="32"/>
          <w:highlight w:val="none"/>
          <w:lang w:val="en-US" w:eastAsia="zh-CN"/>
        </w:rPr>
        <w:t>做好资金需求摸底、分配工作，不突破旗县（区）需求上限分配资金</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可动态调减资金结转量大、政策实施风险</w:t>
      </w:r>
      <w:r>
        <w:rPr>
          <w:rFonts w:hint="eastAsia" w:ascii="仿宋_GB2312" w:hAnsi="仿宋_GB2312" w:eastAsia="仿宋_GB2312" w:cs="仿宋_GB2312"/>
          <w:snapToGrid w:val="0"/>
          <w:color w:val="auto"/>
          <w:sz w:val="32"/>
          <w:szCs w:val="32"/>
          <w:lang w:val="en-US" w:eastAsia="zh-CN"/>
        </w:rPr>
        <w:t>高、资金使用效益低、上年资金</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率较低地区的预算规模。财政部门会同农牧部门加强资金使用情况监测，定期调度和通报各旗县（区）资金使用进度，督促相关旗县（区）优先使用结转资金，督促预算执行较慢地区加快使用，并按需组织开展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及时将实施进度低</w:t>
      </w:r>
      <w:r>
        <w:rPr>
          <w:rFonts w:hint="eastAsia" w:ascii="仿宋_GB2312" w:hAnsi="仿宋_GB2312" w:eastAsia="仿宋_GB2312" w:cs="仿宋_GB2312"/>
          <w:snapToGrid w:val="0"/>
          <w:color w:val="auto"/>
          <w:sz w:val="32"/>
          <w:szCs w:val="32"/>
          <w:lang w:val="en-US" w:eastAsia="zh-CN"/>
        </w:rPr>
        <w:t>于序时进度旗县（区）的补贴资金调增给需求较大的旗县（区），自治区农牧厅、财政厅根据各盟市资金执行情况，开展全区范围内补贴资金余缺调剂，确保不发生资金大量结转，促进资金使用实现两年动态紧平衡。</w:t>
      </w:r>
      <w:r>
        <w:rPr>
          <w:rFonts w:hint="default" w:ascii="仿宋_GB2312" w:hAnsi="仿宋_GB2312" w:eastAsia="仿宋_GB2312" w:cs="仿宋_GB2312"/>
          <w:snapToGrid w:val="0"/>
          <w:color w:val="auto"/>
          <w:sz w:val="32"/>
          <w:szCs w:val="32"/>
          <w:highlight w:val="none"/>
          <w:u w:val="none"/>
          <w:lang w:val="en-US" w:eastAsia="zh-CN"/>
        </w:rPr>
        <w:t>各</w:t>
      </w:r>
      <w:r>
        <w:rPr>
          <w:rFonts w:hint="eastAsia" w:ascii="仿宋_GB2312" w:hAnsi="仿宋_GB2312" w:eastAsia="仿宋_GB2312" w:cs="仿宋_GB2312"/>
          <w:snapToGrid w:val="0"/>
          <w:color w:val="auto"/>
          <w:sz w:val="32"/>
          <w:szCs w:val="32"/>
          <w:highlight w:val="none"/>
          <w:u w:val="none"/>
          <w:lang w:val="en-US" w:eastAsia="zh-CN"/>
        </w:rPr>
        <w:t>盟市</w:t>
      </w:r>
      <w:r>
        <w:rPr>
          <w:rFonts w:hint="default" w:ascii="仿宋_GB2312" w:hAnsi="仿宋_GB2312" w:eastAsia="仿宋_GB2312" w:cs="仿宋_GB2312"/>
          <w:snapToGrid w:val="0"/>
          <w:color w:val="auto"/>
          <w:sz w:val="32"/>
          <w:szCs w:val="32"/>
          <w:highlight w:val="none"/>
          <w:u w:val="none"/>
          <w:lang w:val="en-US" w:eastAsia="zh-CN"/>
        </w:rPr>
        <w:t>当年补贴资金兑付工作开展情况与下年资金安排挂钩</w:t>
      </w:r>
      <w:r>
        <w:rPr>
          <w:rFonts w:hint="eastAsia" w:ascii="仿宋_GB2312" w:hAnsi="仿宋_GB2312" w:eastAsia="仿宋_GB2312" w:cs="仿宋_GB2312"/>
          <w:snapToGrid w:val="0"/>
          <w:color w:val="auto"/>
          <w:sz w:val="32"/>
          <w:szCs w:val="32"/>
          <w:highlight w:val="none"/>
          <w:u w:val="none"/>
          <w:lang w:val="en-US" w:eastAsia="zh-CN"/>
        </w:rPr>
        <w:t>，</w:t>
      </w:r>
      <w:r>
        <w:rPr>
          <w:rFonts w:hint="eastAsia" w:ascii="仿宋_GB2312" w:hAnsi="仿宋_GB2312" w:eastAsia="仿宋_GB2312" w:cs="仿宋_GB2312"/>
          <w:snapToGrid w:val="0"/>
          <w:color w:val="auto"/>
          <w:sz w:val="32"/>
          <w:szCs w:val="32"/>
          <w:lang w:val="en-US" w:eastAsia="zh-CN"/>
        </w:rPr>
        <w:t>对于发生严重违规行为并造成不良影响的盟市以及</w:t>
      </w:r>
      <w:r>
        <w:rPr>
          <w:rFonts w:hint="eastAsia" w:ascii="仿宋_GB2312" w:hAnsi="仿宋_GB2312" w:eastAsia="仿宋_GB2312" w:cs="仿宋_GB2312"/>
          <w:snapToGrid w:val="0"/>
          <w:color w:val="auto"/>
          <w:sz w:val="32"/>
          <w:szCs w:val="32"/>
          <w:highlight w:val="none"/>
          <w:lang w:val="en-US" w:eastAsia="zh-CN"/>
        </w:rPr>
        <w:t>预算执行进度严</w:t>
      </w:r>
      <w:r>
        <w:rPr>
          <w:rFonts w:hint="eastAsia" w:ascii="仿宋_GB2312" w:hAnsi="仿宋_GB2312" w:eastAsia="仿宋_GB2312" w:cs="仿宋_GB2312"/>
          <w:snapToGrid w:val="0"/>
          <w:color w:val="auto"/>
          <w:sz w:val="32"/>
          <w:szCs w:val="32"/>
          <w:lang w:val="en-US" w:eastAsia="zh-CN"/>
        </w:rPr>
        <w:t>重滞后的盟市，扣减下一年度补贴资金预算。</w:t>
      </w:r>
    </w:p>
    <w:p w14:paraId="087113F1">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呼伦贝尔农垦集团有限公司、兴安盟农垦事业发展中心、乌拉盖管理区按旗县建制对待，接受所在地盟市农牧部门、财政部门指导和管理，统一标准、统一行动、统一考核。</w:t>
      </w:r>
    </w:p>
    <w:p w14:paraId="5A4D0EFB">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color w:val="auto"/>
          <w:kern w:val="0"/>
          <w:sz w:val="32"/>
          <w:szCs w:val="32"/>
          <w:lang w:val="en-US" w:eastAsia="zh-CN" w:bidi="ar-SA"/>
        </w:rPr>
        <w:t>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我区按照《农业农村部、财政部关于贯彻落实中央一号文件要求开展农机购置与应用补贴试点的通知》（农机发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政安排资金要优先用于以往年度已录入但尚未兑付及当年已购机的补贴申请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71257968">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06DEC62E">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2BED6562">
      <w:pPr>
        <w:ind w:firstLine="640" w:firstLineChars="200"/>
        <w:rPr>
          <w:rFonts w:hint="default" w:ascii="仿宋_GB2312" w:hAnsi="仿宋_GB2312" w:eastAsia="仿宋_GB2312" w:cs="仿宋_GB2312"/>
          <w:strike/>
          <w:dstrike w:val="0"/>
          <w:snapToGrid w:val="0"/>
          <w:color w:val="auto"/>
          <w:sz w:val="32"/>
          <w:szCs w:val="32"/>
          <w:highlight w:val="yellow"/>
          <w:lang w:val="en-US" w:eastAsia="zh-CN"/>
        </w:rPr>
      </w:pPr>
      <w:r>
        <w:rPr>
          <w:rFonts w:hint="eastAsia" w:ascii="楷体_GB2312" w:hAnsi="楷体_GB2312" w:eastAsia="楷体_GB2312" w:cs="楷体_GB2312"/>
          <w:bCs/>
          <w:color w:val="auto"/>
          <w:sz w:val="32"/>
          <w:szCs w:val="32"/>
        </w:rPr>
        <w:t>(一)发布通知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lang w:eastAsia="zh-CN"/>
        </w:rPr>
        <w:t>盟市及以下</w:t>
      </w:r>
      <w:r>
        <w:rPr>
          <w:rFonts w:hint="eastAsia" w:ascii="仿宋_GB2312" w:hAnsi="仿宋_GB2312" w:eastAsia="仿宋_GB2312" w:cs="仿宋_GB2312"/>
          <w:color w:val="auto"/>
          <w:sz w:val="32"/>
          <w:szCs w:val="32"/>
        </w:rPr>
        <w:t>农牧部门、财政部门</w:t>
      </w:r>
      <w:r>
        <w:rPr>
          <w:rFonts w:hint="eastAsia" w:ascii="仿宋_GB2312" w:hAnsi="仿宋_GB2312" w:eastAsia="仿宋_GB2312" w:cs="仿宋_GB2312"/>
          <w:snapToGrid w:val="0"/>
          <w:color w:val="auto"/>
          <w:sz w:val="32"/>
          <w:szCs w:val="32"/>
        </w:rPr>
        <w:t>按职责分工和有关规定发布本地区农机购置与应用补贴</w:t>
      </w:r>
      <w:r>
        <w:rPr>
          <w:rFonts w:hint="eastAsia" w:ascii="仿宋_GB2312" w:hAnsi="仿宋_GB2312" w:eastAsia="仿宋_GB2312" w:cs="仿宋_GB2312"/>
          <w:snapToGrid w:val="0"/>
          <w:color w:val="auto"/>
          <w:sz w:val="32"/>
          <w:szCs w:val="32"/>
          <w:highlight w:val="yellow"/>
        </w:rPr>
        <w:t>实施方案、</w:t>
      </w:r>
      <w:r>
        <w:rPr>
          <w:rFonts w:hint="eastAsia" w:ascii="仿宋_GB2312" w:hAnsi="仿宋_GB2312" w:eastAsia="仿宋_GB2312" w:cs="仿宋_GB2312"/>
          <w:color w:val="auto"/>
          <w:kern w:val="0"/>
          <w:sz w:val="32"/>
          <w:szCs w:val="32"/>
          <w:highlight w:val="yellow"/>
          <w:lang w:val="en-US" w:eastAsia="zh-CN"/>
        </w:rPr>
        <w:t>操作程序、补贴</w:t>
      </w:r>
      <w:r>
        <w:rPr>
          <w:rFonts w:hint="eastAsia" w:ascii="仿宋_GB2312" w:hAnsi="仿宋_GB2312" w:eastAsia="仿宋_GB2312" w:cs="仿宋_GB2312"/>
          <w:snapToGrid w:val="0"/>
          <w:color w:val="auto"/>
          <w:sz w:val="32"/>
          <w:szCs w:val="32"/>
          <w:highlight w:val="yellow"/>
        </w:rPr>
        <w:t>机具信息表、</w:t>
      </w:r>
      <w:r>
        <w:rPr>
          <w:rFonts w:hint="eastAsia" w:ascii="仿宋_GB2312" w:hAnsi="仿宋_GB2312" w:eastAsia="仿宋_GB2312" w:cs="仿宋_GB2312"/>
          <w:color w:val="auto"/>
          <w:sz w:val="32"/>
          <w:szCs w:val="32"/>
          <w:highlight w:val="yellow"/>
        </w:rPr>
        <w:t>机具核验制度、</w:t>
      </w:r>
      <w:r>
        <w:rPr>
          <w:rFonts w:hint="eastAsia" w:ascii="仿宋_GB2312" w:hAnsi="仿宋_GB2312" w:eastAsia="仿宋_GB2312" w:cs="仿宋_GB2312"/>
          <w:snapToGrid w:val="0"/>
          <w:color w:val="auto"/>
          <w:sz w:val="32"/>
          <w:szCs w:val="32"/>
          <w:highlight w:val="yellow"/>
        </w:rPr>
        <w:t>咨询投诉举报电话等信息</w:t>
      </w:r>
      <w:r>
        <w:rPr>
          <w:rFonts w:hint="eastAsia" w:ascii="仿宋_GB2312" w:hAnsi="仿宋_GB2312" w:eastAsia="仿宋_GB2312" w:cs="仿宋_GB2312"/>
          <w:snapToGrid w:val="0"/>
          <w:color w:val="auto"/>
          <w:sz w:val="32"/>
          <w:szCs w:val="32"/>
          <w:highlight w:val="yellow"/>
          <w:lang w:eastAsia="zh-CN"/>
        </w:rPr>
        <w:t>。</w:t>
      </w:r>
    </w:p>
    <w:p w14:paraId="44CD858B">
      <w:pPr>
        <w:spacing w:line="600" w:lineRule="exact"/>
        <w:ind w:firstLine="800" w:firstLineChars="25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(二)组织机具投档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14:paraId="13F58627">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14:paraId="4EC8D5B7">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14:paraId="05BDDB52">
      <w:pPr>
        <w:widowControl/>
        <w:ind w:firstLine="960" w:firstLineChars="3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14:paraId="7D1D42D9">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六</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机具核验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鼓励基层农牧部门探索多种核验方式，提高补贴机具核验水平</w:t>
      </w:r>
      <w:r>
        <w:rPr>
          <w:rFonts w:hint="default" w:ascii="仿宋_GB2312" w:hAnsi="仿宋_GB2312" w:eastAsia="仿宋_GB2312" w:cs="仿宋_GB2312"/>
          <w:snapToGrid w:val="0"/>
          <w:color w:val="auto"/>
          <w:sz w:val="32"/>
          <w:szCs w:val="32"/>
          <w:highlight w:val="none"/>
          <w:lang w:val="en" w:eastAsia="zh-CN"/>
        </w:rPr>
        <w:t>和进度</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u w:val="none"/>
          <w:lang w:val="en-US" w:eastAsia="zh-CN"/>
        </w:rPr>
        <w:t>对部分机具设定以</w:t>
      </w:r>
      <w:r>
        <w:rPr>
          <w:rFonts w:hint="eastAsia" w:ascii="仿宋_GB2312" w:hAnsi="仿宋_GB2312" w:eastAsia="仿宋_GB2312" w:cs="仿宋_GB2312"/>
          <w:snapToGrid w:val="0"/>
          <w:color w:val="auto"/>
          <w:sz w:val="32"/>
          <w:szCs w:val="32"/>
          <w:highlight w:val="none"/>
          <w:u w:val="none"/>
          <w:lang w:val="en-US" w:eastAsia="zh-CN"/>
        </w:rPr>
        <w:t>完成规定作业面积或作业量作为核验的前提条件,具体机具种类以办理服务系统设置为准。</w:t>
      </w:r>
      <w:r>
        <w:rPr>
          <w:rFonts w:hint="eastAsia" w:ascii="仿宋_GB2312" w:hAnsi="仿宋_GB2312" w:eastAsia="仿宋_GB2312" w:cs="仿宋_GB2312"/>
          <w:snapToGrid w:val="0"/>
          <w:color w:val="auto"/>
          <w:sz w:val="32"/>
          <w:szCs w:val="32"/>
          <w:lang w:val="en-US" w:eastAsia="zh-CN"/>
        </w:rPr>
        <w:t>并探索打造农机管理干部、农机技术人员、第三方机构、有经验有意愿的农机使用一线“土专家”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w:t>
      </w:r>
      <w:r>
        <w:rPr>
          <w:rFonts w:hint="eastAsia" w:ascii="仿宋_GB2312" w:hAnsi="仿宋_GB2312" w:eastAsia="仿宋_GB2312" w:cs="仿宋_GB2312"/>
          <w:snapToGrid w:val="0"/>
          <w:color w:val="auto"/>
          <w:sz w:val="32"/>
          <w:szCs w:val="32"/>
          <w:u w:val="none"/>
          <w:lang w:val="en-US" w:eastAsia="zh-CN"/>
        </w:rPr>
        <w:t>对其他机具,各盟市可结合实际，确定抽查核验比例。对丘陵山区所用的量大面广的小型机具，可结合实际制定实施便利化可监测的核验方法;</w:t>
      </w:r>
      <w:r>
        <w:rPr>
          <w:rFonts w:hint="eastAsia" w:ascii="仿宋_GB2312" w:hAnsi="仿宋_GB2312" w:eastAsia="仿宋_GB2312" w:cs="仿宋_GB2312"/>
          <w:snapToGrid w:val="0"/>
          <w:color w:val="auto"/>
          <w:sz w:val="32"/>
          <w:szCs w:val="32"/>
          <w:lang w:val="en-US" w:eastAsia="zh-CN"/>
        </w:rPr>
        <w:t>对成套设施装备,农牧部门、财政部门可组织符合条件的第三方开展核验。</w:t>
      </w:r>
    </w:p>
    <w:p w14:paraId="3FE4BA82">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772ED4AD">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财政部门按照《内蒙古自治区财政厅 农牧厅关于创新惠农惠牧财政补贴资金发放直达机制的通知》（内财农</w:t>
      </w:r>
      <w:r>
        <w:rPr>
          <w:rFonts w:hint="eastAsia" w:ascii="仿宋_GB2312" w:hAnsi="仿宋_GB2312" w:eastAsia="仿宋_GB2312" w:cs="仿宋_GB2312"/>
          <w:color w:val="auto"/>
          <w:sz w:val="32"/>
          <w:szCs w:val="32"/>
        </w:rPr>
        <w:t>〔2024〕26号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规定的程序及时办理资金兑付工作</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兑付时限不得超过</w:t>
      </w:r>
      <w:r>
        <w:rPr>
          <w:rFonts w:hint="eastAsia" w:ascii="仿宋_GB2312" w:hAnsi="仿宋_GB2312" w:eastAsia="仿宋_GB2312" w:cs="仿宋_GB2312"/>
          <w:snapToGrid w:val="0"/>
          <w:color w:val="auto"/>
          <w:sz w:val="32"/>
          <w:szCs w:val="32"/>
        </w:rPr>
        <w:t>15个工作日。</w:t>
      </w:r>
      <w:r>
        <w:rPr>
          <w:rFonts w:hint="default" w:ascii="仿宋_GB2312" w:hAnsi="仿宋_GB2312" w:eastAsia="仿宋_GB2312" w:cs="仿宋_GB2312"/>
          <w:snapToGrid w:val="0"/>
          <w:color w:val="auto"/>
          <w:sz w:val="32"/>
          <w:szCs w:val="32"/>
          <w:highlight w:val="none"/>
          <w:u w:val="none"/>
          <w:lang w:val="en-US" w:eastAsia="zh-CN"/>
        </w:rPr>
        <w:t>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部门做细政策解读,告知并稳定购机者预期,同时联合向上报告资金供需情况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14:paraId="53FC39BA">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5D0E235C">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w:t>
      </w:r>
      <w:bookmarkStart w:id="0" w:name="_GoBack"/>
      <w:r>
        <w:rPr>
          <w:rFonts w:hint="eastAsia" w:ascii="仿宋_GB2312" w:hAnsi="仿宋_GB2312" w:eastAsia="仿宋_GB2312" w:cs="仿宋_GB2312"/>
          <w:snapToGrid w:val="0"/>
          <w:color w:val="auto"/>
          <w:sz w:val="32"/>
          <w:szCs w:val="32"/>
        </w:rPr>
        <w:t>购机者对其购置的补贴机具拥有所有权，自主使用，可依法处置。</w:t>
      </w:r>
      <w:bookmarkEnd w:id="0"/>
    </w:p>
    <w:p w14:paraId="745EFBF4">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2EC66F6D">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(一)加强领导，明确分工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深入落实盟市及以下农牧部门组织实施、</w:t>
      </w:r>
      <w:r>
        <w:rPr>
          <w:rFonts w:hint="default" w:ascii="仿宋_GB2312" w:hAnsi="仿宋_GB2312" w:eastAsia="仿宋_GB2312" w:cs="仿宋_GB2312"/>
          <w:snapToGrid w:val="0"/>
          <w:color w:val="auto"/>
          <w:sz w:val="32"/>
          <w:szCs w:val="32"/>
          <w:lang w:val="en-US" w:eastAsia="zh-CN"/>
        </w:rPr>
        <w:t>审核监管责任和财政部门资金兑付、资金监管责任。要加强绩效管理,形成管理闭环,切实提升政策实施管理工作能力水平</w:t>
      </w:r>
      <w:r>
        <w:rPr>
          <w:rFonts w:hint="eastAsia" w:ascii="仿宋_GB2312" w:hAnsi="仿宋_GB2312" w:eastAsia="仿宋_GB2312" w:cs="仿宋_GB2312"/>
          <w:snapToGrid w:val="0"/>
          <w:color w:val="auto"/>
          <w:sz w:val="32"/>
          <w:szCs w:val="32"/>
          <w:lang w:val="en-US" w:eastAsia="zh-CN"/>
        </w:rPr>
        <w:t>。</w:t>
      </w:r>
    </w:p>
    <w:p w14:paraId="189D0076">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w:t>
      </w:r>
      <w:r>
        <w:rPr>
          <w:rFonts w:hint="eastAsia" w:ascii="楷体_GB2312" w:hAnsi="楷体_GB2312" w:eastAsia="楷体_GB2312" w:cs="楷体_GB2312"/>
          <w:bCs/>
          <w:color w:val="auto"/>
          <w:sz w:val="32"/>
          <w:szCs w:val="32"/>
          <w:lang w:val="en-US" w:eastAsia="zh-CN"/>
        </w:rPr>
        <w:t>二</w:t>
      </w:r>
      <w:r>
        <w:rPr>
          <w:rFonts w:hint="default" w:ascii="楷体_GB2312" w:hAnsi="楷体_GB2312" w:eastAsia="楷体_GB2312" w:cs="楷体_GB2312"/>
          <w:bCs/>
          <w:color w:val="auto"/>
          <w:sz w:val="32"/>
          <w:szCs w:val="32"/>
          <w:lang w:val="en-US" w:eastAsia="zh-CN"/>
        </w:rPr>
        <w:t>)创新鉴定,强化支撑。</w:t>
      </w:r>
      <w:r>
        <w:rPr>
          <w:rFonts w:hint="default"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落实农机企业申请鉴定的属地管理责任,强化证前核查证后监督,按农业农村部、财政部有关要求,组织开展新能源农机(混合动力或电动等重点机具)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鉴定能力不足的,可委托外省有鉴定能力的机构鉴定,并组织相关鉴定机构和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联合有关部门加快提升农机试验鉴定(认证)及检验检测能力,加强鉴定(认证)证书及其采信的检验检测报告等投档资料规范性抽查,对多次或重复出现问题以及违规风险较大的鉴定( 认证) 机构,依法依规进行查处。建立健全鉴定(认证)补贴联动机制,对鉴定(认证)过程中发现的粗制滥造、可靠性差、适用性差、涉嫌非农用等异常情形,要及时形成工作清单,加强对有关企业的跟踪监管,严把鉴定(认证)证书发放关口;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销售使用的补贴机具进行抽查核验,发现问题的要及时调查处理,同时采取封闭措施,商属地财政部门后,暂停受理相关产品的补贴申请,并将相关情况发送有关鉴定(认证)机构。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强化抽查结果运用,将认证或检测工作质量较差的认证机构或第三方机构纳入“黑名单”,对其出具的认证结果或检测结果不予采信,并以适当方式通报,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14:paraId="2832F61B">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。各盟市要依托</w:t>
      </w:r>
      <w:r>
        <w:rPr>
          <w:rFonts w:hint="eastAsia" w:ascii="仿宋_GB2312" w:hAnsi="仿宋_GB2312" w:eastAsia="仿宋_GB2312" w:cs="仿宋_GB2312"/>
          <w:color w:val="auto"/>
          <w:sz w:val="32"/>
          <w:szCs w:val="32"/>
        </w:rPr>
        <w:t>办理服务系统</w:t>
      </w:r>
      <w:r>
        <w:rPr>
          <w:rFonts w:hint="eastAsia" w:ascii="仿宋_GB2312" w:hAnsi="仿宋_GB2312" w:eastAsia="仿宋_GB2312" w:cs="仿宋_GB2312"/>
          <w:snapToGrid w:val="0"/>
          <w:color w:val="auto"/>
          <w:sz w:val="32"/>
          <w:szCs w:val="32"/>
        </w:rPr>
        <w:t>动态分析旗县（区）农牧部门和财政部门办理补贴申请具体时限，及时预警和定期通报超时办理行为，督促各地切实加快补贴申请受理、资</w:t>
      </w:r>
      <w:r>
        <w:rPr>
          <w:rFonts w:hint="eastAsia" w:ascii="仿宋_GB2312" w:hAnsi="仿宋_GB2312" w:eastAsia="仿宋_GB2312" w:cs="仿宋_GB2312"/>
          <w:snapToGrid w:val="0"/>
          <w:color w:val="auto"/>
          <w:sz w:val="32"/>
          <w:szCs w:val="32"/>
          <w:lang w:eastAsia="zh-CN"/>
        </w:rPr>
        <w:t>料</w:t>
      </w:r>
      <w:r>
        <w:rPr>
          <w:rFonts w:hint="eastAsia" w:ascii="仿宋_GB2312" w:hAnsi="仿宋_GB2312" w:eastAsia="仿宋_GB2312" w:cs="仿宋_GB2312"/>
          <w:snapToGrid w:val="0"/>
          <w:color w:val="auto"/>
          <w:sz w:val="32"/>
          <w:szCs w:val="32"/>
        </w:rPr>
        <w:t>审核、机具核验、资金兑付等工作。畅通产业链供应链，营造良好营商环境，保障市场主体合法权益。提高补贴机具核验信息化水平，加快农机试验鉴定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14:paraId="6357569F">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)公开信息,接受监督。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民群众和农机企业的知情权、监督权。要健全完善农机购置与应用补贴信息公开专栏,按年度公告近三年县域内补贴受益信息,公开违规查处结果等信息,主动接受社会监督。</w:t>
      </w:r>
    </w:p>
    <w:p w14:paraId="664C9D7E">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)加强监管,严惩违规。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auto"/>
          <w:kern w:val="2"/>
          <w:sz w:val="32"/>
          <w:szCs w:val="32"/>
          <w:lang w:eastAsia="zh-CN"/>
        </w:rPr>
        <w:t>农业部办公厅</w:t>
      </w:r>
      <w:r>
        <w:rPr>
          <w:rFonts w:hint="eastAsia" w:ascii="仿宋_GB2312" w:hAnsi="仿宋_GB2312" w:eastAsia="仿宋_GB2312" w:cs="仿宋_GB2312"/>
          <w:snapToGrid w:val="0"/>
          <w:color w:val="auto"/>
          <w:kern w:val="2"/>
          <w:sz w:val="32"/>
          <w:szCs w:val="32"/>
        </w:rPr>
        <w:t>、财政</w:t>
      </w:r>
      <w:r>
        <w:rPr>
          <w:rFonts w:hint="eastAsia" w:ascii="仿宋_GB2312" w:hAnsi="仿宋_GB2312" w:eastAsia="仿宋_GB2312" w:cs="仿宋_GB2312"/>
          <w:snapToGrid w:val="0"/>
          <w:color w:val="auto"/>
          <w:kern w:val="2"/>
          <w:sz w:val="32"/>
          <w:szCs w:val="32"/>
          <w:lang w:eastAsia="zh-CN"/>
        </w:rPr>
        <w:t>部办公厅</w:t>
      </w:r>
      <w:r>
        <w:rPr>
          <w:rFonts w:hint="eastAsia" w:ascii="仿宋_GB2312" w:hAnsi="仿宋_GB2312" w:eastAsia="仿宋_GB2312" w:cs="仿宋_GB2312"/>
          <w:snapToGrid w:val="0"/>
          <w:color w:val="auto"/>
          <w:kern w:val="2"/>
          <w:sz w:val="32"/>
          <w:szCs w:val="32"/>
        </w:rPr>
        <w:t>关于印发〈</w:t>
      </w:r>
      <w:r>
        <w:rPr>
          <w:rFonts w:hint="eastAsia" w:ascii="仿宋_GB2312" w:hAnsi="仿宋_GB2312" w:eastAsia="仿宋_GB2312" w:cs="仿宋_GB2312"/>
          <w:snapToGrid w:val="0"/>
          <w:color w:val="auto"/>
          <w:kern w:val="2"/>
          <w:sz w:val="32"/>
          <w:szCs w:val="32"/>
          <w:lang w:eastAsia="zh-CN"/>
        </w:rPr>
        <w:t>农业机械购置</w:t>
      </w:r>
      <w:r>
        <w:rPr>
          <w:rFonts w:hint="eastAsia" w:ascii="仿宋_GB2312" w:hAnsi="仿宋_GB2312" w:eastAsia="仿宋_GB2312" w:cs="仿宋_GB2312"/>
          <w:snapToGrid w:val="0"/>
          <w:color w:val="auto"/>
          <w:kern w:val="2"/>
          <w:sz w:val="32"/>
          <w:szCs w:val="32"/>
        </w:rPr>
        <w:t>补贴产品违规经营行为处理办法（试行）〉的通知》（</w:t>
      </w:r>
      <w:r>
        <w:rPr>
          <w:rFonts w:hint="eastAsia" w:ascii="仿宋_GB2312" w:hAnsi="仿宋_GB2312" w:eastAsia="仿宋_GB2312" w:cs="仿宋_GB2312"/>
          <w:snapToGrid w:val="0"/>
          <w:color w:val="auto"/>
          <w:kern w:val="2"/>
          <w:sz w:val="32"/>
          <w:szCs w:val="32"/>
          <w:lang w:eastAsia="zh-CN"/>
        </w:rPr>
        <w:t>农办财</w:t>
      </w:r>
      <w:r>
        <w:rPr>
          <w:rFonts w:hint="eastAsia" w:ascii="仿宋_GB2312" w:hAnsi="仿宋_GB2312" w:eastAsia="仿宋_GB2312" w:cs="仿宋_GB2312"/>
          <w:snapToGrid w:val="0"/>
          <w:color w:val="auto"/>
          <w:kern w:val="2"/>
          <w:sz w:val="32"/>
          <w:szCs w:val="32"/>
        </w:rPr>
        <w:t>〔2017〕</w:t>
      </w:r>
      <w:r>
        <w:rPr>
          <w:rFonts w:hint="eastAsia" w:ascii="仿宋_GB2312" w:hAnsi="仿宋_GB2312" w:eastAsia="仿宋_GB2312" w:cs="仿宋_GB2312"/>
          <w:snapToGrid w:val="0"/>
          <w:color w:val="auto"/>
          <w:kern w:val="2"/>
          <w:sz w:val="32"/>
          <w:szCs w:val="32"/>
          <w:lang w:val="en-US" w:eastAsia="zh-CN"/>
        </w:rPr>
        <w:t>26</w:t>
      </w:r>
      <w:r>
        <w:rPr>
          <w:rFonts w:hint="eastAsia" w:ascii="仿宋_GB2312" w:hAnsi="仿宋_GB2312" w:eastAsia="仿宋_GB2312" w:cs="仿宋_GB2312"/>
          <w:snapToGrid w:val="0"/>
          <w:color w:val="auto"/>
          <w:kern w:val="2"/>
          <w:sz w:val="32"/>
          <w:szCs w:val="32"/>
        </w:rPr>
        <w:t>号）要求</w:t>
      </w:r>
      <w:r>
        <w:rPr>
          <w:rFonts w:hint="eastAsia" w:ascii="仿宋_GB2312" w:hAnsi="仿宋_GB2312" w:eastAsia="仿宋_GB2312" w:cs="仿宋_GB2312"/>
          <w:snapToGrid w:val="0"/>
          <w:color w:val="auto"/>
          <w:sz w:val="32"/>
          <w:szCs w:val="32"/>
        </w:rPr>
        <w:t>,严格落实属地管理责任,加强风险防控和异常情形主动报告,更加严格实施信用管理和农机产销企业承诺制。要充分发挥专业机构的技术优势和大数据的信息优势,有效开展违规行为全流程分析排查,强化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和财政部门牵头,其他部门支持的联合查处和省际联动处理,对违法违规行为保持“零容忍”高压态势,从严整治违法违规行为,涉嫌犯罪的,移交司法机关予以查处,有力维护政策实施良好秩序。</w:t>
      </w:r>
    </w:p>
    <w:p w14:paraId="6CB0BD80">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各盟市农牧部门、财政部门要根据本实施方案，结合实际制定本盟市2024—2026年农机购置与应用补贴实施方案，并抄报自治区农牧厅、财政厅。每年12月5日前，要将全年农机购置与应用补贴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rPr>
        <w:t>实施总结</w:t>
      </w:r>
      <w:r>
        <w:rPr>
          <w:rFonts w:hint="eastAsia" w:ascii="仿宋_GB2312" w:hAnsi="仿宋_GB2312" w:eastAsia="仿宋_GB2312" w:cs="仿宋_GB2312"/>
          <w:snapToGrid w:val="0"/>
          <w:color w:val="auto"/>
          <w:sz w:val="32"/>
          <w:szCs w:val="32"/>
          <w:lang w:val="en-US" w:eastAsia="zh-CN"/>
        </w:rPr>
        <w:t>报告报送</w:t>
      </w:r>
      <w:r>
        <w:rPr>
          <w:rFonts w:hint="eastAsia" w:ascii="仿宋_GB2312" w:hAnsi="仿宋_GB2312" w:eastAsia="仿宋_GB2312" w:cs="仿宋_GB2312"/>
          <w:snapToGrid w:val="0"/>
          <w:color w:val="auto"/>
          <w:sz w:val="32"/>
          <w:szCs w:val="32"/>
        </w:rPr>
        <w:t>自治区农牧厅、财政厅。</w:t>
      </w:r>
    </w:p>
    <w:p w14:paraId="231C2FD5">
      <w:pPr>
        <w:ind w:firstLine="640" w:firstLineChars="200"/>
        <w:jc w:val="both"/>
        <w:rPr>
          <w:rFonts w:hint="eastAsia" w:ascii="仿宋_GB2312" w:hAnsi="仿宋_GB2312" w:eastAsia="仿宋_GB2312" w:cs="仿宋_GB2312"/>
          <w:snapToGrid w:val="0"/>
          <w:color w:val="auto"/>
          <w:kern w:val="2"/>
          <w:sz w:val="32"/>
          <w:szCs w:val="32"/>
          <w:lang w:eastAsia="zh-CN"/>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14:paraId="7D92D809">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14:paraId="0D5C60A1">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14:paraId="6E96DEBC">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14:paraId="1CCAADE9">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14:paraId="185D8D42">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2.内蒙古销售补贴机具基本信息单</w:t>
      </w:r>
    </w:p>
    <w:p w14:paraId="3A8997A2">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highlight w:val="yellow"/>
        </w:rPr>
      </w:pPr>
    </w:p>
    <w:p w14:paraId="5D1A1A49">
      <w:pPr>
        <w:rPr>
          <w:rFonts w:ascii="宋体" w:hAnsi="宋体" w:eastAsia="宋体" w:cs="宋体"/>
          <w:color w:val="auto"/>
          <w:kern w:val="0"/>
          <w:sz w:val="24"/>
        </w:rPr>
      </w:pPr>
    </w:p>
    <w:p w14:paraId="09274035">
      <w:pPr>
        <w:rPr>
          <w:rFonts w:ascii="宋体" w:hAnsi="宋体" w:eastAsia="宋体" w:cs="宋体"/>
          <w:color w:val="auto"/>
          <w:kern w:val="0"/>
          <w:sz w:val="24"/>
        </w:rPr>
      </w:pPr>
    </w:p>
    <w:p w14:paraId="603539DE">
      <w:pPr>
        <w:rPr>
          <w:rFonts w:ascii="宋体" w:hAnsi="宋体" w:eastAsia="宋体" w:cs="宋体"/>
          <w:color w:val="auto"/>
          <w:kern w:val="0"/>
          <w:sz w:val="24"/>
        </w:rPr>
      </w:pPr>
    </w:p>
    <w:p w14:paraId="769A0EC3">
      <w:pPr>
        <w:rPr>
          <w:rFonts w:ascii="宋体" w:hAnsi="宋体" w:eastAsia="宋体" w:cs="宋体"/>
          <w:color w:val="auto"/>
          <w:kern w:val="0"/>
          <w:sz w:val="24"/>
        </w:rPr>
      </w:pPr>
    </w:p>
    <w:p w14:paraId="10E9FBFF">
      <w:pPr>
        <w:rPr>
          <w:rFonts w:ascii="宋体" w:hAnsi="宋体" w:eastAsia="宋体" w:cs="宋体"/>
          <w:color w:val="auto"/>
          <w:kern w:val="0"/>
          <w:sz w:val="24"/>
        </w:rPr>
      </w:pPr>
    </w:p>
    <w:p w14:paraId="5A701A0D">
      <w:pPr>
        <w:rPr>
          <w:rFonts w:ascii="宋体" w:hAnsi="宋体" w:eastAsia="宋体" w:cs="宋体"/>
          <w:color w:val="auto"/>
          <w:kern w:val="0"/>
          <w:sz w:val="24"/>
        </w:rPr>
      </w:pPr>
    </w:p>
    <w:p w14:paraId="38FA5E71">
      <w:pPr>
        <w:rPr>
          <w:rFonts w:ascii="宋体" w:hAnsi="宋体" w:eastAsia="宋体" w:cs="宋体"/>
          <w:color w:val="auto"/>
          <w:kern w:val="0"/>
          <w:sz w:val="24"/>
        </w:rPr>
      </w:pPr>
    </w:p>
    <w:p w14:paraId="11779C5C">
      <w:pPr>
        <w:rPr>
          <w:rFonts w:ascii="宋体" w:hAnsi="宋体" w:eastAsia="宋体" w:cs="宋体"/>
          <w:color w:val="auto"/>
          <w:kern w:val="0"/>
          <w:sz w:val="24"/>
        </w:rPr>
      </w:pPr>
    </w:p>
    <w:p w14:paraId="73C968B7">
      <w:pPr>
        <w:rPr>
          <w:rFonts w:ascii="宋体" w:hAnsi="宋体" w:eastAsia="宋体" w:cs="宋体"/>
          <w:color w:val="auto"/>
          <w:kern w:val="0"/>
          <w:sz w:val="24"/>
        </w:rPr>
      </w:pPr>
    </w:p>
    <w:p w14:paraId="3A1486FB">
      <w:pPr>
        <w:rPr>
          <w:rFonts w:ascii="宋体" w:hAnsi="宋体" w:eastAsia="宋体" w:cs="宋体"/>
          <w:color w:val="auto"/>
          <w:kern w:val="0"/>
          <w:sz w:val="24"/>
        </w:rPr>
      </w:pPr>
    </w:p>
    <w:p w14:paraId="5FD54DAF">
      <w:pPr>
        <w:rPr>
          <w:rFonts w:ascii="宋体" w:hAnsi="宋体" w:eastAsia="宋体" w:cs="宋体"/>
          <w:color w:val="auto"/>
          <w:kern w:val="0"/>
          <w:sz w:val="24"/>
        </w:rPr>
      </w:pPr>
    </w:p>
    <w:p w14:paraId="0E496C1B">
      <w:pPr>
        <w:rPr>
          <w:rFonts w:ascii="宋体" w:hAnsi="宋体" w:eastAsia="宋体" w:cs="宋体"/>
          <w:color w:val="auto"/>
          <w:kern w:val="0"/>
          <w:sz w:val="24"/>
        </w:rPr>
      </w:pPr>
    </w:p>
    <w:p w14:paraId="2B08A456">
      <w:pPr>
        <w:rPr>
          <w:rFonts w:ascii="宋体" w:hAnsi="宋体" w:eastAsia="宋体" w:cs="宋体"/>
          <w:color w:val="auto"/>
          <w:kern w:val="0"/>
          <w:sz w:val="24"/>
        </w:rPr>
      </w:pPr>
    </w:p>
    <w:p w14:paraId="28F8C730">
      <w:pPr>
        <w:rPr>
          <w:rFonts w:ascii="宋体" w:hAnsi="宋体" w:eastAsia="宋体" w:cs="宋体"/>
          <w:color w:val="auto"/>
          <w:kern w:val="0"/>
          <w:sz w:val="24"/>
        </w:rPr>
      </w:pPr>
    </w:p>
    <w:p w14:paraId="7AC6EE7C">
      <w:pPr>
        <w:rPr>
          <w:rFonts w:ascii="宋体" w:hAnsi="宋体" w:eastAsia="宋体" w:cs="宋体"/>
          <w:color w:val="auto"/>
          <w:kern w:val="0"/>
          <w:sz w:val="24"/>
        </w:rPr>
      </w:pPr>
    </w:p>
    <w:p w14:paraId="5BDD0E0C">
      <w:pPr>
        <w:rPr>
          <w:rFonts w:ascii="宋体" w:hAnsi="宋体" w:eastAsia="宋体" w:cs="宋体"/>
          <w:color w:val="auto"/>
          <w:kern w:val="0"/>
          <w:sz w:val="24"/>
        </w:rPr>
      </w:pPr>
    </w:p>
    <w:p w14:paraId="016D08F0">
      <w:pPr>
        <w:rPr>
          <w:rFonts w:ascii="宋体" w:hAnsi="宋体" w:eastAsia="宋体" w:cs="宋体"/>
          <w:color w:val="auto"/>
          <w:kern w:val="0"/>
          <w:sz w:val="24"/>
        </w:rPr>
      </w:pPr>
    </w:p>
    <w:p w14:paraId="462F7590">
      <w:pPr>
        <w:rPr>
          <w:rFonts w:ascii="宋体" w:hAnsi="宋体" w:eastAsia="宋体" w:cs="宋体"/>
          <w:color w:val="auto"/>
          <w:kern w:val="0"/>
          <w:sz w:val="24"/>
        </w:rPr>
      </w:pPr>
    </w:p>
    <w:p w14:paraId="7C3B0064">
      <w:pPr>
        <w:rPr>
          <w:rFonts w:ascii="宋体" w:hAnsi="宋体" w:eastAsia="宋体" w:cs="宋体"/>
          <w:color w:val="auto"/>
          <w:kern w:val="0"/>
          <w:sz w:val="24"/>
        </w:rPr>
      </w:pPr>
    </w:p>
    <w:p w14:paraId="4C0BD6C1">
      <w:pPr>
        <w:rPr>
          <w:rFonts w:hint="eastAsia" w:ascii="黑体" w:hAnsi="黑体" w:eastAsia="黑体" w:cs="黑体"/>
          <w:color w:val="auto"/>
          <w:kern w:val="0"/>
          <w:sz w:val="32"/>
          <w:szCs w:val="32"/>
        </w:rPr>
      </w:pPr>
    </w:p>
    <w:p w14:paraId="6BEEFDE6">
      <w:pPr>
        <w:rPr>
          <w:rFonts w:hint="eastAsia" w:ascii="黑体" w:hAnsi="黑体" w:eastAsia="黑体" w:cs="黑体"/>
          <w:color w:val="auto"/>
          <w:kern w:val="0"/>
          <w:sz w:val="32"/>
          <w:szCs w:val="32"/>
        </w:rPr>
      </w:pPr>
    </w:p>
    <w:p w14:paraId="19EECBC6">
      <w:pPr>
        <w:rPr>
          <w:rFonts w:hint="eastAsia" w:ascii="黑体" w:hAnsi="黑体" w:eastAsia="黑体" w:cs="黑体"/>
          <w:color w:val="auto"/>
          <w:kern w:val="0"/>
          <w:sz w:val="32"/>
          <w:szCs w:val="32"/>
        </w:rPr>
      </w:pPr>
    </w:p>
    <w:p w14:paraId="49086D1B">
      <w:pPr>
        <w:rPr>
          <w:rFonts w:hint="eastAsia" w:ascii="黑体" w:hAnsi="黑体" w:eastAsia="黑体" w:cs="黑体"/>
          <w:color w:val="auto"/>
          <w:kern w:val="0"/>
          <w:sz w:val="32"/>
          <w:szCs w:val="32"/>
        </w:rPr>
      </w:pPr>
    </w:p>
    <w:p w14:paraId="1544FB81">
      <w:pPr>
        <w:rPr>
          <w:rFonts w:hint="eastAsia" w:ascii="黑体" w:hAnsi="黑体" w:eastAsia="黑体" w:cs="黑体"/>
          <w:color w:val="auto"/>
          <w:kern w:val="0"/>
          <w:sz w:val="32"/>
          <w:szCs w:val="32"/>
        </w:rPr>
      </w:pPr>
    </w:p>
    <w:p w14:paraId="16FB7887">
      <w:pPr>
        <w:rPr>
          <w:rFonts w:hint="eastAsia" w:ascii="黑体" w:hAnsi="黑体" w:eastAsia="黑体" w:cs="黑体"/>
          <w:color w:val="auto"/>
          <w:kern w:val="0"/>
          <w:sz w:val="32"/>
          <w:szCs w:val="32"/>
        </w:rPr>
      </w:pPr>
    </w:p>
    <w:p w14:paraId="3BC48916">
      <w:pPr>
        <w:rPr>
          <w:rFonts w:hint="eastAsia" w:ascii="黑体" w:hAnsi="黑体" w:eastAsia="黑体" w:cs="黑体"/>
          <w:color w:val="auto"/>
          <w:kern w:val="0"/>
          <w:sz w:val="32"/>
          <w:szCs w:val="32"/>
        </w:rPr>
      </w:pPr>
    </w:p>
    <w:p w14:paraId="4539D6E9">
      <w:pPr>
        <w:rPr>
          <w:rFonts w:hint="eastAsia" w:ascii="黑体" w:hAnsi="黑体" w:eastAsia="黑体" w:cs="黑体"/>
          <w:color w:val="auto"/>
          <w:kern w:val="0"/>
          <w:sz w:val="32"/>
          <w:szCs w:val="32"/>
        </w:rPr>
      </w:pPr>
    </w:p>
    <w:p w14:paraId="1EB3CADF">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667A032B">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17038B13">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5778154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7A1B3F3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536A442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589A13C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1719315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2107FD6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312DE89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3211B64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264DFA1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2325B06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058EFD0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46AD748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1E5E9F3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24C7E57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4102A32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509680B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00E6B6A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39ABA2A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0797B09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67FBB8C5">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18FE8A2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423556B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7F70498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521F79F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03A2712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4ACC345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6157F2B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7B1A12B0">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0CCB648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4BC0B79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7D1BB2C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4BEB5A4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4005DD2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5AEBCB8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464B1FB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453CA26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2628A1D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661DA921">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14:paraId="01AA2D0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3D26CD22">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7CF53B89">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05B0D2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324AF90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7F6ED3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21880E5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31A0660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6E40EBB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3085D07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4D6DA21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1D0306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4A0CD314">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114F0F30">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1993093E">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2A14895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67C02F3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37E6D3A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51245C7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70D0C41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4B79AF9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2EB1E46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45C10C9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18C6EB6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6AB9FF7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0831CA9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3497AEB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6FA0D6E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208A4E3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108957A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17C0662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10ACB2AB">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12E612D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1FAED41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0B0083C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4ABF513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553CF95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6BDFCA3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77D9C419">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14:paraId="3180753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1F833FE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2E36D84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22E0F19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71DAE2D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32F2C2E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4B4C5E6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7D2290F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42639D3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00D4939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0FA6189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21B8360E">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78EFA1F9">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171925F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45F21F1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209E39E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131CBF6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5FAD17A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1F363AD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11C1770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2DA783F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162B00D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14:paraId="671FF4A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5948CA7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5743D0C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56D458A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79589AA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2C549BC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0A07ED2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5CCB563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70E9C17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2D1A701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4B9B375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7018778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2111E34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2712F75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09D0EB5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5FA3E05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33FC32C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410B5B7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688B2B3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10DEAB2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320CC156">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5590F67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30D19B36">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3085CA71">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6D158F2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6547023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20C0E4F4">
      <w:pPr>
        <w:widowControl/>
        <w:numPr>
          <w:ilvl w:val="0"/>
          <w:numId w:val="2"/>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0D5D0376">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4D55247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7481044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510924F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6B8B352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3811AF41">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541CDA0B">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6958CFD3">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7B0A6145">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0383B8D3">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23EE0307">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687E11D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6147EAB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25496A9B">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373C1547">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479C10EE">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768D45C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62569E6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0815304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1F48E5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0F7AF1B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277583A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58C254A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6C825C9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0B63623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4B467A4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1464F18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7A5CB10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4FDDD27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02B1808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4DE33F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2F41262C">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50691090">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08BA9A0E">
      <w:pPr>
        <w:rPr>
          <w:rFonts w:hint="eastAsia" w:ascii="黑体" w:hAnsi="黑体" w:eastAsia="黑体" w:cs="黑体"/>
          <w:color w:val="auto"/>
          <w:kern w:val="0"/>
          <w:sz w:val="32"/>
          <w:szCs w:val="32"/>
        </w:rPr>
      </w:pPr>
    </w:p>
    <w:p w14:paraId="3A43AE7F">
      <w:pPr>
        <w:rPr>
          <w:rFonts w:hint="eastAsia" w:ascii="黑体" w:hAnsi="黑体" w:eastAsia="黑体" w:cs="黑体"/>
          <w:color w:val="auto"/>
          <w:kern w:val="0"/>
          <w:sz w:val="32"/>
          <w:szCs w:val="32"/>
        </w:rPr>
      </w:pPr>
    </w:p>
    <w:p w14:paraId="497B25BB">
      <w:pPr>
        <w:rPr>
          <w:rFonts w:hint="eastAsia" w:ascii="黑体" w:hAnsi="黑体" w:eastAsia="黑体" w:cs="黑体"/>
          <w:color w:val="auto"/>
          <w:kern w:val="0"/>
          <w:sz w:val="32"/>
          <w:szCs w:val="32"/>
        </w:rPr>
      </w:pPr>
    </w:p>
    <w:p w14:paraId="7445FFF0">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3205205D">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2DF76C5D">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6AAB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461AB9E">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73098C07">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6067808B">
            <w:pPr>
              <w:spacing w:line="400" w:lineRule="exact"/>
              <w:jc w:val="center"/>
              <w:rPr>
                <w:rFonts w:eastAsia="黑体"/>
                <w:color w:val="auto"/>
                <w:sz w:val="28"/>
                <w:szCs w:val="28"/>
              </w:rPr>
            </w:pPr>
            <w:r>
              <w:rPr>
                <w:rFonts w:eastAsia="黑体"/>
                <w:color w:val="auto"/>
                <w:sz w:val="28"/>
                <w:szCs w:val="28"/>
              </w:rPr>
              <w:t>备注</w:t>
            </w:r>
          </w:p>
        </w:tc>
      </w:tr>
      <w:tr w14:paraId="5B9B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BFE5C87">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22D9FEB4">
            <w:pPr>
              <w:spacing w:line="400" w:lineRule="exact"/>
              <w:rPr>
                <w:rFonts w:eastAsia="仿宋_GB2312"/>
                <w:color w:val="auto"/>
                <w:sz w:val="28"/>
                <w:szCs w:val="28"/>
              </w:rPr>
            </w:pPr>
          </w:p>
        </w:tc>
      </w:tr>
      <w:tr w14:paraId="4377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BC18090">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72082593">
            <w:pPr>
              <w:spacing w:line="400" w:lineRule="exact"/>
              <w:rPr>
                <w:rFonts w:eastAsia="仿宋_GB2312"/>
                <w:color w:val="auto"/>
                <w:sz w:val="28"/>
                <w:szCs w:val="28"/>
              </w:rPr>
            </w:pPr>
          </w:p>
        </w:tc>
        <w:tc>
          <w:tcPr>
            <w:tcW w:w="1074" w:type="dxa"/>
            <w:noWrap/>
          </w:tcPr>
          <w:p w14:paraId="337D862D">
            <w:pPr>
              <w:spacing w:line="400" w:lineRule="exact"/>
              <w:rPr>
                <w:rFonts w:eastAsia="仿宋_GB2312"/>
                <w:color w:val="auto"/>
                <w:sz w:val="28"/>
                <w:szCs w:val="28"/>
              </w:rPr>
            </w:pPr>
          </w:p>
        </w:tc>
      </w:tr>
      <w:tr w14:paraId="6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C04C5EB">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6C51DC05">
            <w:pPr>
              <w:spacing w:line="400" w:lineRule="exact"/>
              <w:rPr>
                <w:rFonts w:eastAsia="仿宋_GB2312"/>
                <w:color w:val="auto"/>
                <w:sz w:val="28"/>
                <w:szCs w:val="28"/>
              </w:rPr>
            </w:pPr>
          </w:p>
        </w:tc>
        <w:tc>
          <w:tcPr>
            <w:tcW w:w="1074" w:type="dxa"/>
            <w:noWrap/>
          </w:tcPr>
          <w:p w14:paraId="14FBCD3F">
            <w:pPr>
              <w:spacing w:line="400" w:lineRule="exact"/>
              <w:rPr>
                <w:rFonts w:eastAsia="仿宋_GB2312"/>
                <w:color w:val="auto"/>
                <w:sz w:val="28"/>
                <w:szCs w:val="28"/>
              </w:rPr>
            </w:pPr>
          </w:p>
        </w:tc>
      </w:tr>
      <w:tr w14:paraId="702A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64B3109">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7967EF98">
            <w:pPr>
              <w:spacing w:line="400" w:lineRule="exact"/>
              <w:rPr>
                <w:rFonts w:eastAsia="仿宋_GB2312"/>
                <w:color w:val="auto"/>
                <w:sz w:val="28"/>
                <w:szCs w:val="28"/>
              </w:rPr>
            </w:pPr>
          </w:p>
        </w:tc>
        <w:tc>
          <w:tcPr>
            <w:tcW w:w="1074" w:type="dxa"/>
            <w:noWrap/>
          </w:tcPr>
          <w:p w14:paraId="00AEF2E4">
            <w:pPr>
              <w:spacing w:line="400" w:lineRule="exact"/>
              <w:rPr>
                <w:rFonts w:eastAsia="仿宋_GB2312"/>
                <w:color w:val="auto"/>
                <w:sz w:val="28"/>
                <w:szCs w:val="28"/>
              </w:rPr>
            </w:pPr>
          </w:p>
        </w:tc>
      </w:tr>
      <w:tr w14:paraId="0A9A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9DACDE0">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42397AE5">
            <w:pPr>
              <w:spacing w:line="400" w:lineRule="exact"/>
              <w:rPr>
                <w:rFonts w:eastAsia="仿宋_GB2312"/>
                <w:color w:val="auto"/>
                <w:sz w:val="28"/>
                <w:szCs w:val="28"/>
              </w:rPr>
            </w:pPr>
          </w:p>
        </w:tc>
        <w:tc>
          <w:tcPr>
            <w:tcW w:w="1074" w:type="dxa"/>
            <w:noWrap/>
          </w:tcPr>
          <w:p w14:paraId="2959C97A">
            <w:pPr>
              <w:spacing w:line="400" w:lineRule="exact"/>
              <w:rPr>
                <w:rFonts w:eastAsia="仿宋_GB2312"/>
                <w:color w:val="auto"/>
                <w:sz w:val="28"/>
                <w:szCs w:val="28"/>
              </w:rPr>
            </w:pPr>
          </w:p>
        </w:tc>
      </w:tr>
      <w:tr w14:paraId="2EEB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094FAA6">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7615EE8F">
            <w:pPr>
              <w:spacing w:line="400" w:lineRule="exact"/>
              <w:rPr>
                <w:rFonts w:eastAsia="仿宋_GB2312"/>
                <w:color w:val="auto"/>
                <w:sz w:val="28"/>
                <w:szCs w:val="28"/>
              </w:rPr>
            </w:pPr>
          </w:p>
        </w:tc>
        <w:tc>
          <w:tcPr>
            <w:tcW w:w="1074" w:type="dxa"/>
            <w:noWrap/>
          </w:tcPr>
          <w:p w14:paraId="4A11087C">
            <w:pPr>
              <w:spacing w:line="400" w:lineRule="exact"/>
              <w:rPr>
                <w:rFonts w:eastAsia="仿宋_GB2312"/>
                <w:color w:val="auto"/>
                <w:sz w:val="28"/>
                <w:szCs w:val="28"/>
              </w:rPr>
            </w:pPr>
          </w:p>
        </w:tc>
      </w:tr>
      <w:tr w14:paraId="4BA0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4469BE9">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30BED101">
            <w:pPr>
              <w:spacing w:line="400" w:lineRule="exact"/>
              <w:rPr>
                <w:rFonts w:eastAsia="仿宋_GB2312"/>
                <w:color w:val="auto"/>
                <w:sz w:val="28"/>
                <w:szCs w:val="28"/>
              </w:rPr>
            </w:pPr>
          </w:p>
        </w:tc>
        <w:tc>
          <w:tcPr>
            <w:tcW w:w="1074" w:type="dxa"/>
            <w:noWrap/>
          </w:tcPr>
          <w:p w14:paraId="2191F4FD">
            <w:pPr>
              <w:spacing w:line="400" w:lineRule="exact"/>
              <w:rPr>
                <w:rFonts w:eastAsia="仿宋_GB2312"/>
                <w:color w:val="auto"/>
                <w:sz w:val="28"/>
                <w:szCs w:val="28"/>
              </w:rPr>
            </w:pPr>
          </w:p>
        </w:tc>
      </w:tr>
      <w:tr w14:paraId="025D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C5A5F08">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3CB1AC57">
            <w:pPr>
              <w:spacing w:line="400" w:lineRule="exact"/>
              <w:rPr>
                <w:rFonts w:eastAsia="仿宋_GB2312"/>
                <w:color w:val="auto"/>
                <w:sz w:val="28"/>
                <w:szCs w:val="28"/>
              </w:rPr>
            </w:pPr>
          </w:p>
        </w:tc>
        <w:tc>
          <w:tcPr>
            <w:tcW w:w="1074" w:type="dxa"/>
            <w:noWrap/>
          </w:tcPr>
          <w:p w14:paraId="01F6731D">
            <w:pPr>
              <w:spacing w:line="400" w:lineRule="exact"/>
              <w:rPr>
                <w:rFonts w:eastAsia="仿宋_GB2312"/>
                <w:color w:val="auto"/>
                <w:sz w:val="28"/>
                <w:szCs w:val="28"/>
              </w:rPr>
            </w:pPr>
          </w:p>
        </w:tc>
      </w:tr>
      <w:tr w14:paraId="1136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3DC743D">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6AC16C85">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62D98C93">
            <w:pPr>
              <w:spacing w:line="400" w:lineRule="exact"/>
              <w:rPr>
                <w:rFonts w:eastAsia="仿宋_GB2312"/>
                <w:color w:val="auto"/>
                <w:sz w:val="28"/>
                <w:szCs w:val="28"/>
              </w:rPr>
            </w:pPr>
          </w:p>
        </w:tc>
      </w:tr>
      <w:tr w14:paraId="146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2EB4095">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00C68821">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61122654">
            <w:pPr>
              <w:spacing w:line="400" w:lineRule="exact"/>
              <w:rPr>
                <w:rFonts w:eastAsia="仿宋_GB2312"/>
                <w:color w:val="auto"/>
                <w:sz w:val="28"/>
                <w:szCs w:val="28"/>
              </w:rPr>
            </w:pPr>
          </w:p>
        </w:tc>
      </w:tr>
      <w:tr w14:paraId="21E2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582D884">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558793E9">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386D6B07">
            <w:pPr>
              <w:spacing w:line="400" w:lineRule="exact"/>
              <w:rPr>
                <w:rFonts w:eastAsia="仿宋_GB2312"/>
                <w:color w:val="auto"/>
                <w:sz w:val="28"/>
                <w:szCs w:val="28"/>
              </w:rPr>
            </w:pPr>
          </w:p>
        </w:tc>
        <w:tc>
          <w:tcPr>
            <w:tcW w:w="943" w:type="dxa"/>
            <w:noWrap/>
          </w:tcPr>
          <w:p w14:paraId="6A8EED1E">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79641EA0">
            <w:pPr>
              <w:spacing w:line="400" w:lineRule="exact"/>
              <w:rPr>
                <w:rFonts w:eastAsia="仿宋_GB2312"/>
                <w:color w:val="auto"/>
                <w:sz w:val="28"/>
                <w:szCs w:val="28"/>
              </w:rPr>
            </w:pPr>
          </w:p>
        </w:tc>
        <w:tc>
          <w:tcPr>
            <w:tcW w:w="1074" w:type="dxa"/>
            <w:noWrap/>
          </w:tcPr>
          <w:p w14:paraId="22BC06C0">
            <w:pPr>
              <w:spacing w:line="400" w:lineRule="exact"/>
              <w:rPr>
                <w:rFonts w:eastAsia="仿宋_GB2312"/>
                <w:color w:val="auto"/>
                <w:sz w:val="28"/>
                <w:szCs w:val="28"/>
              </w:rPr>
            </w:pPr>
          </w:p>
        </w:tc>
      </w:tr>
      <w:tr w14:paraId="406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E01E792">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7FBFACFA">
            <w:pPr>
              <w:spacing w:line="400" w:lineRule="exact"/>
              <w:rPr>
                <w:rFonts w:eastAsia="仿宋_GB2312"/>
                <w:color w:val="auto"/>
                <w:sz w:val="28"/>
                <w:szCs w:val="28"/>
              </w:rPr>
            </w:pPr>
          </w:p>
        </w:tc>
        <w:tc>
          <w:tcPr>
            <w:tcW w:w="1074" w:type="dxa"/>
            <w:noWrap/>
          </w:tcPr>
          <w:p w14:paraId="61EECB57">
            <w:pPr>
              <w:spacing w:line="400" w:lineRule="exact"/>
              <w:rPr>
                <w:rFonts w:eastAsia="仿宋_GB2312"/>
                <w:color w:val="auto"/>
                <w:sz w:val="28"/>
                <w:szCs w:val="28"/>
              </w:rPr>
            </w:pPr>
          </w:p>
        </w:tc>
      </w:tr>
      <w:tr w14:paraId="4283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5705C30F">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1149C54B">
            <w:pPr>
              <w:spacing w:line="400" w:lineRule="exact"/>
              <w:rPr>
                <w:rFonts w:eastAsia="仿宋_GB2312"/>
                <w:color w:val="auto"/>
                <w:sz w:val="28"/>
                <w:szCs w:val="28"/>
              </w:rPr>
            </w:pPr>
          </w:p>
        </w:tc>
      </w:tr>
    </w:tbl>
    <w:p w14:paraId="5B0C5C3C">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25B79208">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6400ACDC">
      <w:pPr>
        <w:ind w:firstLine="480" w:firstLineChars="200"/>
        <w:rPr>
          <w:rFonts w:ascii="黑体" w:hAnsi="黑体" w:eastAsia="黑体" w:cs="黑体"/>
          <w:color w:val="auto"/>
          <w:kern w:val="0"/>
          <w:sz w:val="32"/>
          <w:szCs w:val="32"/>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p w14:paraId="4641CD30">
      <w:pPr>
        <w:rPr>
          <w:rFonts w:ascii="宋体" w:hAnsi="宋体" w:eastAsia="宋体" w:cs="宋体"/>
          <w:color w:val="auto"/>
          <w:kern w:val="0"/>
          <w:sz w:val="24"/>
        </w:rPr>
      </w:pPr>
    </w:p>
    <w:p w14:paraId="2551A069">
      <w:pPr>
        <w:rPr>
          <w:rFonts w:ascii="宋体" w:hAnsi="宋体" w:eastAsia="宋体" w:cs="宋体"/>
          <w:color w:val="auto"/>
          <w:kern w:val="0"/>
          <w:sz w:val="24"/>
        </w:rPr>
      </w:pPr>
    </w:p>
    <w:p w14:paraId="246B0DD7">
      <w:pPr>
        <w:rPr>
          <w:rFonts w:ascii="宋体" w:hAnsi="宋体" w:eastAsia="宋体" w:cs="宋体"/>
          <w:color w:val="auto"/>
          <w:kern w:val="0"/>
          <w:sz w:val="24"/>
        </w:rPr>
      </w:pPr>
    </w:p>
    <w:p w14:paraId="5A170719">
      <w:pPr>
        <w:rPr>
          <w:rFonts w:ascii="宋体" w:hAnsi="宋体" w:eastAsia="宋体" w:cs="宋体"/>
          <w:color w:val="auto"/>
          <w:kern w:val="0"/>
          <w:sz w:val="24"/>
        </w:rPr>
      </w:pPr>
    </w:p>
    <w:p w14:paraId="45F5D01D">
      <w:pPr>
        <w:rPr>
          <w:rFonts w:ascii="宋体" w:hAnsi="宋体" w:eastAsia="宋体" w:cs="宋体"/>
          <w:color w:val="auto"/>
          <w:kern w:val="0"/>
          <w:sz w:val="24"/>
        </w:rPr>
      </w:pPr>
    </w:p>
    <w:p w14:paraId="568FACEA">
      <w:pPr>
        <w:rPr>
          <w:rFonts w:ascii="宋体" w:hAnsi="宋体" w:eastAsia="宋体" w:cs="宋体"/>
          <w:color w:val="auto"/>
          <w:kern w:val="0"/>
          <w:sz w:val="24"/>
        </w:rPr>
      </w:pPr>
    </w:p>
    <w:p w14:paraId="37E6E303">
      <w:pPr>
        <w:rPr>
          <w:rFonts w:ascii="宋体" w:hAnsi="宋体" w:eastAsia="宋体" w:cs="宋体"/>
          <w:color w:val="auto"/>
          <w:kern w:val="0"/>
          <w:sz w:val="24"/>
        </w:rPr>
      </w:pPr>
    </w:p>
    <w:p w14:paraId="65D1AC91">
      <w:pPr>
        <w:rPr>
          <w:rFonts w:ascii="宋体" w:hAnsi="宋体" w:eastAsia="宋体" w:cs="宋体"/>
          <w:color w:val="auto"/>
          <w:kern w:val="0"/>
          <w:sz w:val="24"/>
        </w:rPr>
      </w:pPr>
    </w:p>
    <w:p w14:paraId="21DFAB6A">
      <w:pPr>
        <w:rPr>
          <w:rFonts w:ascii="宋体" w:hAnsi="宋体" w:eastAsia="宋体" w:cs="宋体"/>
          <w:color w:val="auto"/>
          <w:kern w:val="0"/>
          <w:sz w:val="24"/>
        </w:rPr>
      </w:pPr>
    </w:p>
    <w:p w14:paraId="62BB3979">
      <w:pPr>
        <w:rPr>
          <w:rFonts w:ascii="宋体" w:hAnsi="宋体" w:eastAsia="宋体" w:cs="宋体"/>
          <w:color w:val="auto"/>
          <w:kern w:val="0"/>
          <w:sz w:val="24"/>
        </w:rPr>
      </w:pPr>
    </w:p>
    <w:p w14:paraId="70C242E4">
      <w:pPr>
        <w:rPr>
          <w:rFonts w:ascii="宋体" w:hAnsi="宋体" w:eastAsia="宋体" w:cs="宋体"/>
          <w:color w:val="auto"/>
          <w:kern w:val="0"/>
          <w:sz w:val="24"/>
        </w:rPr>
      </w:pPr>
    </w:p>
    <w:p w14:paraId="1578CB0B">
      <w:pPr>
        <w:rPr>
          <w:rFonts w:ascii="宋体" w:hAnsi="宋体" w:eastAsia="宋体" w:cs="宋体"/>
          <w:color w:val="auto"/>
          <w:kern w:val="0"/>
          <w:sz w:val="24"/>
        </w:rPr>
      </w:pPr>
    </w:p>
    <w:p w14:paraId="5C9E4E96">
      <w:pPr>
        <w:rPr>
          <w:rFonts w:ascii="宋体" w:hAnsi="宋体" w:eastAsia="宋体" w:cs="宋体"/>
          <w:color w:val="auto"/>
          <w:kern w:val="0"/>
          <w:sz w:val="24"/>
        </w:rPr>
      </w:pPr>
    </w:p>
    <w:p w14:paraId="29859D4F">
      <w:pPr>
        <w:rPr>
          <w:rFonts w:ascii="宋体" w:hAnsi="宋体" w:eastAsia="宋体" w:cs="宋体"/>
          <w:color w:val="auto"/>
          <w:kern w:val="0"/>
          <w:sz w:val="24"/>
        </w:rPr>
      </w:pPr>
    </w:p>
    <w:p w14:paraId="662A2A96">
      <w:pPr>
        <w:rPr>
          <w:rFonts w:ascii="宋体" w:hAnsi="宋体" w:eastAsia="宋体" w:cs="宋体"/>
          <w:color w:val="auto"/>
          <w:kern w:val="0"/>
          <w:sz w:val="24"/>
        </w:rPr>
      </w:pPr>
    </w:p>
    <w:p w14:paraId="245C1A8F">
      <w:pPr>
        <w:rPr>
          <w:rFonts w:ascii="宋体" w:hAnsi="宋体" w:eastAsia="宋体" w:cs="宋体"/>
          <w:color w:val="auto"/>
          <w:kern w:val="0"/>
          <w:sz w:val="24"/>
        </w:rPr>
      </w:pPr>
    </w:p>
    <w:p w14:paraId="14DFC00A">
      <w:pPr>
        <w:rPr>
          <w:rFonts w:ascii="宋体" w:hAnsi="宋体" w:eastAsia="宋体" w:cs="宋体"/>
          <w:color w:val="auto"/>
          <w:kern w:val="0"/>
          <w:sz w:val="24"/>
        </w:rPr>
      </w:pPr>
    </w:p>
    <w:p w14:paraId="484C33CC">
      <w:pPr>
        <w:rPr>
          <w:rFonts w:ascii="宋体" w:hAnsi="宋体" w:eastAsia="宋体" w:cs="宋体"/>
          <w:color w:val="auto"/>
          <w:kern w:val="0"/>
          <w:sz w:val="24"/>
        </w:rPr>
      </w:pPr>
    </w:p>
    <w:p w14:paraId="07888C58">
      <w:pPr>
        <w:rPr>
          <w:rFonts w:ascii="宋体" w:hAnsi="宋体" w:eastAsia="宋体" w:cs="宋体"/>
          <w:color w:val="auto"/>
          <w:kern w:val="0"/>
          <w:sz w:val="24"/>
        </w:rPr>
      </w:pPr>
    </w:p>
    <w:p w14:paraId="674F5B74">
      <w:pPr>
        <w:rPr>
          <w:rFonts w:ascii="宋体" w:hAnsi="宋体" w:eastAsia="宋体" w:cs="宋体"/>
          <w:color w:val="auto"/>
          <w:kern w:val="0"/>
          <w:sz w:val="24"/>
        </w:rPr>
      </w:pPr>
    </w:p>
    <w:p w14:paraId="38D49A71">
      <w:pPr>
        <w:rPr>
          <w:rFonts w:ascii="宋体" w:hAnsi="宋体" w:eastAsia="宋体" w:cs="宋体"/>
          <w:color w:val="auto"/>
          <w:kern w:val="0"/>
          <w:sz w:val="24"/>
        </w:rPr>
      </w:pPr>
    </w:p>
    <w:p w14:paraId="59780E32">
      <w:pPr>
        <w:rPr>
          <w:rFonts w:ascii="宋体" w:hAnsi="宋体" w:eastAsia="宋体" w:cs="宋体"/>
          <w:color w:val="auto"/>
          <w:kern w:val="0"/>
          <w:sz w:val="24"/>
        </w:rPr>
      </w:pPr>
    </w:p>
    <w:p w14:paraId="4A88AB62">
      <w:pPr>
        <w:rPr>
          <w:rFonts w:ascii="宋体" w:hAnsi="宋体" w:eastAsia="宋体" w:cs="宋体"/>
          <w:color w:val="auto"/>
          <w:kern w:val="0"/>
          <w:sz w:val="24"/>
        </w:rPr>
      </w:pPr>
    </w:p>
    <w:p w14:paraId="70C42639">
      <w:pPr>
        <w:rPr>
          <w:rFonts w:ascii="宋体" w:hAnsi="宋体" w:eastAsia="宋体" w:cs="宋体"/>
          <w:color w:val="auto"/>
          <w:kern w:val="0"/>
          <w:sz w:val="24"/>
        </w:rPr>
      </w:pPr>
    </w:p>
    <w:p w14:paraId="7221D0B2">
      <w:pPr>
        <w:rPr>
          <w:rFonts w:ascii="宋体" w:hAnsi="宋体" w:eastAsia="宋体" w:cs="宋体"/>
          <w:color w:val="auto"/>
          <w:kern w:val="0"/>
          <w:sz w:val="24"/>
        </w:rPr>
      </w:pPr>
    </w:p>
    <w:p w14:paraId="734BA159">
      <w:pPr>
        <w:rPr>
          <w:rFonts w:ascii="宋体" w:hAnsi="宋体" w:eastAsia="宋体" w:cs="宋体"/>
          <w:color w:val="auto"/>
          <w:kern w:val="0"/>
          <w:sz w:val="24"/>
        </w:rPr>
      </w:pPr>
    </w:p>
    <w:p w14:paraId="5B0275B4">
      <w:pPr>
        <w:rPr>
          <w:rFonts w:ascii="宋体" w:hAnsi="宋体" w:eastAsia="宋体" w:cs="宋体"/>
          <w:color w:val="auto"/>
          <w:kern w:val="0"/>
          <w:sz w:val="24"/>
        </w:rPr>
      </w:pPr>
    </w:p>
    <w:p w14:paraId="161E65CC">
      <w:pPr>
        <w:rPr>
          <w:rFonts w:ascii="宋体" w:hAnsi="宋体" w:eastAsia="宋体" w:cs="宋体"/>
          <w:color w:val="auto"/>
          <w:kern w:val="0"/>
          <w:sz w:val="24"/>
        </w:rPr>
      </w:pPr>
    </w:p>
    <w:p w14:paraId="79811848">
      <w:pPr>
        <w:rPr>
          <w:rFonts w:ascii="宋体" w:hAnsi="宋体" w:eastAsia="宋体" w:cs="宋体"/>
          <w:color w:val="auto"/>
          <w:kern w:val="0"/>
          <w:sz w:val="24"/>
        </w:rPr>
      </w:pPr>
    </w:p>
    <w:p w14:paraId="7F7E1A54">
      <w:pPr>
        <w:rPr>
          <w:rFonts w:ascii="宋体" w:hAnsi="宋体" w:eastAsia="宋体" w:cs="宋体"/>
          <w:color w:val="auto"/>
          <w:kern w:val="0"/>
          <w:sz w:val="24"/>
        </w:rPr>
      </w:pPr>
    </w:p>
    <w:p w14:paraId="55DF2C23">
      <w:pPr>
        <w:rPr>
          <w:rFonts w:ascii="宋体" w:hAnsi="宋体" w:eastAsia="宋体" w:cs="宋体"/>
          <w:color w:val="auto"/>
          <w:kern w:val="0"/>
          <w:sz w:val="24"/>
        </w:rPr>
      </w:pPr>
    </w:p>
    <w:p w14:paraId="1070653E">
      <w:pPr>
        <w:rPr>
          <w:rFonts w:ascii="宋体" w:hAnsi="宋体" w:eastAsia="宋体" w:cs="宋体"/>
          <w:color w:val="auto"/>
          <w:kern w:val="0"/>
          <w:sz w:val="24"/>
        </w:rPr>
      </w:pPr>
    </w:p>
    <w:p w14:paraId="00AA48D8">
      <w:pPr>
        <w:rPr>
          <w:rFonts w:ascii="宋体" w:hAnsi="宋体" w:eastAsia="宋体" w:cs="宋体"/>
          <w:color w:val="auto"/>
          <w:kern w:val="0"/>
          <w:sz w:val="24"/>
        </w:rPr>
      </w:pPr>
    </w:p>
    <w:p w14:paraId="3B6A2EFA">
      <w:pPr>
        <w:rPr>
          <w:rFonts w:ascii="宋体" w:hAnsi="宋体" w:eastAsia="宋体" w:cs="宋体"/>
          <w:color w:val="auto"/>
          <w:kern w:val="0"/>
          <w:sz w:val="24"/>
          <w:u w:val="single"/>
        </w:rPr>
      </w:pPr>
    </w:p>
    <w:p w14:paraId="699D3205">
      <w:pPr>
        <w:rPr>
          <w:rFonts w:ascii="宋体" w:hAnsi="宋体" w:eastAsia="宋体" w:cs="宋体"/>
          <w:color w:val="auto"/>
          <w:kern w:val="0"/>
          <w:sz w:val="24"/>
        </w:rPr>
      </w:pPr>
    </w:p>
    <w:p w14:paraId="6599837B">
      <w:pPr>
        <w:rPr>
          <w:rFonts w:ascii="宋体" w:hAnsi="宋体" w:eastAsia="宋体" w:cs="宋体"/>
          <w:color w:val="auto"/>
          <w:kern w:val="0"/>
          <w:sz w:val="24"/>
          <w:u w:val="single"/>
        </w:rPr>
      </w:pPr>
    </w:p>
    <w:p w14:paraId="69FA25BD">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                                                                             </w:t>
      </w:r>
    </w:p>
    <w:p w14:paraId="52BF6A5D">
      <w:pPr>
        <w:rPr>
          <w:rFonts w:hint="eastAsia" w:ascii="宋体" w:hAnsi="宋体" w:eastAsia="宋体" w:cs="宋体"/>
          <w:color w:val="auto"/>
          <w:kern w:val="0"/>
          <w:sz w:val="24"/>
          <w:u w:val="none"/>
          <w:lang w:val="en-US" w:eastAsia="zh-CN"/>
        </w:rPr>
      </w:pPr>
      <w:r>
        <w:rPr>
          <w:sz w:val="24"/>
        </w:rPr>
        <w:pict>
          <v:line id="_x0000_s2050" o:spid="_x0000_s2050" o:spt="20" style="position:absolute;left:0pt;flip:y;margin-left:-2.4pt;margin-top:5.1pt;height:1.45pt;width:460.45pt;z-index:251659264;mso-width-relative:page;mso-height-relative:page;" filled="f" stroked="t" coordsize="21600,21600">
            <v:path arrowok="t"/>
            <v:fill on="f" focussize="0,0"/>
            <v:stroke color="#000000"/>
            <v:imagedata o:title=""/>
            <o:lock v:ext="edit" aspectratio="f"/>
          </v:line>
        </w:pict>
      </w:r>
    </w:p>
    <w:p w14:paraId="4C554171">
      <w:pPr>
        <w:rPr>
          <w:rFonts w:hint="default"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抄送：农业农村部、财政部</w:t>
      </w:r>
    </w:p>
    <w:p w14:paraId="58C72FD5">
      <w:pPr>
        <w:rPr>
          <w:rFonts w:hint="eastAsia" w:ascii="宋体" w:hAnsi="宋体" w:eastAsia="宋体" w:cs="宋体"/>
          <w:color w:val="auto"/>
          <w:kern w:val="0"/>
          <w:sz w:val="24"/>
          <w:u w:val="none"/>
          <w:lang w:val="en-US" w:eastAsia="zh-CN"/>
        </w:rPr>
      </w:pPr>
      <w:r>
        <w:rPr>
          <w:sz w:val="24"/>
        </w:rPr>
        <w:pict>
          <v:line id="_x0000_s2051" o:spid="_x0000_s2051" o:spt="20" style="position:absolute;left:0pt;flip:y;margin-left:0.6pt;margin-top:2.35pt;height:7.5pt;width:459.75pt;z-index:251660288;mso-width-relative:page;mso-height-relative:page;" filled="f" stroked="t" coordsize="21600,21600">
            <v:path arrowok="t"/>
            <v:fill on="f" focussize="0,0"/>
            <v:stroke color="#000000"/>
            <v:imagedata o:title=""/>
            <o:lock v:ext="edit" aspectratio="f"/>
          </v:line>
        </w:pict>
      </w:r>
      <w:r>
        <w:rPr>
          <w:rFonts w:hint="eastAsia" w:ascii="宋体" w:hAnsi="宋体" w:eastAsia="宋体" w:cs="宋体"/>
          <w:color w:val="auto"/>
          <w:kern w:val="0"/>
          <w:sz w:val="24"/>
          <w:u w:val="none"/>
          <w:lang w:val="en-US" w:eastAsia="zh-CN"/>
        </w:rPr>
        <w:t xml:space="preserve">                                                                     </w:t>
      </w:r>
    </w:p>
    <w:p w14:paraId="0A1C682D">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内蒙古自治区农牧厅办公室                                2024年8月9日印发  </w:t>
      </w:r>
    </w:p>
    <w:p w14:paraId="45ED9CCF">
      <w:pPr>
        <w:rPr>
          <w:rFonts w:hint="default" w:ascii="宋体" w:hAnsi="宋体" w:eastAsia="宋体" w:cs="宋体"/>
          <w:color w:val="auto"/>
          <w:kern w:val="0"/>
          <w:sz w:val="24"/>
          <w:u w:val="single"/>
          <w:lang w:val="en-US" w:eastAsia="zh-CN"/>
        </w:rPr>
      </w:pPr>
      <w:r>
        <w:rPr>
          <w:sz w:val="24"/>
        </w:rPr>
        <w:pict>
          <v:line id="_x0000_s2052" o:spid="_x0000_s2052" o:spt="20" style="position:absolute;left:0pt;flip:y;margin-left:-0.15pt;margin-top:5.7pt;height:0.7pt;width:460.55pt;z-index:251661312;mso-width-relative:page;mso-height-relative:page;" filled="f" stroked="t" coordsize="21600,21600">
            <v:path arrowok="t"/>
            <v:fill on="f" focussize="0,0"/>
            <v:stroke color="#000000"/>
            <v:imagedata o:title=""/>
            <o:lock v:ext="edit" aspectratio="f"/>
          </v:line>
        </w:pic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40AED-825C-44AF-9C22-26B3F0422D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62D98C1-EF5A-4202-B1F9-20A0D8EBEEBE}"/>
  </w:font>
  <w:font w:name="方正小标宋简体">
    <w:altName w:val="方正舒体"/>
    <w:panose1 w:val="02000000000000000000"/>
    <w:charset w:val="86"/>
    <w:family w:val="auto"/>
    <w:pitch w:val="default"/>
    <w:sig w:usb0="00000000" w:usb1="00000000" w:usb2="00000012" w:usb3="00000000" w:csb0="00040001" w:csb1="00000000"/>
    <w:embedRegular r:id="rId3" w:fontKey="{4F6FF57B-5EB9-4E6C-87B9-178C3C20E8D1}"/>
  </w:font>
  <w:font w:name="楷体_GB2312">
    <w:altName w:val="楷体"/>
    <w:panose1 w:val="02010609030101010101"/>
    <w:charset w:val="86"/>
    <w:family w:val="modern"/>
    <w:pitch w:val="default"/>
    <w:sig w:usb0="00000000" w:usb1="00000000" w:usb2="00000000" w:usb3="00000000" w:csb0="00040000" w:csb1="00000000"/>
    <w:embedRegular r:id="rId4" w:fontKey="{4E53751D-DAF0-47EA-85DD-B53BFEFA833E}"/>
  </w:font>
  <w:font w:name="华文中宋">
    <w:panose1 w:val="02010600040101010101"/>
    <w:charset w:val="86"/>
    <w:family w:val="auto"/>
    <w:pitch w:val="default"/>
    <w:sig w:usb0="00000287" w:usb1="080F0000" w:usb2="00000000" w:usb3="00000000" w:csb0="0004009F" w:csb1="DFD70000"/>
    <w:embedRegular r:id="rId5" w:fontKey="{7DB00A84-C210-4FBF-A2D0-F5E812474A16}"/>
  </w:font>
  <w:font w:name="仿宋">
    <w:panose1 w:val="02010609060101010101"/>
    <w:charset w:val="86"/>
    <w:family w:val="modern"/>
    <w:pitch w:val="default"/>
    <w:sig w:usb0="800002BF" w:usb1="38CF7CFA" w:usb2="00000016" w:usb3="00000000" w:csb0="00040001" w:csb1="00000000"/>
    <w:embedRegular r:id="rId6" w:fontKey="{E9602E5B-531A-400E-9DEF-5D5C8F11B299}"/>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B93B">
    <w:pPr>
      <w:pStyle w:val="3"/>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1E4872D">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4ZWQ2NDI5MzQ1YTM3ODhmNmY0YmFhYjMwYTQ5M2QifQ=="/>
    <w:docVar w:name="KSO_WPS_MARK_KEY" w:val="6042e459-f04e-47d5-b499-d8f760a01183"/>
  </w:docVars>
  <w:rsids>
    <w:rsidRoot w:val="00172A27"/>
    <w:rsid w:val="000E567E"/>
    <w:rsid w:val="0010459A"/>
    <w:rsid w:val="001178F5"/>
    <w:rsid w:val="00155E8D"/>
    <w:rsid w:val="00172A27"/>
    <w:rsid w:val="00197AA9"/>
    <w:rsid w:val="001D01FE"/>
    <w:rsid w:val="00201B50"/>
    <w:rsid w:val="0024642E"/>
    <w:rsid w:val="00292456"/>
    <w:rsid w:val="002A31E9"/>
    <w:rsid w:val="002A3C34"/>
    <w:rsid w:val="002C4841"/>
    <w:rsid w:val="003638BC"/>
    <w:rsid w:val="00374ADA"/>
    <w:rsid w:val="00382C5C"/>
    <w:rsid w:val="004433FA"/>
    <w:rsid w:val="004C7C8C"/>
    <w:rsid w:val="00502A1C"/>
    <w:rsid w:val="005C74A6"/>
    <w:rsid w:val="005D3708"/>
    <w:rsid w:val="005D46E1"/>
    <w:rsid w:val="006163DF"/>
    <w:rsid w:val="00640DEA"/>
    <w:rsid w:val="006E3ED8"/>
    <w:rsid w:val="006F2C48"/>
    <w:rsid w:val="00730E96"/>
    <w:rsid w:val="0075470A"/>
    <w:rsid w:val="00782D02"/>
    <w:rsid w:val="008052AD"/>
    <w:rsid w:val="008679DC"/>
    <w:rsid w:val="00892C78"/>
    <w:rsid w:val="008976D6"/>
    <w:rsid w:val="009232AE"/>
    <w:rsid w:val="009B4D73"/>
    <w:rsid w:val="009E0DF7"/>
    <w:rsid w:val="00A21274"/>
    <w:rsid w:val="00A43CEE"/>
    <w:rsid w:val="00A82707"/>
    <w:rsid w:val="00B07544"/>
    <w:rsid w:val="00B134C4"/>
    <w:rsid w:val="00B24AD3"/>
    <w:rsid w:val="00B376F9"/>
    <w:rsid w:val="00B5023A"/>
    <w:rsid w:val="00B62156"/>
    <w:rsid w:val="00BB0CD5"/>
    <w:rsid w:val="00BB177D"/>
    <w:rsid w:val="00D84D4C"/>
    <w:rsid w:val="00E678B8"/>
    <w:rsid w:val="00E843DE"/>
    <w:rsid w:val="00F24A52"/>
    <w:rsid w:val="00F31BB0"/>
    <w:rsid w:val="040C4772"/>
    <w:rsid w:val="06FE6984"/>
    <w:rsid w:val="074D035E"/>
    <w:rsid w:val="088824EB"/>
    <w:rsid w:val="09304BB7"/>
    <w:rsid w:val="09845259"/>
    <w:rsid w:val="0C22650E"/>
    <w:rsid w:val="0D57212B"/>
    <w:rsid w:val="0DF06D13"/>
    <w:rsid w:val="0F9B9D33"/>
    <w:rsid w:val="0FFF3131"/>
    <w:rsid w:val="10F625C7"/>
    <w:rsid w:val="118810EE"/>
    <w:rsid w:val="166134DE"/>
    <w:rsid w:val="16FB9F0D"/>
    <w:rsid w:val="1744581D"/>
    <w:rsid w:val="17784246"/>
    <w:rsid w:val="1825640B"/>
    <w:rsid w:val="19273B7F"/>
    <w:rsid w:val="1DB4645D"/>
    <w:rsid w:val="1EA60E6B"/>
    <w:rsid w:val="1F924CE0"/>
    <w:rsid w:val="20E4503F"/>
    <w:rsid w:val="23EA768F"/>
    <w:rsid w:val="24290486"/>
    <w:rsid w:val="255B1032"/>
    <w:rsid w:val="27321A96"/>
    <w:rsid w:val="2769325B"/>
    <w:rsid w:val="27C618D1"/>
    <w:rsid w:val="299F5F43"/>
    <w:rsid w:val="2C123CC1"/>
    <w:rsid w:val="2DA68DF0"/>
    <w:rsid w:val="2DEE1C00"/>
    <w:rsid w:val="2DFD8B4F"/>
    <w:rsid w:val="2E220596"/>
    <w:rsid w:val="2E4A67F6"/>
    <w:rsid w:val="2FAFA96E"/>
    <w:rsid w:val="2FDF791E"/>
    <w:rsid w:val="2FE14059"/>
    <w:rsid w:val="34DD5737"/>
    <w:rsid w:val="36532532"/>
    <w:rsid w:val="39F05AD8"/>
    <w:rsid w:val="3A91425E"/>
    <w:rsid w:val="3D7032AE"/>
    <w:rsid w:val="3F4E4153"/>
    <w:rsid w:val="3FA065CE"/>
    <w:rsid w:val="3FEC248D"/>
    <w:rsid w:val="40121DA3"/>
    <w:rsid w:val="40660C62"/>
    <w:rsid w:val="40AE62B3"/>
    <w:rsid w:val="413A0B89"/>
    <w:rsid w:val="41874A60"/>
    <w:rsid w:val="445A7CED"/>
    <w:rsid w:val="45990C56"/>
    <w:rsid w:val="4C0E2560"/>
    <w:rsid w:val="4CD60EBF"/>
    <w:rsid w:val="4F7E2748"/>
    <w:rsid w:val="51767430"/>
    <w:rsid w:val="51FED7AB"/>
    <w:rsid w:val="57BDA7DC"/>
    <w:rsid w:val="57D91AE8"/>
    <w:rsid w:val="592E009F"/>
    <w:rsid w:val="5B842B5A"/>
    <w:rsid w:val="5BD462C2"/>
    <w:rsid w:val="5D7709BC"/>
    <w:rsid w:val="5DBA3EE0"/>
    <w:rsid w:val="5E9F58F8"/>
    <w:rsid w:val="5EFA7CCD"/>
    <w:rsid w:val="5F6917F2"/>
    <w:rsid w:val="60FF0A32"/>
    <w:rsid w:val="6494467F"/>
    <w:rsid w:val="65200C33"/>
    <w:rsid w:val="65801E38"/>
    <w:rsid w:val="66B0084D"/>
    <w:rsid w:val="67150A86"/>
    <w:rsid w:val="68EB733E"/>
    <w:rsid w:val="69FF65FA"/>
    <w:rsid w:val="6CDF266A"/>
    <w:rsid w:val="6E0D4177"/>
    <w:rsid w:val="6EFE8C0C"/>
    <w:rsid w:val="6F7CB7BD"/>
    <w:rsid w:val="6FF511D9"/>
    <w:rsid w:val="70086984"/>
    <w:rsid w:val="704F039B"/>
    <w:rsid w:val="73DF5CF5"/>
    <w:rsid w:val="75092ECB"/>
    <w:rsid w:val="75323B43"/>
    <w:rsid w:val="757DE146"/>
    <w:rsid w:val="758C3AFB"/>
    <w:rsid w:val="76D7723D"/>
    <w:rsid w:val="773709DD"/>
    <w:rsid w:val="77664BBB"/>
    <w:rsid w:val="77AA0267"/>
    <w:rsid w:val="77C71561"/>
    <w:rsid w:val="77F3A010"/>
    <w:rsid w:val="79F31071"/>
    <w:rsid w:val="7AEBC849"/>
    <w:rsid w:val="7AFB8791"/>
    <w:rsid w:val="7B5FA666"/>
    <w:rsid w:val="7B7FEC08"/>
    <w:rsid w:val="7BA7F91E"/>
    <w:rsid w:val="7BAF68F3"/>
    <w:rsid w:val="7BC51DD0"/>
    <w:rsid w:val="7BFF16A5"/>
    <w:rsid w:val="7CDE2B0E"/>
    <w:rsid w:val="7D2A2B66"/>
    <w:rsid w:val="7D7696BF"/>
    <w:rsid w:val="7D7BF403"/>
    <w:rsid w:val="7DA3EA53"/>
    <w:rsid w:val="7DF98547"/>
    <w:rsid w:val="7DFE0F8F"/>
    <w:rsid w:val="7EFD2C3F"/>
    <w:rsid w:val="7EFFE143"/>
    <w:rsid w:val="7F0A5789"/>
    <w:rsid w:val="7F57334B"/>
    <w:rsid w:val="7F7D58EC"/>
    <w:rsid w:val="7FBE2E59"/>
    <w:rsid w:val="7FBF21B3"/>
    <w:rsid w:val="7FFD288D"/>
    <w:rsid w:val="8C9FB90B"/>
    <w:rsid w:val="9873DA8E"/>
    <w:rsid w:val="9D4B5CFF"/>
    <w:rsid w:val="9FFE4764"/>
    <w:rsid w:val="AFF792D7"/>
    <w:rsid w:val="B7FEBD58"/>
    <w:rsid w:val="BA7B23C6"/>
    <w:rsid w:val="CAC7373B"/>
    <w:rsid w:val="CBDD5B10"/>
    <w:rsid w:val="D57B48C0"/>
    <w:rsid w:val="D9FAA4F5"/>
    <w:rsid w:val="DDDF1757"/>
    <w:rsid w:val="DFD60B2A"/>
    <w:rsid w:val="DFEFE4B8"/>
    <w:rsid w:val="E6FFEBBE"/>
    <w:rsid w:val="E7FFE589"/>
    <w:rsid w:val="E9F71EFB"/>
    <w:rsid w:val="EFEF116E"/>
    <w:rsid w:val="EFF5EBEC"/>
    <w:rsid w:val="F3A20179"/>
    <w:rsid w:val="F5BFD234"/>
    <w:rsid w:val="F6BFCD7B"/>
    <w:rsid w:val="F7D7F319"/>
    <w:rsid w:val="F7ED9A2F"/>
    <w:rsid w:val="F9FFFCE9"/>
    <w:rsid w:val="FB7F094F"/>
    <w:rsid w:val="FBBF6A07"/>
    <w:rsid w:val="FBBFD25D"/>
    <w:rsid w:val="FBFB8484"/>
    <w:rsid w:val="FCEAEBC5"/>
    <w:rsid w:val="FDB7DF9F"/>
    <w:rsid w:val="FE734873"/>
    <w:rsid w:val="FEB2F104"/>
    <w:rsid w:val="FEBF4EBE"/>
    <w:rsid w:val="FECD659C"/>
    <w:rsid w:val="FFDFFD64"/>
    <w:rsid w:val="FFE7CAAE"/>
    <w:rsid w:val="FFFFF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10124</Words>
  <Characters>10819</Characters>
  <Lines>79</Lines>
  <Paragraphs>22</Paragraphs>
  <TotalTime>76</TotalTime>
  <ScaleCrop>false</ScaleCrop>
  <LinksUpToDate>false</LinksUpToDate>
  <CharactersWithSpaces>11600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2024-02-06T02:30:00Z</dcterms:created>
  <dc:creator>tgz</dc:creator>
  <cp:lastModifiedBy>东子</cp:lastModifiedBy>
  <cp:lastPrinted>2024-07-21T07:32:00Z</cp:lastPrinted>
  <dcterms:modified xsi:type="dcterms:W3CDTF">2024-08-28T09:32:15Z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9B0AF3FE10594A12A346F6FFAA40384A_12</vt:lpwstr>
  </property>
</Properties>
</file>