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center"/>
        <w:textAlignment w:val="auto"/>
        <w:outlineLvl w:val="0"/>
        <w:rPr>
          <w:rFonts w:hint="eastAsia" w:ascii="方正大标宋_GBK" w:hAnsi="方正大标宋_GBK" w:eastAsia="方正大标宋_GBK" w:cs="方正大标宋_GBK"/>
          <w:bCs/>
          <w:smallCaps w:val="0"/>
          <w:color w:val="auto"/>
          <w:spacing w:val="0"/>
          <w:sz w:val="36"/>
          <w:szCs w:val="36"/>
          <w:lang w:val="en-US" w:eastAsia="zh-CN"/>
        </w:rPr>
      </w:pPr>
      <w:bookmarkStart w:id="0" w:name="_Toc25939"/>
      <w:bookmarkStart w:id="1" w:name="_Toc21036"/>
      <w:bookmarkStart w:id="2" w:name="_Toc3746"/>
      <w:r>
        <w:rPr>
          <w:rFonts w:hint="eastAsia" w:ascii="方正大标宋_GBK" w:hAnsi="方正大标宋_GBK" w:eastAsia="方正大标宋_GBK" w:cs="方正大标宋_GBK"/>
          <w:bCs/>
          <w:smallCaps w:val="0"/>
          <w:color w:val="auto"/>
          <w:spacing w:val="0"/>
          <w:sz w:val="36"/>
          <w:szCs w:val="36"/>
          <w:lang w:val="en-US" w:eastAsia="zh-CN"/>
        </w:rPr>
        <w:t>乌拉特前旗人民政府办公室</w:t>
      </w:r>
      <w:bookmarkEnd w:id="0"/>
      <w:bookmarkEnd w:id="1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left="1800" w:leftChars="0" w:hanging="1800" w:hangingChars="5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bookmarkStart w:id="8" w:name="_GoBack"/>
      <w:bookmarkStart w:id="3" w:name="_Toc5965"/>
      <w:bookmarkStart w:id="4" w:name="_Toc5093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关于印发《乌拉特前旗2023年度国有</w:t>
      </w:r>
      <w:bookmarkEnd w:id="3"/>
      <w:bookmarkEnd w:id="4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outlineLvl w:val="0"/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</w:pPr>
      <w:bookmarkStart w:id="5" w:name="_Toc20493"/>
      <w:bookmarkStart w:id="6" w:name="_Toc1862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建设用地供应计划》的通知</w:t>
      </w:r>
      <w:bookmarkEnd w:id="5"/>
      <w:bookmarkEnd w:id="6"/>
    </w:p>
    <w:bookmarkEnd w:id="8"/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  <w:lang w:val="en-US" w:eastAsia="zh-CN"/>
        </w:rPr>
        <w:t>乌政办发〔2023〕20号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32"/>
          <w:lang w:val="en-US" w:eastAsia="zh-CN"/>
        </w:rPr>
        <w:t>各相关苏木镇、农牧场，旗直、驻旗各有关部门：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32"/>
          <w:lang w:val="en-US" w:eastAsia="zh-CN"/>
        </w:rPr>
        <w:t>经旗政府同意，现将《乌拉特前旗2023年度国有建设用地供应计划》印发给你们，请认真贯彻执行。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left="0" w:leftChars="0" w:firstLine="0" w:firstLineChars="0"/>
        <w:textAlignment w:val="auto"/>
        <w:outlineLvl w:val="9"/>
        <w:rPr>
          <w:rFonts w:hint="default"/>
          <w:color w:val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outlineLvl w:val="9"/>
        <w:rPr>
          <w:rFonts w:hint="default" w:ascii="仿宋_GB2312" w:hAnsi="Times New Roman" w:eastAsia="仿宋_GB2312" w:cs="Times New Roman"/>
          <w:b w:val="0"/>
          <w:bCs w:val="0"/>
          <w:color w:val="auto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outlineLvl w:val="9"/>
        <w:rPr>
          <w:rFonts w:hint="default" w:ascii="仿宋_GB2312" w:hAnsi="Times New Roman" w:eastAsia="仿宋_GB2312" w:cs="Times New Roman"/>
          <w:b w:val="0"/>
          <w:bCs w:val="0"/>
          <w:color w:val="auto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5242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outlineLvl w:val="9"/>
        <w:rPr>
          <w:rFonts w:hint="default" w:ascii="仿宋_GB2312" w:hAnsi="Times New Roman" w:eastAsia="仿宋_GB2312" w:cs="Times New Roman"/>
          <w:b w:val="0"/>
          <w:bCs w:val="0"/>
          <w:color w:val="auto"/>
          <w:kern w:val="2"/>
          <w:sz w:val="28"/>
          <w:szCs w:val="32"/>
          <w:lang w:val="en-US" w:eastAsia="zh-CN" w:bidi="ar-SA"/>
        </w:rPr>
      </w:pPr>
      <w:r>
        <w:rPr>
          <w:rFonts w:hint="eastAsia"/>
          <w:color w:val="auto"/>
          <w:lang w:val="en-US" w:eastAsia="zh-CN"/>
        </w:rPr>
        <w:t xml:space="preserve">                                  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28"/>
          <w:szCs w:val="32"/>
          <w:lang w:val="en-US" w:eastAsia="zh-CN" w:bidi="ar-SA"/>
        </w:rPr>
        <w:t>乌拉特前旗人民政府办公室</w:t>
      </w:r>
    </w:p>
    <w:p>
      <w:pPr>
        <w:keepNext w:val="0"/>
        <w:keepLines w:val="0"/>
        <w:pageBreakBefore w:val="0"/>
        <w:tabs>
          <w:tab w:val="left" w:pos="5946"/>
        </w:tabs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3920" w:firstLineChars="14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kern w:val="0"/>
          <w:sz w:val="36"/>
          <w:szCs w:val="44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28"/>
          <w:szCs w:val="32"/>
          <w:lang w:val="en-US" w:eastAsia="zh-CN" w:bidi="ar-SA"/>
        </w:rPr>
        <w:t>2023年3月29日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kern w:val="0"/>
          <w:sz w:val="36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mall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mallCaps w:val="0"/>
          <w:color w:val="auto"/>
          <w:spacing w:val="0"/>
          <w:sz w:val="36"/>
          <w:szCs w:val="36"/>
          <w:lang w:val="en-US" w:eastAsia="zh-CN"/>
        </w:rPr>
        <w:t>乌拉特前旗2023年度国有建设用地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bookmarkStart w:id="7" w:name="_Toc23826"/>
      <w:r>
        <w:rPr>
          <w:rFonts w:hint="eastAsia" w:ascii="方正小标宋简体" w:hAnsi="Times New Roman" w:eastAsia="方正小标宋简体" w:cs="Times New Roman"/>
          <w:b w:val="0"/>
          <w:bCs/>
          <w:color w:val="auto"/>
          <w:kern w:val="2"/>
          <w:sz w:val="36"/>
          <w:szCs w:val="36"/>
          <w:lang w:val="en-US" w:eastAsia="zh-CN" w:bidi="ar-SA"/>
        </w:rPr>
        <w:t>供应计划</w:t>
      </w:r>
      <w:bookmarkEnd w:id="7"/>
    </w:p>
    <w:p>
      <w:pPr>
        <w:pStyle w:val="3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32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32"/>
          <w:lang w:eastAsia="zh-CN"/>
        </w:rPr>
        <w:t>一、计划目的、意义和编制依据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/>
          <w:snapToGrid/>
          <w:color w:val="auto"/>
          <w:sz w:val="28"/>
          <w:szCs w:val="32"/>
          <w:lang w:eastAsia="zh-CN"/>
        </w:rPr>
        <w:t>为科学调控土地市场，合理配置土地资源，积极发挥计划引导作用，切实加强国有建设用地供应管理，依据国土资源部《关于印发国有建设用地供应计划编制规范（试行）的通知》（国土资发</w:t>
      </w:r>
      <w:r>
        <w:rPr>
          <w:rFonts w:hint="eastAsia" w:ascii="仿宋" w:hAnsi="仿宋" w:eastAsia="仿宋" w:cs="仿宋"/>
          <w:snapToGrid/>
          <w:color w:val="auto"/>
          <w:sz w:val="28"/>
          <w:szCs w:val="32"/>
          <w:lang w:eastAsia="zh-CN"/>
        </w:rPr>
        <w:t>〔</w:t>
      </w:r>
      <w:r>
        <w:rPr>
          <w:rFonts w:hint="eastAsia" w:ascii="仿宋_GB2312" w:hAnsi="仿宋_GB2312" w:eastAsia="仿宋_GB2312"/>
          <w:snapToGrid/>
          <w:color w:val="auto"/>
          <w:sz w:val="28"/>
          <w:szCs w:val="32"/>
        </w:rPr>
        <w:t>2010</w:t>
      </w:r>
      <w:r>
        <w:rPr>
          <w:rFonts w:hint="eastAsia" w:ascii="仿宋" w:hAnsi="仿宋" w:eastAsia="仿宋" w:cs="仿宋"/>
          <w:snapToGrid/>
          <w:color w:val="auto"/>
          <w:sz w:val="28"/>
          <w:szCs w:val="32"/>
        </w:rPr>
        <w:t>〕</w:t>
      </w:r>
      <w:r>
        <w:rPr>
          <w:rFonts w:hint="eastAsia" w:ascii="仿宋_GB2312" w:hAnsi="仿宋_GB2312" w:eastAsia="仿宋_GB2312"/>
          <w:snapToGrid/>
          <w:color w:val="auto"/>
          <w:sz w:val="28"/>
          <w:szCs w:val="32"/>
        </w:rPr>
        <w:t>117</w:t>
      </w:r>
      <w:r>
        <w:rPr>
          <w:rFonts w:hint="eastAsia" w:ascii="仿宋_GB2312" w:hAnsi="仿宋_GB2312" w:eastAsia="仿宋_GB2312"/>
          <w:snapToGrid/>
          <w:color w:val="auto"/>
          <w:sz w:val="28"/>
          <w:szCs w:val="32"/>
          <w:lang w:eastAsia="zh-CN"/>
        </w:rPr>
        <w:t>号），参考上年度供地情况和本年度用地需求，结合我旗实际制定本计划。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napToGrid/>
          <w:color w:val="auto"/>
          <w:sz w:val="28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z w:val="28"/>
          <w:szCs w:val="32"/>
          <w:lang w:eastAsia="zh-CN"/>
        </w:rPr>
        <w:t>二、指导思想和基本原则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/>
          <w:snapToGrid/>
          <w:color w:val="auto"/>
          <w:sz w:val="28"/>
          <w:szCs w:val="32"/>
          <w:lang w:eastAsia="zh-CN"/>
        </w:rPr>
      </w:pPr>
      <w:r>
        <w:rPr>
          <w:rFonts w:hint="eastAsia" w:ascii="仿宋_GB2312" w:hAnsi="仿宋_GB2312" w:eastAsia="仿宋_GB2312"/>
          <w:snapToGrid/>
          <w:color w:val="auto"/>
          <w:sz w:val="28"/>
          <w:szCs w:val="32"/>
          <w:lang w:eastAsia="zh-CN"/>
        </w:rPr>
        <w:t>严格执行国家土地供应和房地产用地调控政策规定，坚持总量适中、内部均衡、统筹兼顾、重点保障的原则方法，合理调配各类用地供应指标，指导性与指令性相结合，全力保障年度建设项目用地需求，促进节约集约高效用地，促进我旗经济又快又好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napToGrid/>
          <w:color w:val="auto"/>
          <w:sz w:val="28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z w:val="28"/>
          <w:szCs w:val="32"/>
          <w:lang w:eastAsia="zh-CN"/>
        </w:rPr>
        <w:t>三、计划指标及配置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val="en-US" w:eastAsia="zh-CN"/>
        </w:rPr>
        <w:t>乌拉特前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旗城区国有建设用地供应总量控制在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val="en-US" w:eastAsia="zh-CN"/>
        </w:rPr>
        <w:t>532.30公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/>
          <w:snapToGrid/>
          <w:color w:val="auto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eastAsia="zh-CN"/>
        </w:rPr>
        <w:t>年度供应总量中，商服用地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val="en-US" w:eastAsia="zh-CN"/>
        </w:rPr>
        <w:t>0.30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eastAsia="zh-CN"/>
        </w:rPr>
        <w:t>公顷；工矿仓储用地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val="en-US" w:eastAsia="zh-CN"/>
        </w:rPr>
        <w:t>8.00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eastAsia="zh-CN"/>
        </w:rPr>
        <w:t>公顷；住房用地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val="en-US" w:eastAsia="zh-CN"/>
        </w:rPr>
        <w:t>7.00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eastAsia="zh-CN"/>
        </w:rPr>
        <w:t>公顷；公共管理与服务用地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val="en-US" w:eastAsia="zh-CN"/>
        </w:rPr>
        <w:t>1.00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eastAsia="zh-CN"/>
        </w:rPr>
        <w:t>公顷；交通运输用地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val="en-US" w:eastAsia="zh-CN"/>
        </w:rPr>
        <w:t>486.00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eastAsia="zh-CN"/>
        </w:rPr>
        <w:t>公顷；水利设施用地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eastAsia="zh-CN"/>
        </w:rPr>
        <w:t>公顷；特殊用地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eastAsia="zh-CN"/>
        </w:rPr>
        <w:t>公顷</w:t>
      </w:r>
      <w:r>
        <w:rPr>
          <w:rFonts w:hint="eastAsia" w:ascii="仿宋_GB2312" w:hAnsi="仿宋_GB2312" w:eastAsia="仿宋_GB2312"/>
          <w:snapToGrid/>
          <w:color w:val="auto"/>
          <w:sz w:val="28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napToGrid/>
          <w:color w:val="auto"/>
          <w:sz w:val="28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z w:val="28"/>
          <w:szCs w:val="32"/>
          <w:lang w:eastAsia="zh-CN"/>
        </w:rPr>
        <w:t>四、政策导向与执行标准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（一）坚持计划控制引导，统一有序、规范供应。本年度各类建设项目用地供应必须严格按照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val="en-US" w:eastAsia="zh-CN"/>
        </w:rPr>
        <w:t>供应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指标实施。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（二）认真落实房地产用地调控政策，重点保障城市住宅、保障性住房、中小套型普通商品住房“三类用地”用地供应达到住房用地供应总量标准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</w:rPr>
        <w:t>70%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（三）突出经济发展支撑项目用地服务，充分保障招商引资、国家、省及县重点工程项目和优势产业用地需求。工矿仓储用地、公共管理与公共服务用地、交通运输用地、水域及水利设施用地、特殊用地均实行指导性计划控制，根据年度用地需求保障供应，不确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sz w:val="28"/>
          <w:szCs w:val="32"/>
          <w:lang w:eastAsia="zh-CN"/>
        </w:rPr>
        <w:t>定具体指标。乡镇建设项目用地计划指标按照实际需要机动安排。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（四）严格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土地供应程序。对商业、旅游、娱乐、商品住宅等经营性用地和新增工业用地（不含原地内改扩建）以及同一宗地有两个以上意向用地者的，必须以招标、拍卖或者挂牌方式有偿供地，统一在土地市场公开进行。扩大有偿使用范围，积极推进经营性基础设施用地有偿使用。其他符合国家《划拨用地目录》的建设项目用地，在履行程序后以划拨方式供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val="en-US" w:eastAsia="zh-CN"/>
        </w:rPr>
        <w:t xml:space="preserve">    （五）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坚持科学发展观和节约集约用地政策，建设项目用地鼓励利用存量，严格控制增量。工业用地项目提倡和推广多层标准厂房建设。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（六）严格按照各工业园区、开发区功能定位、产业政策和主导发展方向，优先安排工业建设项目用地供应，从严从紧控制开发区内经营性房地产开发用地总量，防止挤占工业项目用地指标。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napToGrid/>
          <w:color w:val="auto"/>
          <w:sz w:val="28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z w:val="28"/>
          <w:szCs w:val="32"/>
          <w:lang w:eastAsia="zh-CN"/>
        </w:rPr>
        <w:t>五、计划实施保障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/>
          <w:snapToGrid/>
          <w:color w:val="auto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（一）加强协</w:t>
      </w:r>
      <w:r>
        <w:rPr>
          <w:rFonts w:hint="eastAsia" w:ascii="仿宋_GB2312" w:hAnsi="仿宋_GB2312" w:eastAsia="仿宋_GB2312"/>
          <w:snapToGrid/>
          <w:color w:val="auto"/>
          <w:sz w:val="28"/>
          <w:szCs w:val="32"/>
          <w:lang w:eastAsia="zh-CN"/>
        </w:rPr>
        <w:t>调配合，保证计划指标有效落实。旗自然资源、住建、房产等相关部门要密切协调配合，共同组织做好建设项目用地各项前期准备工作，各苏木镇、</w:t>
      </w:r>
      <w:r>
        <w:rPr>
          <w:rFonts w:hint="eastAsia" w:ascii="仿宋_GB2312" w:hAnsi="仿宋_GB2312" w:eastAsia="仿宋_GB2312"/>
          <w:snapToGrid/>
          <w:color w:val="auto"/>
          <w:sz w:val="28"/>
          <w:szCs w:val="32"/>
          <w:lang w:val="en-US" w:eastAsia="zh-CN"/>
        </w:rPr>
        <w:t>农牧渔场，</w:t>
      </w:r>
      <w:r>
        <w:rPr>
          <w:rFonts w:hint="eastAsia" w:ascii="仿宋_GB2312" w:hAnsi="仿宋_GB2312" w:eastAsia="仿宋_GB2312"/>
          <w:snapToGrid/>
          <w:color w:val="auto"/>
          <w:sz w:val="28"/>
          <w:szCs w:val="32"/>
          <w:lang w:eastAsia="zh-CN"/>
        </w:rPr>
        <w:t>工业园区管委会也要充分发挥职能优势，积极配合做好计划实施工作。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/>
          <w:snapToGrid/>
          <w:color w:val="auto"/>
          <w:sz w:val="28"/>
          <w:szCs w:val="32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（二）强化措施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28"/>
          <w:szCs w:val="32"/>
          <w:lang w:eastAsia="zh-CN"/>
        </w:rPr>
        <w:t>，确保供地服务效率质量。计划实施中，把握全面，突出重点，强化服务，保障供应，对年度重点大项目用地、政策性住房用地要采取提前介入，跟踪服务，全程保障，切实满足项目建设用地需求。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C50C8"/>
    <w:rsid w:val="12294DFE"/>
    <w:rsid w:val="712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">
    <w:name w:val="Body Text First Indent"/>
    <w:basedOn w:val="1"/>
    <w:unhideWhenUsed/>
    <w:qFormat/>
    <w:uiPriority w:val="99"/>
    <w:pPr>
      <w:spacing w:after="0"/>
      <w:ind w:firstLine="420" w:firstLineChars="100"/>
    </w:pPr>
    <w:rPr>
      <w:rFonts w:ascii="Calibri" w:hAnsi="Calibri" w:cs="Times New Roman"/>
      <w:sz w:val="24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2023-10-31T01:52:00Z</dcterms:created>
  <dc:creator>大西几的wps</dc:creator>
  <cp:lastModifiedBy>大西几的wps</cp:lastModifiedBy>
  <dcterms:modified xsi:type="dcterms:W3CDTF">2023-10-31T02:01:29Z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