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before="313" w:beforeLines="100" w:line="520" w:lineRule="exact"/>
        <w:jc w:val="center"/>
        <w:textAlignment w:val="auto"/>
        <w:outlineLvl w:val="0"/>
        <w:rPr>
          <w:rFonts w:hint="eastAsia" w:ascii="方正大标宋_GBK" w:hAnsi="方正大标宋_GBK" w:eastAsia="方正大标宋_GBK" w:cs="方正大标宋_GBK"/>
          <w:b w:val="0"/>
          <w:bCs/>
          <w:color w:val="auto"/>
          <w:sz w:val="36"/>
          <w:szCs w:val="36"/>
          <w:lang w:val="en-US" w:eastAsia="zh-CN"/>
        </w:rPr>
      </w:pPr>
      <w:bookmarkStart w:id="0" w:name="_Toc26939"/>
      <w:bookmarkStart w:id="1" w:name="_Toc30230"/>
      <w:r>
        <w:rPr>
          <w:rFonts w:hint="eastAsia" w:ascii="方正大标宋_GBK" w:hAnsi="方正大标宋_GBK" w:eastAsia="方正大标宋_GBK" w:cs="方正大标宋_GBK"/>
          <w:b w:val="0"/>
          <w:bCs/>
          <w:color w:val="auto"/>
          <w:sz w:val="36"/>
          <w:szCs w:val="36"/>
          <w:lang w:val="en-US" w:eastAsia="zh-CN"/>
        </w:rPr>
        <w:t>乌拉特前旗人民政府办公室</w:t>
      </w:r>
      <w:bookmarkEnd w:id="0"/>
      <w:bookmarkEnd w:id="1"/>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方正小标宋简体" w:hAnsi="方正小标宋简体" w:eastAsia="方正小标宋简体" w:cs="方正小标宋简体"/>
          <w:b w:val="0"/>
          <w:bCs/>
          <w:color w:val="auto"/>
          <w:sz w:val="36"/>
          <w:szCs w:val="44"/>
        </w:rPr>
      </w:pPr>
      <w:bookmarkStart w:id="2" w:name="_Toc5956"/>
      <w:bookmarkStart w:id="3" w:name="_Toc6415"/>
      <w:bookmarkStart w:id="6" w:name="_GoBack"/>
      <w:r>
        <w:rPr>
          <w:rFonts w:hint="eastAsia" w:ascii="方正小标宋简体" w:hAnsi="方正小标宋简体" w:eastAsia="方正小标宋简体" w:cs="方正小标宋简体"/>
          <w:b w:val="0"/>
          <w:bCs/>
          <w:color w:val="auto"/>
          <w:sz w:val="36"/>
          <w:szCs w:val="44"/>
        </w:rPr>
        <w:t>关于印发《关于加快推进乌拉特前旗企业用地不动产登记工作的实施意见》的通知</w:t>
      </w:r>
      <w:bookmarkEnd w:id="2"/>
      <w:bookmarkEnd w:id="3"/>
    </w:p>
    <w:bookmarkEnd w:id="6"/>
    <w:p>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 w:hAnsi="仿宋" w:eastAsia="仿宋"/>
          <w:color w:val="auto"/>
          <w:sz w:val="28"/>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color w:val="auto"/>
        </w:rPr>
      </w:pPr>
      <w:r>
        <w:rPr>
          <w:rFonts w:hint="eastAsia" w:ascii="仿宋_GB2312" w:hAnsi="仿宋_GB2312" w:eastAsia="仿宋_GB2312" w:cs="仿宋_GB2312"/>
          <w:color w:val="auto"/>
          <w:sz w:val="28"/>
          <w:szCs w:val="32"/>
          <w:lang w:val="en-US" w:eastAsia="zh-CN"/>
        </w:rPr>
        <w:t>乌政办发〔2023〕26号</w:t>
      </w:r>
    </w:p>
    <w:p>
      <w:pPr>
        <w:outlineLvl w:val="9"/>
        <w:rPr>
          <w:rFonts w:hint="eastAsia"/>
          <w:color w:val="auto"/>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各苏木镇、</w:t>
      </w:r>
      <w:r>
        <w:rPr>
          <w:rFonts w:hint="eastAsia" w:ascii="仿宋_GB2312" w:hAnsi="仿宋_GB2312" w:eastAsia="仿宋_GB2312" w:cs="仿宋_GB2312"/>
          <w:color w:val="auto"/>
          <w:sz w:val="28"/>
          <w:szCs w:val="32"/>
          <w:lang w:val="en-US" w:eastAsia="zh-CN"/>
        </w:rPr>
        <w:t>农牧渔场，</w:t>
      </w:r>
      <w:r>
        <w:rPr>
          <w:rFonts w:hint="eastAsia" w:ascii="仿宋_GB2312" w:hAnsi="仿宋_GB2312" w:eastAsia="仿宋_GB2312" w:cs="仿宋_GB2312"/>
          <w:color w:val="auto"/>
          <w:sz w:val="28"/>
          <w:szCs w:val="32"/>
        </w:rPr>
        <w:t>旗直各</w:t>
      </w:r>
      <w:r>
        <w:rPr>
          <w:rFonts w:hint="eastAsia" w:ascii="仿宋_GB2312" w:hAnsi="仿宋_GB2312" w:eastAsia="仿宋_GB2312" w:cs="仿宋_GB2312"/>
          <w:color w:val="auto"/>
          <w:sz w:val="28"/>
          <w:szCs w:val="32"/>
          <w:lang w:val="en-US" w:eastAsia="zh-CN"/>
        </w:rPr>
        <w:t>有关</w:t>
      </w:r>
      <w:r>
        <w:rPr>
          <w:rFonts w:hint="eastAsia" w:ascii="仿宋_GB2312" w:hAnsi="仿宋_GB2312" w:eastAsia="仿宋_GB2312" w:cs="仿宋_GB2312"/>
          <w:color w:val="auto"/>
          <w:sz w:val="28"/>
          <w:szCs w:val="32"/>
        </w:rPr>
        <w:t>部门：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为切实维护企业的不动产权益，进一步激发市场主体活力，增强高质量发展动力，现将《关于加快推进乌拉特前旗企业用地不动产登记工作的实施意见》印发给你们，请结合实际，认真组织实施。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color w:val="auto"/>
          <w:sz w:val="28"/>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auto"/>
          <w:sz w:val="28"/>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lang w:val="en-US" w:eastAsia="zh-CN"/>
        </w:rPr>
        <w:t xml:space="preserve">              </w:t>
      </w:r>
      <w:r>
        <w:rPr>
          <w:rFonts w:hint="eastAsia" w:ascii="仿宋_GB2312" w:hAnsi="仿宋_GB2312" w:eastAsia="仿宋_GB2312" w:cs="仿宋_GB2312"/>
          <w:color w:val="auto"/>
          <w:sz w:val="28"/>
          <w:szCs w:val="32"/>
        </w:rPr>
        <w:t>乌拉特前旗人民政府办公室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lang w:val="en-US" w:eastAsia="zh-CN"/>
        </w:rPr>
        <w:t xml:space="preserve">            </w:t>
      </w:r>
      <w:r>
        <w:rPr>
          <w:rFonts w:hint="eastAsia" w:ascii="仿宋_GB2312" w:hAnsi="仿宋_GB2312" w:eastAsia="仿宋_GB2312" w:cs="仿宋_GB2312"/>
          <w:color w:val="auto"/>
          <w:sz w:val="28"/>
          <w:szCs w:val="32"/>
        </w:rPr>
        <w:t>2023年4月</w:t>
      </w:r>
      <w:r>
        <w:rPr>
          <w:rFonts w:hint="eastAsia" w:ascii="仿宋_GB2312" w:hAnsi="仿宋_GB2312" w:eastAsia="仿宋_GB2312" w:cs="仿宋_GB2312"/>
          <w:color w:val="auto"/>
          <w:sz w:val="28"/>
          <w:szCs w:val="32"/>
          <w:lang w:val="en-US" w:eastAsia="zh-CN"/>
        </w:rPr>
        <w:t>14</w:t>
      </w:r>
      <w:r>
        <w:rPr>
          <w:rFonts w:hint="eastAsia" w:ascii="仿宋_GB2312" w:hAnsi="仿宋_GB2312" w:eastAsia="仿宋_GB2312" w:cs="仿宋_GB2312"/>
          <w:color w:val="auto"/>
          <w:sz w:val="28"/>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 w:hAnsi="仿宋" w:eastAsia="仿宋"/>
          <w:color w:val="auto"/>
          <w:sz w:val="28"/>
          <w:szCs w:val="32"/>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 w:hAnsi="仿宋" w:eastAsia="仿宋"/>
          <w:color w:val="auto"/>
          <w:sz w:val="28"/>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简体" w:hAnsi="方正小标宋简体" w:eastAsia="方正小标宋简体" w:cs="方正小标宋简体"/>
          <w:b w:val="0"/>
          <w:bCs/>
          <w:color w:val="auto"/>
          <w:sz w:val="36"/>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简体" w:hAnsi="方正小标宋简体" w:eastAsia="方正小标宋简体" w:cs="方正小标宋简体"/>
          <w:b w:val="0"/>
          <w:bCs/>
          <w:color w:val="auto"/>
          <w:sz w:val="36"/>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简体" w:hAnsi="方正小标宋简体" w:eastAsia="方正小标宋简体" w:cs="方正小标宋简体"/>
          <w:b w:val="0"/>
          <w:bCs/>
          <w:color w:val="auto"/>
          <w:sz w:val="36"/>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简体" w:hAnsi="方正小标宋简体" w:eastAsia="方正小标宋简体" w:cs="方正小标宋简体"/>
          <w:b w:val="0"/>
          <w:bCs/>
          <w:color w:val="auto"/>
          <w:sz w:val="36"/>
          <w:szCs w:val="44"/>
        </w:rPr>
      </w:pPr>
    </w:p>
    <w:p>
      <w:pPr>
        <w:pStyle w:val="3"/>
        <w:outlineLvl w:val="9"/>
        <w:rPr>
          <w:rFonts w:hint="eastAsia" w:ascii="方正小标宋简体" w:hAnsi="方正小标宋简体" w:eastAsia="方正小标宋简体" w:cs="方正小标宋简体"/>
          <w:b w:val="0"/>
          <w:bCs/>
          <w:color w:val="auto"/>
          <w:sz w:val="36"/>
          <w:szCs w:val="44"/>
        </w:rPr>
      </w:pPr>
    </w:p>
    <w:p>
      <w:pPr>
        <w:outlineLvl w:val="9"/>
        <w:rPr>
          <w:rFonts w:hint="eastAsia" w:ascii="方正小标宋简体" w:hAnsi="方正小标宋简体" w:eastAsia="方正小标宋简体" w:cs="方正小标宋简体"/>
          <w:b w:val="0"/>
          <w:bCs/>
          <w:color w:val="auto"/>
          <w:sz w:val="36"/>
          <w:szCs w:val="44"/>
        </w:rPr>
      </w:pPr>
    </w:p>
    <w:p>
      <w:pPr>
        <w:outlineLvl w:val="9"/>
        <w:rPr>
          <w:rFonts w:hint="eastAsia"/>
          <w:color w:val="auto"/>
        </w:rPr>
      </w:pPr>
    </w:p>
    <w:p>
      <w:pPr>
        <w:pStyle w:val="3"/>
        <w:outlineLvl w:val="9"/>
        <w:rPr>
          <w:rFonts w:hint="eastAsia"/>
          <w:color w:val="auto"/>
          <w:sz w:val="28"/>
        </w:rPr>
      </w:pPr>
    </w:p>
    <w:p>
      <w:pPr>
        <w:keepNext w:val="0"/>
        <w:keepLines w:val="0"/>
        <w:pageBreakBefore/>
        <w:widowControl w:val="0"/>
        <w:kinsoku/>
        <w:wordWrap/>
        <w:overflowPunct/>
        <w:topLinePunct w:val="0"/>
        <w:autoSpaceDE/>
        <w:autoSpaceDN/>
        <w:bidi w:val="0"/>
        <w:adjustRightInd/>
        <w:snapToGrid/>
        <w:spacing w:before="313" w:beforeLines="100" w:line="520" w:lineRule="exact"/>
        <w:jc w:val="center"/>
        <w:textAlignment w:val="auto"/>
        <w:outlineLvl w:val="9"/>
        <w:rPr>
          <w:rFonts w:hint="eastAsia" w:ascii="方正大标宋_GBK" w:hAnsi="方正大标宋_GBK" w:eastAsia="方正大标宋_GBK" w:cs="方正大标宋_GBK"/>
          <w:b w:val="0"/>
          <w:bCs/>
          <w:color w:val="auto"/>
          <w:sz w:val="36"/>
          <w:szCs w:val="36"/>
        </w:rPr>
        <w:sectPr>
          <w:type w:val="continuous"/>
          <w:pgSz w:w="11906" w:h="16838"/>
          <w:pgMar w:top="1440" w:right="1800" w:bottom="1440" w:left="1800" w:header="851" w:footer="992" w:gutter="0"/>
          <w:cols w:equalWidth="0" w:num="2">
            <w:col w:w="3940" w:space="425"/>
            <w:col w:w="3940"/>
          </w:cols>
          <w:docGrid w:type="lines" w:linePitch="312" w:charSpace="0"/>
        </w:sectPr>
      </w:pPr>
      <w:bookmarkStart w:id="4" w:name="_Toc10958"/>
    </w:p>
    <w:p>
      <w:pPr>
        <w:keepNext w:val="0"/>
        <w:keepLines w:val="0"/>
        <w:pageBreakBefore/>
        <w:widowControl w:val="0"/>
        <w:kinsoku/>
        <w:wordWrap/>
        <w:overflowPunct/>
        <w:topLinePunct w:val="0"/>
        <w:autoSpaceDE/>
        <w:autoSpaceDN/>
        <w:bidi w:val="0"/>
        <w:adjustRightInd/>
        <w:snapToGrid/>
        <w:spacing w:before="313" w:beforeLines="100" w:line="520" w:lineRule="exact"/>
        <w:jc w:val="center"/>
        <w:textAlignment w:val="auto"/>
        <w:outlineLvl w:val="9"/>
        <w:rPr>
          <w:rFonts w:hint="eastAsia" w:ascii="方正大标宋_GBK" w:hAnsi="方正大标宋_GBK" w:eastAsia="方正大标宋_GBK" w:cs="方正大标宋_GBK"/>
          <w:b w:val="0"/>
          <w:bCs/>
          <w:color w:val="auto"/>
          <w:sz w:val="36"/>
          <w:szCs w:val="36"/>
        </w:rPr>
      </w:pPr>
      <w:r>
        <w:rPr>
          <w:rFonts w:hint="eastAsia" w:ascii="方正大标宋_GBK" w:hAnsi="方正大标宋_GBK" w:eastAsia="方正大标宋_GBK" w:cs="方正大标宋_GBK"/>
          <w:b w:val="0"/>
          <w:bCs/>
          <w:color w:val="auto"/>
          <w:sz w:val="36"/>
          <w:szCs w:val="36"/>
        </w:rPr>
        <w:t>关于加快推进乌拉特前旗企业用地</w:t>
      </w:r>
      <w:bookmarkEnd w:id="4"/>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简体" w:hAnsi="方正小标宋简体" w:eastAsia="方正小标宋简体" w:cs="方正小标宋简体"/>
          <w:b w:val="0"/>
          <w:bCs/>
          <w:color w:val="auto"/>
          <w:sz w:val="36"/>
          <w:szCs w:val="44"/>
        </w:rPr>
      </w:pPr>
      <w:bookmarkStart w:id="5" w:name="_Toc6064"/>
      <w:r>
        <w:rPr>
          <w:rFonts w:hint="eastAsia" w:ascii="方正小标宋简体" w:hAnsi="方正小标宋简体" w:eastAsia="方正小标宋简体" w:cs="方正小标宋简体"/>
          <w:b w:val="0"/>
          <w:bCs/>
          <w:color w:val="auto"/>
          <w:sz w:val="36"/>
          <w:szCs w:val="44"/>
        </w:rPr>
        <w:t>不动产登记工作的实施意见</w:t>
      </w:r>
      <w:bookmarkEnd w:id="5"/>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rPr>
        <w:sectPr>
          <w:type w:val="continuous"/>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为切实维护企业的不动产权益，助推企业发展，按照《内蒙古自治区自然资源厅关于印发&lt;关于加快推进全区企业用地不动产登记工作的指导意见&gt;的通知》（内自然资字〔2022〕391号）《关于进一步推动企业土地厂房产权手续办理工作的通知》（内自然资发〔2023〕12号）《关于转发&lt;关于进一步推动企业用地厂房产权手续办理工作的通知&gt;的通知》《关于印发&lt;关于加快推进全市企业用地不动产登记工作的实施意见&gt;的通知》（巴自然资函〔2022〕88号）文件要求，结合我旗实际，制定本实施意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b/>
          <w:color w:val="auto"/>
          <w:sz w:val="28"/>
          <w:szCs w:val="32"/>
        </w:rPr>
      </w:pPr>
      <w:r>
        <w:rPr>
          <w:rFonts w:hint="eastAsia" w:ascii="黑体" w:hAnsi="黑体" w:eastAsia="黑体" w:cs="黑体"/>
          <w:b w:val="0"/>
          <w:bCs/>
          <w:color w:val="auto"/>
          <w:sz w:val="28"/>
          <w:szCs w:val="32"/>
        </w:rPr>
        <w:t>一、基本原则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各</w:t>
      </w:r>
      <w:r>
        <w:rPr>
          <w:rFonts w:hint="eastAsia" w:ascii="仿宋_GB2312" w:hAnsi="仿宋_GB2312" w:eastAsia="仿宋_GB2312" w:cs="仿宋_GB2312"/>
          <w:color w:val="auto"/>
          <w:sz w:val="28"/>
          <w:szCs w:val="32"/>
          <w:lang w:val="en-US" w:eastAsia="zh-CN"/>
        </w:rPr>
        <w:t>苏木镇</w:t>
      </w:r>
      <w:r>
        <w:rPr>
          <w:rFonts w:hint="eastAsia" w:ascii="仿宋_GB2312" w:hAnsi="仿宋_GB2312" w:eastAsia="仿宋_GB2312" w:cs="仿宋_GB2312"/>
          <w:color w:val="auto"/>
          <w:sz w:val="28"/>
          <w:szCs w:val="32"/>
        </w:rPr>
        <w:t>人民政府要在坚持以下基本原则的基础上，</w:t>
      </w:r>
      <w:r>
        <w:rPr>
          <w:rFonts w:hint="eastAsia" w:ascii="仿宋_GB2312" w:hAnsi="仿宋_GB2312" w:eastAsia="仿宋_GB2312" w:cs="仿宋_GB2312"/>
          <w:color w:val="auto"/>
          <w:sz w:val="28"/>
          <w:szCs w:val="32"/>
          <w:lang w:val="en-US" w:eastAsia="zh-CN"/>
        </w:rPr>
        <w:t>与相关</w:t>
      </w:r>
      <w:r>
        <w:rPr>
          <w:rFonts w:hint="eastAsia" w:ascii="仿宋_GB2312" w:hAnsi="仿宋_GB2312" w:eastAsia="仿宋_GB2312" w:cs="仿宋_GB2312"/>
          <w:color w:val="auto"/>
          <w:sz w:val="28"/>
          <w:szCs w:val="32"/>
        </w:rPr>
        <w:t>部门加强协作，加快推进</w:t>
      </w:r>
      <w:r>
        <w:rPr>
          <w:rFonts w:hint="eastAsia" w:ascii="仿宋_GB2312" w:hAnsi="仿宋_GB2312" w:eastAsia="仿宋_GB2312" w:cs="仿宋_GB2312"/>
          <w:color w:val="auto"/>
          <w:sz w:val="28"/>
          <w:szCs w:val="32"/>
          <w:lang w:val="en-US" w:eastAsia="zh-CN"/>
        </w:rPr>
        <w:t>本</w:t>
      </w:r>
      <w:r>
        <w:rPr>
          <w:rFonts w:hint="eastAsia" w:ascii="仿宋_GB2312" w:hAnsi="仿宋_GB2312" w:eastAsia="仿宋_GB2312" w:cs="仿宋_GB2312"/>
          <w:color w:val="auto"/>
          <w:sz w:val="28"/>
          <w:szCs w:val="32"/>
        </w:rPr>
        <w:t>辖区内企业用地不动产登记工作进度，力争在2023年底前，实现国有土地上已建成的企业用地不动产登记发证“应办尽办”。</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outlineLvl w:val="9"/>
        <w:rPr>
          <w:rFonts w:hint="eastAsia" w:ascii="仿宋_GB2312" w:hAnsi="仿宋_GB2312" w:eastAsia="仿宋_GB2312" w:cs="仿宋_GB2312"/>
          <w:color w:val="auto"/>
          <w:sz w:val="28"/>
          <w:szCs w:val="32"/>
        </w:rPr>
      </w:pPr>
      <w:r>
        <w:rPr>
          <w:rFonts w:hint="eastAsia" w:ascii="楷体_GB2312" w:hAnsi="楷体_GB2312" w:eastAsia="楷体_GB2312" w:cs="楷体_GB2312"/>
          <w:b/>
          <w:color w:val="auto"/>
          <w:sz w:val="28"/>
          <w:szCs w:val="32"/>
        </w:rPr>
        <w:t>（一）坚持尊重历史，实事求是的原则。</w:t>
      </w:r>
      <w:r>
        <w:rPr>
          <w:rFonts w:hint="eastAsia" w:ascii="仿宋_GB2312" w:hAnsi="仿宋_GB2312" w:eastAsia="仿宋_GB2312" w:cs="仿宋_GB2312"/>
          <w:color w:val="auto"/>
          <w:sz w:val="28"/>
          <w:szCs w:val="32"/>
        </w:rPr>
        <w:t>充分考虑政策法规变化以及项目建设背景、具体情况、建筑现状等，综合评估形成问题的历史原因，实事求事解决具体问题。</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outlineLvl w:val="9"/>
        <w:rPr>
          <w:rFonts w:hint="eastAsia" w:ascii="仿宋_GB2312" w:hAnsi="仿宋_GB2312" w:eastAsia="仿宋_GB2312" w:cs="仿宋_GB2312"/>
          <w:color w:val="auto"/>
          <w:sz w:val="28"/>
          <w:szCs w:val="32"/>
        </w:rPr>
      </w:pPr>
      <w:r>
        <w:rPr>
          <w:rFonts w:hint="eastAsia" w:ascii="楷体_GB2312" w:hAnsi="楷体_GB2312" w:eastAsia="楷体_GB2312" w:cs="楷体_GB2312"/>
          <w:b/>
          <w:color w:val="auto"/>
          <w:sz w:val="28"/>
          <w:szCs w:val="32"/>
        </w:rPr>
        <w:t>（二）坚持依法依规，企业利益优先的原则。</w:t>
      </w:r>
      <w:r>
        <w:rPr>
          <w:rFonts w:hint="eastAsia" w:ascii="仿宋_GB2312" w:hAnsi="仿宋_GB2312" w:eastAsia="仿宋_GB2312" w:cs="仿宋_GB2312"/>
          <w:color w:val="auto"/>
          <w:sz w:val="28"/>
          <w:szCs w:val="32"/>
        </w:rPr>
        <w:t>企业土地、地上建筑登记遗留问题，要在法律允许的范围内和权属无争议的情况下简化办事环节和流程，积极便捷地优先为企业办理不动产权登记。</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outlineLvl w:val="9"/>
        <w:rPr>
          <w:rFonts w:hint="eastAsia" w:ascii="仿宋_GB2312" w:hAnsi="仿宋_GB2312" w:eastAsia="仿宋_GB2312" w:cs="仿宋_GB2312"/>
          <w:color w:val="auto"/>
          <w:sz w:val="28"/>
          <w:szCs w:val="32"/>
        </w:rPr>
      </w:pPr>
      <w:r>
        <w:rPr>
          <w:rFonts w:hint="eastAsia" w:ascii="楷体_GB2312" w:hAnsi="楷体_GB2312" w:eastAsia="楷体_GB2312" w:cs="楷体_GB2312"/>
          <w:b/>
          <w:color w:val="auto"/>
          <w:sz w:val="28"/>
          <w:szCs w:val="32"/>
        </w:rPr>
        <w:t>（三）坚持逐步解决，分类处理的原则。</w:t>
      </w:r>
      <w:r>
        <w:rPr>
          <w:rFonts w:hint="eastAsia" w:ascii="仿宋_GB2312" w:hAnsi="仿宋_GB2312" w:eastAsia="仿宋_GB2312" w:cs="仿宋_GB2312"/>
          <w:color w:val="auto"/>
          <w:sz w:val="28"/>
          <w:szCs w:val="32"/>
        </w:rPr>
        <w:t>要建立企业用地项目问题台账，按照问题解决的难易程度和轻重缓急分批次、分类别解决。</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outlineLvl w:val="9"/>
        <w:rPr>
          <w:rFonts w:hint="eastAsia" w:ascii="仿宋_GB2312" w:hAnsi="仿宋_GB2312" w:eastAsia="仿宋_GB2312" w:cs="仿宋_GB2312"/>
          <w:color w:val="auto"/>
          <w:sz w:val="28"/>
          <w:szCs w:val="32"/>
        </w:rPr>
      </w:pPr>
      <w:r>
        <w:rPr>
          <w:rFonts w:hint="eastAsia" w:ascii="楷体_GB2312" w:hAnsi="楷体_GB2312" w:eastAsia="楷体_GB2312" w:cs="楷体_GB2312"/>
          <w:b/>
          <w:color w:val="auto"/>
          <w:sz w:val="28"/>
          <w:szCs w:val="32"/>
        </w:rPr>
        <w:t>（四）坚持“疏堵结合”,严控新增的原则。</w:t>
      </w:r>
      <w:r>
        <w:rPr>
          <w:rFonts w:hint="eastAsia" w:ascii="仿宋_GB2312" w:hAnsi="仿宋_GB2312" w:eastAsia="仿宋_GB2312" w:cs="仿宋_GB2312"/>
          <w:color w:val="auto"/>
          <w:sz w:val="28"/>
          <w:szCs w:val="32"/>
        </w:rPr>
        <w:t>要加快实现用地审批、规划许可、土地供应、开发利用、执法监察等全业务链条封闭动态监管，从源头上避免出现新增遗留问题。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黑体" w:hAnsi="黑体" w:eastAsia="黑体" w:cs="黑体"/>
          <w:b w:val="0"/>
          <w:bCs/>
          <w:color w:val="auto"/>
          <w:sz w:val="28"/>
          <w:szCs w:val="32"/>
        </w:rPr>
      </w:pPr>
      <w:r>
        <w:rPr>
          <w:rFonts w:hint="eastAsia" w:ascii="黑体" w:hAnsi="黑体" w:eastAsia="黑体" w:cs="黑体"/>
          <w:b w:val="0"/>
          <w:bCs/>
          <w:color w:val="auto"/>
          <w:sz w:val="28"/>
          <w:szCs w:val="32"/>
        </w:rPr>
        <w:t>二、时间安排</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outlineLvl w:val="9"/>
        <w:rPr>
          <w:rFonts w:hint="eastAsia" w:ascii="楷体_GB2312" w:hAnsi="楷体_GB2312" w:eastAsia="楷体_GB2312" w:cs="楷体_GB2312"/>
          <w:b/>
          <w:color w:val="auto"/>
          <w:sz w:val="28"/>
          <w:szCs w:val="32"/>
        </w:rPr>
      </w:pPr>
      <w:r>
        <w:rPr>
          <w:rFonts w:hint="eastAsia" w:ascii="楷体_GB2312" w:hAnsi="楷体_GB2312" w:eastAsia="楷体_GB2312" w:cs="楷体_GB2312"/>
          <w:b/>
          <w:color w:val="auto"/>
          <w:sz w:val="28"/>
          <w:szCs w:val="32"/>
        </w:rPr>
        <w:t>（一）项目未动工或工程尚未竣工</w:t>
      </w:r>
    </w:p>
    <w:p>
      <w:pPr>
        <w:keepNext w:val="0"/>
        <w:keepLines w:val="0"/>
        <w:pageBreakBefore w:val="0"/>
        <w:widowControl w:val="0"/>
        <w:kinsoku/>
        <w:wordWrap/>
        <w:overflowPunct/>
        <w:topLinePunct w:val="0"/>
        <w:autoSpaceDE/>
        <w:autoSpaceDN/>
        <w:bidi w:val="0"/>
        <w:adjustRightInd/>
        <w:snapToGrid/>
        <w:spacing w:line="520" w:lineRule="exact"/>
        <w:ind w:firstLine="660"/>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由旗直相关部门跟踪项目进度，结合阶段性任务完成情况，及时完善相关手续。</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outlineLvl w:val="9"/>
        <w:rPr>
          <w:rFonts w:hint="eastAsia" w:ascii="楷体_GB2312" w:hAnsi="楷体_GB2312" w:eastAsia="楷体_GB2312" w:cs="楷体_GB2312"/>
          <w:b/>
          <w:color w:val="auto"/>
          <w:sz w:val="28"/>
          <w:szCs w:val="32"/>
        </w:rPr>
      </w:pPr>
      <w:r>
        <w:rPr>
          <w:rFonts w:hint="eastAsia" w:ascii="楷体_GB2312" w:hAnsi="楷体_GB2312" w:eastAsia="楷体_GB2312" w:cs="楷体_GB2312"/>
          <w:b/>
          <w:color w:val="auto"/>
          <w:sz w:val="28"/>
          <w:szCs w:val="32"/>
        </w:rPr>
        <w:t>（二）项目已建成</w:t>
      </w:r>
    </w:p>
    <w:p>
      <w:pPr>
        <w:keepNext w:val="0"/>
        <w:keepLines w:val="0"/>
        <w:pageBreakBefore w:val="0"/>
        <w:widowControl w:val="0"/>
        <w:kinsoku/>
        <w:wordWrap/>
        <w:overflowPunct/>
        <w:topLinePunct w:val="0"/>
        <w:autoSpaceDE/>
        <w:autoSpaceDN/>
        <w:bidi w:val="0"/>
        <w:adjustRightInd/>
        <w:snapToGrid/>
        <w:spacing w:line="520" w:lineRule="exact"/>
        <w:ind w:firstLine="660"/>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由自然资源、住建部门牵头，以12月底前企业取得土地厂房不动产权为节点倒排工期，逐项目确定阶段性任务的完成时限。</w:t>
      </w:r>
    </w:p>
    <w:p>
      <w:pPr>
        <w:keepNext w:val="0"/>
        <w:keepLines w:val="0"/>
        <w:pageBreakBefore w:val="0"/>
        <w:widowControl w:val="0"/>
        <w:kinsoku/>
        <w:wordWrap/>
        <w:overflowPunct/>
        <w:topLinePunct w:val="0"/>
        <w:autoSpaceDE/>
        <w:autoSpaceDN/>
        <w:bidi w:val="0"/>
        <w:adjustRightInd/>
        <w:snapToGrid/>
        <w:spacing w:line="520" w:lineRule="exact"/>
        <w:ind w:firstLine="660"/>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1.对项目已完成土地征收和转用的，6月底前取得土地厂房“房地一体”的不动产权。</w:t>
      </w:r>
    </w:p>
    <w:p>
      <w:pPr>
        <w:keepNext w:val="0"/>
        <w:keepLines w:val="0"/>
        <w:pageBreakBefore w:val="0"/>
        <w:widowControl w:val="0"/>
        <w:kinsoku/>
        <w:wordWrap/>
        <w:overflowPunct/>
        <w:topLinePunct w:val="0"/>
        <w:autoSpaceDE/>
        <w:autoSpaceDN/>
        <w:bidi w:val="0"/>
        <w:adjustRightInd/>
        <w:snapToGrid/>
        <w:spacing w:line="520" w:lineRule="exact"/>
        <w:ind w:firstLine="660"/>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2.对项目未完成土地征收和转用的，符合土地征收和转用报批条件的10月底前完成征收和转用报批，12月底前取得土地厂房“房地一体”的不动产权。</w:t>
      </w:r>
    </w:p>
    <w:p>
      <w:pPr>
        <w:keepNext w:val="0"/>
        <w:keepLines w:val="0"/>
        <w:pageBreakBefore w:val="0"/>
        <w:widowControl w:val="0"/>
        <w:kinsoku/>
        <w:wordWrap/>
        <w:overflowPunct/>
        <w:topLinePunct w:val="0"/>
        <w:autoSpaceDE/>
        <w:autoSpaceDN/>
        <w:bidi w:val="0"/>
        <w:adjustRightInd/>
        <w:snapToGrid/>
        <w:spacing w:line="520" w:lineRule="exact"/>
        <w:ind w:firstLine="660"/>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确有困难的，可结合实际分别完善土地和厂房产权手续，推动问题化解。</w:t>
      </w:r>
    </w:p>
    <w:p>
      <w:pPr>
        <w:pStyle w:val="2"/>
        <w:outlineLvl w:val="9"/>
        <w:rPr>
          <w:rFonts w:hint="eastAsia" w:ascii="仿宋_GB2312" w:hAnsi="仿宋_GB2312" w:eastAsia="仿宋_GB2312" w:cs="仿宋_GB2312"/>
          <w:color w:val="auto"/>
          <w:sz w:val="28"/>
          <w:szCs w:val="32"/>
        </w:rPr>
      </w:pPr>
    </w:p>
    <w:p>
      <w:pPr>
        <w:outlineLvl w:val="9"/>
        <w:rPr>
          <w:rFonts w:hint="eastAsia" w:ascii="仿宋_GB2312" w:hAnsi="仿宋_GB2312" w:eastAsia="仿宋_GB2312" w:cs="仿宋_GB2312"/>
          <w:color w:val="auto"/>
          <w:sz w:val="28"/>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黑体" w:hAnsi="黑体" w:eastAsia="黑体" w:cs="黑体"/>
          <w:b w:val="0"/>
          <w:bCs/>
          <w:color w:val="auto"/>
          <w:sz w:val="28"/>
          <w:szCs w:val="32"/>
        </w:rPr>
      </w:pPr>
      <w:r>
        <w:rPr>
          <w:rFonts w:hint="eastAsia" w:ascii="黑体" w:hAnsi="黑体" w:eastAsia="黑体" w:cs="黑体"/>
          <w:b w:val="0"/>
          <w:bCs/>
          <w:color w:val="auto"/>
          <w:sz w:val="28"/>
          <w:szCs w:val="32"/>
        </w:rPr>
        <w:t>三、工作措施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为加快企业用地手续办理，现就推进解决企业用地不动产登记工作提出以下措施：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b w:val="0"/>
          <w:bCs/>
          <w:color w:val="auto"/>
          <w:sz w:val="28"/>
          <w:szCs w:val="32"/>
        </w:rPr>
        <w:t>（一）</w:t>
      </w:r>
      <w:r>
        <w:rPr>
          <w:rFonts w:hint="eastAsia" w:ascii="仿宋_GB2312" w:hAnsi="仿宋_GB2312" w:eastAsia="仿宋_GB2312" w:cs="仿宋_GB2312"/>
          <w:color w:val="auto"/>
          <w:sz w:val="28"/>
          <w:szCs w:val="32"/>
        </w:rPr>
        <w:t>因土地未完成征收和转用报批影响不动产登记的，在土地征收和转用报批过程中，自然资源主管部门要提前介入，指导用地企业按照农用地转用和土地征收审批要求抓紧履行报批手续，涉及占用林地和草原的，林业和草原主管部门要跟进指导，及时审批。土地征收和转用报批组卷过程中，对社保审核、占用林草地批复、违法用地查处、压覆重要矿产资源手续办理事项实行容缺受理，在自治区人民政府批复用地前补齐相关材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b w:val="0"/>
          <w:bCs/>
          <w:color w:val="auto"/>
          <w:sz w:val="28"/>
          <w:szCs w:val="32"/>
        </w:rPr>
        <w:t>（二）</w:t>
      </w:r>
      <w:r>
        <w:rPr>
          <w:rFonts w:hint="eastAsia" w:ascii="仿宋_GB2312" w:hAnsi="仿宋_GB2312" w:eastAsia="仿宋_GB2312" w:cs="仿宋_GB2312"/>
          <w:color w:val="auto"/>
          <w:sz w:val="28"/>
          <w:szCs w:val="32"/>
        </w:rPr>
        <w:t>因欠缴相关规费影响不动产登记的，用地企业取得国有建设用地使用权后，因未按出让合同约定足额缴纳土地出让价款或欠缴税费、行政事业性收费、基础设施配套费、政府性基金等费用的，具备条件的可按照“证缴分离”原则，在有关部门出具负责追缴相关规费意见后，办理不动产登记手续；要本着扶持民营企业发展的原则，明确相关规费要求，推动土地厂房产权手续办理工作进程。目前收费项目已清理或降低标准的，执行现行政策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在符合规划、不改变用途的前提下，由自然资源主管部门出具规划审查意见，现有工业用地提高土地利用率和增加容积率的，不再增收土地价款。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b w:val="0"/>
          <w:bCs/>
          <w:color w:val="auto"/>
          <w:sz w:val="28"/>
          <w:szCs w:val="32"/>
        </w:rPr>
        <w:t>（三）</w:t>
      </w:r>
      <w:r>
        <w:rPr>
          <w:rFonts w:hint="eastAsia" w:ascii="仿宋_GB2312" w:hAnsi="仿宋_GB2312" w:eastAsia="仿宋_GB2312" w:cs="仿宋_GB2312"/>
          <w:color w:val="auto"/>
          <w:sz w:val="28"/>
          <w:szCs w:val="32"/>
        </w:rPr>
        <w:t>因未通过建设工程规划核实等影响不动产登记的，按规定能够补办规划验收等手续的，应当依法依规处理并补办相关核实手续后办理不动产登记；对确因建成时间较早等原因不具备补办条件的，在符合现行城市（镇）总体规划的前提下，报经</w:t>
      </w:r>
      <w:r>
        <w:rPr>
          <w:rFonts w:hint="eastAsia" w:ascii="仿宋_GB2312" w:hAnsi="仿宋_GB2312" w:eastAsia="仿宋_GB2312" w:cs="仿宋_GB2312"/>
          <w:color w:val="auto"/>
          <w:sz w:val="28"/>
          <w:szCs w:val="32"/>
          <w:lang w:val="en-US" w:eastAsia="zh-CN"/>
        </w:rPr>
        <w:t>所在地苏木镇、农牧渔场</w:t>
      </w:r>
      <w:r>
        <w:rPr>
          <w:rFonts w:hint="eastAsia" w:ascii="仿宋_GB2312" w:hAnsi="仿宋_GB2312" w:eastAsia="仿宋_GB2312" w:cs="仿宋_GB2312"/>
          <w:color w:val="auto"/>
          <w:sz w:val="28"/>
          <w:szCs w:val="32"/>
        </w:rPr>
        <w:t>同意后，自然资源主管部门按现状出具认定或核实意见。不符合城市（镇）总体规划，但不违反强制性内容的，报经</w:t>
      </w:r>
      <w:r>
        <w:rPr>
          <w:rFonts w:hint="eastAsia" w:ascii="仿宋_GB2312" w:hAnsi="仿宋_GB2312" w:eastAsia="仿宋_GB2312" w:cs="仿宋_GB2312"/>
          <w:color w:val="auto"/>
          <w:sz w:val="28"/>
          <w:szCs w:val="32"/>
          <w:lang w:val="en-US" w:eastAsia="zh-CN"/>
        </w:rPr>
        <w:t>所在地苏木镇、农牧渔场</w:t>
      </w:r>
      <w:r>
        <w:rPr>
          <w:rFonts w:hint="eastAsia" w:ascii="仿宋_GB2312" w:hAnsi="仿宋_GB2312" w:eastAsia="仿宋_GB2312" w:cs="仿宋_GB2312"/>
          <w:color w:val="auto"/>
          <w:sz w:val="28"/>
          <w:szCs w:val="32"/>
        </w:rPr>
        <w:t>同意后，自然资源主管部门出具规划核实意见。在符合规划、不改变用途的前提下，由自然资源主管部门出具规划审查意见，现有工业用地提高土地利用率和增加容积率的，不再增收土地价款。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b w:val="0"/>
          <w:bCs/>
          <w:color w:val="auto"/>
          <w:sz w:val="28"/>
          <w:szCs w:val="32"/>
        </w:rPr>
        <w:t>（四）</w:t>
      </w:r>
      <w:r>
        <w:rPr>
          <w:rFonts w:hint="eastAsia" w:ascii="仿宋_GB2312" w:hAnsi="仿宋_GB2312" w:eastAsia="仿宋_GB2312" w:cs="仿宋_GB2312"/>
          <w:color w:val="auto"/>
          <w:sz w:val="28"/>
          <w:szCs w:val="32"/>
        </w:rPr>
        <w:t>房屋建筑和市政工程因未通过竣工验收影响不动产登记的，建设单位应组织房屋安全鉴定合格后由负责项目监管的住建部门出具建设工程竣工验收备案意见。对于未进行消防验收（备案）的工程项目，属于新建项目的按照《建设工程消防设计审查验收管理暂行规定》（住房和城乡建设部令51号）依法依规办理，属于遗留问题项目的，按照自治</w:t>
      </w:r>
      <w:r>
        <w:rPr>
          <w:rFonts w:hint="eastAsia" w:ascii="仿宋_GB2312" w:hAnsi="仿宋_GB2312" w:eastAsia="仿宋_GB2312" w:cs="仿宋_GB2312"/>
          <w:color w:val="auto"/>
          <w:spacing w:val="-6"/>
          <w:sz w:val="28"/>
          <w:szCs w:val="32"/>
        </w:rPr>
        <w:t>区住建厅等17个厅局《关于印发＜深入开展全区建设工程消防设计审查验收遗留项目问题集中整治专项行动方案的通知＞》（内建质［2021］155号）文件规定办理。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b w:val="0"/>
          <w:bCs/>
          <w:color w:val="auto"/>
          <w:sz w:val="28"/>
          <w:szCs w:val="32"/>
        </w:rPr>
        <w:t>（五）</w:t>
      </w:r>
      <w:r>
        <w:rPr>
          <w:rFonts w:hint="eastAsia" w:ascii="仿宋_GB2312" w:hAnsi="仿宋_GB2312" w:eastAsia="仿宋_GB2312" w:cs="仿宋_GB2312"/>
          <w:color w:val="auto"/>
          <w:sz w:val="28"/>
          <w:szCs w:val="32"/>
        </w:rPr>
        <w:t>因土地供应影响不动产登记的，按照各地实际情况及项目建设时的政策规定补办供地手续，依据不同时期、不同类型，采取划拨、协议出让等方式办理。对于已经办理了房屋所有权登记的，经公告权属清晰无争议的，报经</w:t>
      </w:r>
      <w:r>
        <w:rPr>
          <w:rFonts w:hint="eastAsia" w:ascii="仿宋_GB2312" w:hAnsi="仿宋_GB2312" w:eastAsia="仿宋_GB2312" w:cs="仿宋_GB2312"/>
          <w:color w:val="auto"/>
          <w:sz w:val="28"/>
          <w:szCs w:val="32"/>
          <w:lang w:val="en-US" w:eastAsia="zh-CN"/>
        </w:rPr>
        <w:t>旗</w:t>
      </w:r>
      <w:r>
        <w:rPr>
          <w:rFonts w:hint="eastAsia" w:ascii="仿宋_GB2312" w:hAnsi="仿宋_GB2312" w:eastAsia="仿宋_GB2312" w:cs="仿宋_GB2312"/>
          <w:color w:val="auto"/>
          <w:sz w:val="28"/>
          <w:szCs w:val="32"/>
        </w:rPr>
        <w:t>人民政府同意，直接按现状核发用地划拨决定书或者补办协议出让手续。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b w:val="0"/>
          <w:bCs/>
          <w:color w:val="auto"/>
          <w:sz w:val="28"/>
          <w:szCs w:val="32"/>
        </w:rPr>
        <w:t>（六）</w:t>
      </w:r>
      <w:r>
        <w:rPr>
          <w:rFonts w:hint="eastAsia" w:ascii="仿宋_GB2312" w:hAnsi="仿宋_GB2312" w:eastAsia="仿宋_GB2312" w:cs="仿宋_GB2312"/>
          <w:color w:val="auto"/>
          <w:sz w:val="28"/>
          <w:szCs w:val="32"/>
        </w:rPr>
        <w:t>因原分散登记的房屋、土地信息不一致，项目跨宗地建设影响不动产登记的，分散登记时已经分别登记的房屋和土地用途不一致的不动产，继续分别按照原记载的房屋、土地用途进行登记，未经依法批准不得改变已登记的不动产用途；因厂房、商业设施所有权多次转移、土地使用权未同步转移导致房屋、土地权利主体不一致的，经核实权属关系变动清晰且无争议的，可以根据规定程序由厂房、商业设施的现所有权人单方申请办理房地权利主体一致的不动产登记；土地已登记，房屋未登记，且二者用途不一致的，由自然资源主管部门出具规划核实意见，按照规划核实意见办理不动产登记；房屋和土地有合法权属来源文件、跨宗地建设未超出批准用地范围，无调整宗地需求的，可按照所在宗地分别办理不动产登记；有调整宗地需求的，经自然资源主管部门进行宗地边界调整或宗地合并、分割后，办理不动产登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b w:val="0"/>
          <w:bCs/>
          <w:color w:val="auto"/>
          <w:sz w:val="28"/>
          <w:szCs w:val="32"/>
        </w:rPr>
        <w:t>（七）</w:t>
      </w:r>
      <w:r>
        <w:rPr>
          <w:rFonts w:hint="eastAsia" w:ascii="仿宋_GB2312" w:hAnsi="仿宋_GB2312" w:eastAsia="仿宋_GB2312" w:cs="仿宋_GB2312"/>
          <w:color w:val="auto"/>
          <w:sz w:val="28"/>
          <w:szCs w:val="32"/>
        </w:rPr>
        <w:t>因法院查封和抵押影响不动产登记的，国有建设用地使用权被查封或者预查封的，申请人与查封被执行人一致的，不影响办理国有建设用地使用权及房屋所有权首次登记；抵押期间，抵押人可以转让抵押财产，当事人另有约定的，按照其约定，抵押财产转让的，抵押权不受影响；抵押人转移抵押财产的，应当及时通知抵押权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b w:val="0"/>
          <w:bCs/>
          <w:color w:val="auto"/>
          <w:sz w:val="28"/>
          <w:szCs w:val="32"/>
        </w:rPr>
        <w:t>（八）</w:t>
      </w:r>
      <w:r>
        <w:rPr>
          <w:rFonts w:hint="eastAsia" w:ascii="仿宋_GB2312" w:hAnsi="仿宋_GB2312" w:eastAsia="仿宋_GB2312" w:cs="仿宋_GB2312"/>
          <w:color w:val="auto"/>
          <w:sz w:val="28"/>
          <w:szCs w:val="32"/>
        </w:rPr>
        <w:t>因企业灭失影响不动产登记的，有承继单位或上级主管部门的，由承继单位或上级主管部门办理；没有承继单位和上级主管部门的可以由不动产所在地县级人民政府指定的机构或组织代为申请办理。工业（仓储）、商业企业灭失的，未办理首次登记的，首次登记与转移登记可一并办理，并在登记簿中对权利主体灭失情况予以记载；已办理首次登记，现权利人可单方申请办理转移登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b/>
          <w:color w:val="auto"/>
          <w:sz w:val="28"/>
          <w:szCs w:val="32"/>
        </w:rPr>
      </w:pPr>
      <w:r>
        <w:rPr>
          <w:rFonts w:hint="eastAsia" w:ascii="黑体" w:hAnsi="黑体" w:eastAsia="黑体" w:cs="黑体"/>
          <w:b w:val="0"/>
          <w:bCs/>
          <w:color w:val="auto"/>
          <w:sz w:val="28"/>
          <w:szCs w:val="32"/>
        </w:rPr>
        <w:t>四、组织领导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为确保我旗企业土地厂房产权手续办理工作有序推进，特成立工作领导小组如下：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组  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曹  东  政府副旗长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副组长：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 xml:space="preserve">王烁溪  </w:t>
      </w:r>
      <w:r>
        <w:rPr>
          <w:rFonts w:hint="eastAsia" w:ascii="仿宋_GB2312" w:hAnsi="仿宋_GB2312" w:eastAsia="仿宋_GB2312" w:cs="仿宋_GB2312"/>
          <w:color w:val="auto"/>
          <w:sz w:val="28"/>
          <w:szCs w:val="32"/>
          <w:lang w:val="en-US" w:eastAsia="zh-CN"/>
        </w:rPr>
        <w:t>旗</w:t>
      </w:r>
      <w:r>
        <w:rPr>
          <w:rFonts w:hint="eastAsia" w:ascii="仿宋_GB2312" w:hAnsi="仿宋_GB2312" w:eastAsia="仿宋_GB2312" w:cs="仿宋_GB2312"/>
          <w:color w:val="auto"/>
          <w:sz w:val="28"/>
          <w:szCs w:val="32"/>
        </w:rPr>
        <w:t>自然资源局局长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pacing w:val="-11"/>
          <w:w w:val="95"/>
          <w:sz w:val="28"/>
          <w:szCs w:val="32"/>
        </w:rPr>
      </w:pPr>
      <w:r>
        <w:rPr>
          <w:rFonts w:hint="eastAsia" w:ascii="仿宋_GB2312" w:hAnsi="仿宋_GB2312" w:eastAsia="仿宋_GB2312" w:cs="仿宋_GB2312"/>
          <w:color w:val="auto"/>
          <w:sz w:val="28"/>
          <w:szCs w:val="32"/>
        </w:rPr>
        <w:t>赵国臣</w:t>
      </w:r>
      <w:r>
        <w:rPr>
          <w:rFonts w:hint="eastAsia" w:ascii="仿宋_GB2312" w:hAnsi="仿宋_GB2312" w:eastAsia="仿宋_GB2312" w:cs="仿宋_GB2312"/>
          <w:color w:val="auto"/>
          <w:sz w:val="28"/>
          <w:szCs w:val="32"/>
          <w:lang w:eastAsia="zh-CN"/>
        </w:rPr>
        <w:t xml:space="preserve">  </w:t>
      </w:r>
      <w:r>
        <w:rPr>
          <w:rFonts w:hint="eastAsia" w:ascii="仿宋_GB2312" w:hAnsi="仿宋_GB2312" w:eastAsia="仿宋_GB2312" w:cs="仿宋_GB2312"/>
          <w:color w:val="auto"/>
          <w:spacing w:val="-11"/>
          <w:w w:val="95"/>
          <w:sz w:val="28"/>
          <w:szCs w:val="32"/>
          <w:lang w:val="en-US" w:eastAsia="zh-CN"/>
        </w:rPr>
        <w:t>旗</w:t>
      </w:r>
      <w:r>
        <w:rPr>
          <w:rFonts w:hint="eastAsia" w:ascii="仿宋_GB2312" w:hAnsi="仿宋_GB2312" w:eastAsia="仿宋_GB2312" w:cs="仿宋_GB2312"/>
          <w:color w:val="auto"/>
          <w:spacing w:val="-11"/>
          <w:w w:val="95"/>
          <w:sz w:val="28"/>
          <w:szCs w:val="32"/>
        </w:rPr>
        <w:t>林业和草原局局长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王  钊  旗发展和改革委员</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6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会主任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高  峰  旗工业和信息化局</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6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局长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郭  俊  旗税务局局长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lang w:val="en-US" w:eastAsia="zh-CN"/>
        </w:rPr>
      </w:pPr>
      <w:r>
        <w:rPr>
          <w:rFonts w:hint="eastAsia" w:ascii="仿宋_GB2312" w:hAnsi="仿宋_GB2312" w:eastAsia="仿宋_GB2312" w:cs="仿宋_GB2312"/>
          <w:color w:val="auto"/>
          <w:sz w:val="28"/>
          <w:szCs w:val="32"/>
          <w:lang w:val="en-US" w:eastAsia="zh-CN"/>
        </w:rPr>
        <w:t>翟鹏飞  旗住房和城乡建设</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6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局副局长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成  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王红兵  先锋镇党委书记</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300"/>
        <w:jc w:val="left"/>
        <w:textAlignment w:val="auto"/>
        <w:outlineLvl w:val="9"/>
        <w:rPr>
          <w:rFonts w:hint="eastAsia" w:ascii="仿宋_GB2312" w:hAnsi="仿宋_GB2312" w:eastAsia="仿宋_GB2312" w:cs="仿宋_GB2312"/>
          <w:color w:val="auto"/>
          <w:spacing w:val="-11"/>
          <w:w w:val="95"/>
          <w:sz w:val="28"/>
          <w:szCs w:val="32"/>
          <w:lang w:val="en-US" w:eastAsia="zh-CN"/>
        </w:rPr>
      </w:pPr>
      <w:r>
        <w:rPr>
          <w:rFonts w:hint="eastAsia" w:ascii="仿宋_GB2312" w:hAnsi="仿宋_GB2312" w:eastAsia="仿宋_GB2312" w:cs="仿宋_GB2312"/>
          <w:color w:val="auto"/>
          <w:spacing w:val="-23"/>
          <w:w w:val="90"/>
          <w:sz w:val="28"/>
          <w:szCs w:val="32"/>
          <w:lang w:val="en-US" w:eastAsia="zh-CN"/>
        </w:rPr>
        <w:t>吉仁浩雅尔</w:t>
      </w:r>
      <w:r>
        <w:rPr>
          <w:rFonts w:hint="eastAsia" w:ascii="仿宋_GB2312" w:hAnsi="仿宋_GB2312" w:eastAsia="仿宋_GB2312" w:cs="仿宋_GB2312"/>
          <w:color w:val="auto"/>
          <w:sz w:val="28"/>
          <w:szCs w:val="32"/>
          <w:lang w:val="en-US" w:eastAsia="zh-CN"/>
        </w:rPr>
        <w:t xml:space="preserve">  </w:t>
      </w:r>
      <w:r>
        <w:rPr>
          <w:rFonts w:hint="eastAsia" w:ascii="仿宋_GB2312" w:hAnsi="仿宋_GB2312" w:eastAsia="仿宋_GB2312" w:cs="仿宋_GB2312"/>
          <w:color w:val="auto"/>
          <w:spacing w:val="-11"/>
          <w:w w:val="95"/>
          <w:sz w:val="28"/>
          <w:szCs w:val="32"/>
          <w:lang w:val="en-US" w:eastAsia="zh-CN"/>
        </w:rPr>
        <w:t>白彦花镇党委书记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陶海军  西小召镇党委书记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郑  科  新安镇党委书记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胡明修  明安镇党委书记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郑新胜  小佘太镇党委书记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侯  东  额尔登布拉格苏木</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6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党委书记</w:t>
      </w:r>
    </w:p>
    <w:p>
      <w:pPr>
        <w:keepNext w:val="0"/>
        <w:keepLines w:val="0"/>
        <w:pageBreakBefore w:val="0"/>
        <w:widowControl w:val="0"/>
        <w:kinsoku/>
        <w:wordWrap/>
        <w:overflowPunct/>
        <w:topLinePunct w:val="0"/>
        <w:autoSpaceDE/>
        <w:autoSpaceDN/>
        <w:bidi w:val="0"/>
        <w:adjustRightInd/>
        <w:snapToGrid/>
        <w:spacing w:line="520" w:lineRule="exact"/>
        <w:ind w:firstLine="412"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pacing w:val="-23"/>
          <w:w w:val="90"/>
          <w:sz w:val="28"/>
          <w:szCs w:val="32"/>
          <w:lang w:val="en-US" w:eastAsia="zh-CN"/>
        </w:rPr>
        <w:t xml:space="preserve">乌云宝力格 </w:t>
      </w:r>
      <w:r>
        <w:rPr>
          <w:rFonts w:hint="eastAsia" w:ascii="仿宋_GB2312" w:hAnsi="仿宋_GB2312" w:eastAsia="仿宋_GB2312" w:cs="仿宋_GB2312"/>
          <w:color w:val="auto"/>
          <w:sz w:val="28"/>
          <w:szCs w:val="32"/>
          <w:lang w:val="en-US" w:eastAsia="zh-CN"/>
        </w:rPr>
        <w:t xml:space="preserve"> 沙德格苏木党委</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6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书记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高  慧  乌拉山镇镇长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牛  犇  大佘太镇镇长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付  茹  苏独仑镇镇长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白  炯  新安农场党委书记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范义重  中滩农场党委书记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pacing w:val="-11"/>
          <w:w w:val="95"/>
          <w:sz w:val="28"/>
          <w:szCs w:val="32"/>
          <w:lang w:val="en-US" w:eastAsia="zh-CN"/>
        </w:rPr>
      </w:pPr>
      <w:r>
        <w:rPr>
          <w:rFonts w:hint="eastAsia" w:ascii="仿宋_GB2312" w:hAnsi="仿宋_GB2312" w:eastAsia="仿宋_GB2312" w:cs="仿宋_GB2312"/>
          <w:color w:val="auto"/>
          <w:sz w:val="28"/>
          <w:szCs w:val="32"/>
          <w:lang w:val="en-US" w:eastAsia="zh-CN"/>
        </w:rPr>
        <w:t xml:space="preserve">唐玉祥  </w:t>
      </w:r>
      <w:r>
        <w:rPr>
          <w:rFonts w:hint="eastAsia" w:ascii="仿宋_GB2312" w:hAnsi="仿宋_GB2312" w:eastAsia="仿宋_GB2312" w:cs="仿宋_GB2312"/>
          <w:color w:val="auto"/>
          <w:spacing w:val="-11"/>
          <w:w w:val="95"/>
          <w:sz w:val="28"/>
          <w:szCs w:val="32"/>
          <w:lang w:val="en-US" w:eastAsia="zh-CN"/>
        </w:rPr>
        <w:t>西山咀农场党委书记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pacing w:val="-11"/>
          <w:w w:val="95"/>
          <w:sz w:val="28"/>
          <w:szCs w:val="32"/>
          <w:lang w:val="en-US" w:eastAsia="zh-CN"/>
        </w:rPr>
      </w:pPr>
      <w:r>
        <w:rPr>
          <w:rFonts w:hint="eastAsia" w:ascii="仿宋_GB2312" w:hAnsi="仿宋_GB2312" w:eastAsia="仿宋_GB2312" w:cs="仿宋_GB2312"/>
          <w:color w:val="auto"/>
          <w:sz w:val="28"/>
          <w:szCs w:val="32"/>
          <w:lang w:val="en-US" w:eastAsia="zh-CN"/>
        </w:rPr>
        <w:t>段  慧  大</w:t>
      </w:r>
      <w:r>
        <w:rPr>
          <w:rFonts w:hint="eastAsia" w:ascii="仿宋_GB2312" w:hAnsi="仿宋_GB2312" w:eastAsia="仿宋_GB2312" w:cs="仿宋_GB2312"/>
          <w:color w:val="auto"/>
          <w:spacing w:val="-11"/>
          <w:w w:val="95"/>
          <w:sz w:val="28"/>
          <w:szCs w:val="32"/>
          <w:lang w:val="en-US" w:eastAsia="zh-CN"/>
        </w:rPr>
        <w:t>佘太牧场党委书记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袁海龙  苏独仑农场场长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王元喜  乌梁素海实业发展</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6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 xml:space="preserve">有限公司总经理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赵树忠  旗林业和草原局</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6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副局长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戴  磊  旗工业和信息化局</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6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副局长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王  宇  旗发展和改革委员</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6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会副主任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刘  彬  旗税务局副局长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范红叶  旗不动产登记中心</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6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主任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_GB2312" w:hAnsi="仿宋_GB2312" w:eastAsia="仿宋_GB2312" w:cs="仿宋_GB2312"/>
          <w:color w:val="auto"/>
          <w:sz w:val="28"/>
          <w:szCs w:val="32"/>
          <w:lang w:val="en-US" w:eastAsia="zh-CN"/>
        </w:rPr>
      </w:pPr>
      <w:r>
        <w:rPr>
          <w:rFonts w:hint="eastAsia" w:ascii="仿宋_GB2312" w:hAnsi="仿宋_GB2312" w:eastAsia="仿宋_GB2312" w:cs="仿宋_GB2312"/>
          <w:color w:val="auto"/>
          <w:sz w:val="28"/>
          <w:szCs w:val="32"/>
          <w:lang w:val="en-US" w:eastAsia="zh-CN"/>
        </w:rPr>
        <w:t>杨二勇  旗建设工程质量安</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600"/>
        <w:jc w:val="left"/>
        <w:textAlignment w:val="auto"/>
        <w:outlineLvl w:val="9"/>
        <w:rPr>
          <w:rFonts w:hint="eastAsia" w:ascii="仿宋_GB2312" w:hAnsi="仿宋_GB2312" w:eastAsia="仿宋_GB2312" w:cs="仿宋_GB2312"/>
          <w:color w:val="auto"/>
          <w:spacing w:val="-11"/>
          <w:w w:val="95"/>
          <w:sz w:val="28"/>
          <w:szCs w:val="32"/>
          <w:lang w:val="en-US" w:eastAsia="zh-CN"/>
        </w:rPr>
      </w:pPr>
      <w:r>
        <w:rPr>
          <w:rFonts w:hint="eastAsia" w:ascii="仿宋_GB2312" w:hAnsi="仿宋_GB2312" w:eastAsia="仿宋_GB2312" w:cs="仿宋_GB2312"/>
          <w:color w:val="auto"/>
          <w:sz w:val="28"/>
          <w:szCs w:val="32"/>
          <w:lang w:val="en-US" w:eastAsia="zh-CN"/>
        </w:rPr>
        <w:t>全</w:t>
      </w:r>
      <w:r>
        <w:rPr>
          <w:rFonts w:hint="eastAsia" w:ascii="仿宋_GB2312" w:hAnsi="仿宋_GB2312" w:eastAsia="仿宋_GB2312" w:cs="仿宋_GB2312"/>
          <w:color w:val="auto"/>
          <w:spacing w:val="-11"/>
          <w:w w:val="95"/>
          <w:sz w:val="28"/>
          <w:szCs w:val="32"/>
          <w:lang w:val="en-US" w:eastAsia="zh-CN"/>
        </w:rPr>
        <w:t>技术服务中心主任</w:t>
      </w:r>
    </w:p>
    <w:p>
      <w:pPr>
        <w:pStyle w:val="2"/>
        <w:outlineLvl w:val="9"/>
        <w:rPr>
          <w:rFonts w:hint="eastAsia" w:ascii="仿宋_GB2312" w:hAnsi="仿宋_GB2312" w:eastAsia="仿宋_GB2312" w:cs="仿宋_GB2312"/>
          <w:color w:val="auto"/>
          <w:spacing w:val="-11"/>
          <w:w w:val="95"/>
          <w:sz w:val="28"/>
          <w:szCs w:val="32"/>
          <w:lang w:val="en-US" w:eastAsia="zh-CN"/>
        </w:rPr>
      </w:pPr>
    </w:p>
    <w:p>
      <w:pPr>
        <w:outlineLvl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黑体" w:hAnsi="黑体" w:eastAsia="黑体" w:cs="黑体"/>
          <w:b w:val="0"/>
          <w:bCs/>
          <w:color w:val="auto"/>
          <w:sz w:val="28"/>
          <w:szCs w:val="32"/>
        </w:rPr>
        <w:sectPr>
          <w:type w:val="continuous"/>
          <w:pgSz w:w="11906" w:h="16838"/>
          <w:pgMar w:top="1440" w:right="1800" w:bottom="1440" w:left="1800" w:header="851" w:footer="992" w:gutter="0"/>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黑体" w:hAnsi="黑体" w:eastAsia="黑体" w:cs="黑体"/>
          <w:b w:val="0"/>
          <w:bCs/>
          <w:color w:val="auto"/>
          <w:sz w:val="28"/>
          <w:szCs w:val="32"/>
        </w:rPr>
      </w:pPr>
      <w:r>
        <w:rPr>
          <w:rFonts w:hint="eastAsia" w:ascii="黑体" w:hAnsi="黑体" w:eastAsia="黑体" w:cs="黑体"/>
          <w:b w:val="0"/>
          <w:bCs/>
          <w:color w:val="auto"/>
          <w:sz w:val="28"/>
          <w:szCs w:val="32"/>
        </w:rPr>
        <w:t>五、工作要求</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eastAsia" w:ascii="仿宋_GB2312" w:hAnsi="仿宋_GB2312" w:eastAsia="仿宋_GB2312" w:cs="仿宋_GB2312"/>
          <w:color w:val="auto"/>
          <w:sz w:val="28"/>
          <w:szCs w:val="32"/>
        </w:rPr>
      </w:pPr>
      <w:r>
        <w:rPr>
          <w:rFonts w:hint="eastAsia" w:ascii="楷体_GB2312" w:hAnsi="楷体_GB2312" w:eastAsia="楷体_GB2312" w:cs="楷体_GB2312"/>
          <w:b/>
          <w:color w:val="auto"/>
          <w:sz w:val="28"/>
          <w:szCs w:val="32"/>
        </w:rPr>
        <w:t>(一)加强组织领导，相关部门密切配合。</w:t>
      </w:r>
      <w:r>
        <w:rPr>
          <w:rFonts w:hint="eastAsia" w:ascii="仿宋_GB2312" w:hAnsi="仿宋_GB2312" w:eastAsia="仿宋_GB2312" w:cs="仿宋_GB2312"/>
          <w:color w:val="auto"/>
          <w:sz w:val="28"/>
          <w:szCs w:val="32"/>
        </w:rPr>
        <w:t>各相关部门要积极借鉴化解房地产历史遗留“办证难”问题的先进经验，充分发挥化解领导小组作用，政府牵头组</w:t>
      </w:r>
      <w:r>
        <w:rPr>
          <w:rFonts w:hint="eastAsia" w:ascii="仿宋_GB2312" w:hAnsi="仿宋_GB2312" w:eastAsia="仿宋_GB2312" w:cs="仿宋_GB2312"/>
          <w:color w:val="auto"/>
          <w:spacing w:val="-6"/>
          <w:sz w:val="28"/>
          <w:szCs w:val="32"/>
        </w:rPr>
        <w:t>织自然资源、住建、林草、工信、税务、发改等相关部门密切配合，细化部门责任及配套政策、办理流程，妥善处理好企业用地及地上建筑物手续完善和不动产登记工作。</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eastAsia" w:ascii="仿宋_GB2312" w:hAnsi="仿宋_GB2312" w:eastAsia="仿宋_GB2312" w:cs="仿宋_GB2312"/>
          <w:color w:val="auto"/>
          <w:sz w:val="28"/>
          <w:szCs w:val="32"/>
        </w:rPr>
      </w:pPr>
      <w:r>
        <w:rPr>
          <w:rFonts w:hint="eastAsia" w:ascii="楷体_GB2312" w:hAnsi="楷体_GB2312" w:eastAsia="楷体_GB2312" w:cs="楷体_GB2312"/>
          <w:b/>
          <w:color w:val="auto"/>
          <w:sz w:val="28"/>
          <w:szCs w:val="32"/>
        </w:rPr>
        <w:t>(二)压实工作责任，加快推进工作进程。</w:t>
      </w:r>
      <w:r>
        <w:rPr>
          <w:rFonts w:hint="eastAsia" w:ascii="仿宋_GB2312" w:hAnsi="仿宋_GB2312" w:eastAsia="仿宋_GB2312" w:cs="仿宋_GB2312"/>
          <w:color w:val="auto"/>
          <w:sz w:val="28"/>
          <w:szCs w:val="32"/>
        </w:rPr>
        <w:t>各相关部门要切实履行主体责任，结合自治区、市两级开展的五个方面大起底行动，全面统筹企业力量，梳理问题原因，明确责任，在已经建立工作台账的基础上，继续加大摸底排查力度，边摸底边推进，及时组织联办审查，形成审查意见，使工作推进取得实效。</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ascii="仿宋" w:hAnsi="仿宋" w:eastAsia="仿宋"/>
          <w:color w:val="auto"/>
          <w:sz w:val="28"/>
          <w:szCs w:val="32"/>
        </w:rPr>
      </w:pPr>
      <w:r>
        <w:rPr>
          <w:rFonts w:hint="eastAsia" w:ascii="楷体_GB2312" w:hAnsi="楷体_GB2312" w:eastAsia="楷体_GB2312" w:cs="楷体_GB2312"/>
          <w:b/>
          <w:color w:val="auto"/>
          <w:sz w:val="28"/>
          <w:szCs w:val="32"/>
        </w:rPr>
        <w:t>(三)做好宣传引导，营造良好社会氛围。</w:t>
      </w:r>
      <w:r>
        <w:rPr>
          <w:rFonts w:hint="eastAsia" w:ascii="仿宋_GB2312" w:hAnsi="仿宋_GB2312" w:eastAsia="仿宋_GB2312" w:cs="仿宋_GB2312"/>
          <w:color w:val="auto"/>
          <w:sz w:val="28"/>
          <w:szCs w:val="32"/>
        </w:rPr>
        <w:t>自然资源、住建、林草、工信、税务、发改等部门要主动与企业沟通对接，了解相关需求及存在困难，及时提供咨询服务及政策宣传指引。对因企业灭失等原因无法联系的，通过公告公示等形式扩大宣传范围，积极运用多种渠道加大对企业用地不动产登记工作的宣传力度。</w:t>
      </w:r>
    </w:p>
    <w:p/>
    <w:sectPr>
      <w:type w:val="continuous"/>
      <w:pgSz w:w="11906" w:h="16838"/>
      <w:pgMar w:top="1440" w:right="1800" w:bottom="1440" w:left="1800" w:header="851" w:footer="992" w:gutter="0"/>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F6981"/>
    <w:rsid w:val="72BF6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semiHidden/>
    <w:qFormat/>
    <w:uiPriority w:val="0"/>
    <w:pPr>
      <w:ind w:left="210"/>
      <w:jc w:val="left"/>
    </w:pPr>
    <w:rPr>
      <w:smallCaps/>
      <w:sz w:val="20"/>
      <w:szCs w:val="20"/>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4">
    <w:name w:val="Body Text First Indent"/>
    <w:basedOn w:val="1"/>
    <w:unhideWhenUsed/>
    <w:qFormat/>
    <w:uiPriority w:val="99"/>
    <w:pPr>
      <w:spacing w:after="0"/>
      <w:ind w:firstLine="420" w:firstLineChars="100"/>
    </w:pPr>
    <w:rPr>
      <w:rFonts w:ascii="Calibri" w:hAnsi="Calibri"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2023-11-01T02:41:00Z</dcterms:created>
  <dc:creator>大西几的wps</dc:creator>
  <cp:lastModifiedBy>大西几的wps</cp:lastModifiedBy>
  <dcterms:modified xsi:type="dcterms:W3CDTF">2023-11-01T02:46:53Z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