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kinsoku w:val="0"/>
        <w:autoSpaceDE w:val="0"/>
        <w:autoSpaceDN w:val="0"/>
        <w:adjustRightInd w:val="0"/>
        <w:snapToGrid w:val="0"/>
        <w:spacing w:before="101" w:line="224" w:lineRule="auto"/>
        <w:ind w:left="3629"/>
        <w:jc w:val="left"/>
        <w:textAlignment w:val="baseline"/>
        <w:rPr>
          <w:rFonts w:ascii="仿宋" w:hAnsi="仿宋" w:eastAsia="仿宋" w:cs="仿宋"/>
          <w:snapToGrid w:val="0"/>
          <w:color w:val="000000"/>
          <w:spacing w:val="10"/>
          <w:kern w:val="0"/>
          <w:sz w:val="31"/>
          <w:szCs w:val="31"/>
          <w:lang w:eastAsia="en-US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101" w:line="224" w:lineRule="auto"/>
        <w:ind w:left="3629"/>
        <w:jc w:val="left"/>
        <w:textAlignment w:val="baseline"/>
        <w:rPr>
          <w:rFonts w:ascii="仿宋" w:hAnsi="仿宋" w:eastAsia="仿宋" w:cs="仿宋"/>
          <w:snapToGrid w:val="0"/>
          <w:color w:val="000000"/>
          <w:spacing w:val="10"/>
          <w:kern w:val="0"/>
          <w:sz w:val="31"/>
          <w:szCs w:val="31"/>
          <w:lang w:eastAsia="en-US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101" w:line="224" w:lineRule="auto"/>
        <w:ind w:left="3629"/>
        <w:jc w:val="left"/>
        <w:textAlignment w:val="baseline"/>
        <w:rPr>
          <w:rFonts w:ascii="仿宋" w:hAnsi="仿宋" w:eastAsia="仿宋" w:cs="仿宋"/>
          <w:snapToGrid w:val="0"/>
          <w:color w:val="000000"/>
          <w:spacing w:val="10"/>
          <w:kern w:val="0"/>
          <w:sz w:val="31"/>
          <w:szCs w:val="31"/>
          <w:lang w:eastAsia="en-US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101" w:line="224" w:lineRule="auto"/>
        <w:ind w:left="3629"/>
        <w:jc w:val="left"/>
        <w:textAlignment w:val="baseline"/>
        <w:rPr>
          <w:rFonts w:ascii="仿宋" w:hAnsi="仿宋" w:eastAsia="仿宋" w:cs="仿宋"/>
          <w:snapToGrid w:val="0"/>
          <w:color w:val="000000"/>
          <w:spacing w:val="10"/>
          <w:kern w:val="0"/>
          <w:sz w:val="31"/>
          <w:szCs w:val="31"/>
          <w:lang w:eastAsia="en-US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101" w:line="224" w:lineRule="auto"/>
        <w:ind w:left="3629"/>
        <w:jc w:val="left"/>
        <w:textAlignment w:val="baseline"/>
        <w:rPr>
          <w:rFonts w:ascii="仿宋" w:hAnsi="仿宋" w:eastAsia="仿宋" w:cs="仿宋"/>
          <w:snapToGrid w:val="0"/>
          <w:color w:val="000000"/>
          <w:spacing w:val="10"/>
          <w:kern w:val="0"/>
          <w:sz w:val="31"/>
          <w:szCs w:val="31"/>
          <w:lang w:eastAsia="en-US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101" w:line="224" w:lineRule="auto"/>
        <w:ind w:left="3629"/>
        <w:jc w:val="left"/>
        <w:textAlignment w:val="baseline"/>
        <w:rPr>
          <w:rFonts w:ascii="仿宋" w:hAnsi="仿宋" w:eastAsia="仿宋" w:cs="仿宋"/>
          <w:snapToGrid w:val="0"/>
          <w:color w:val="000000"/>
          <w:spacing w:val="10"/>
          <w:kern w:val="0"/>
          <w:sz w:val="31"/>
          <w:szCs w:val="31"/>
          <w:lang w:eastAsia="en-US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101" w:line="224" w:lineRule="auto"/>
        <w:ind w:left="3629"/>
        <w:jc w:val="center"/>
        <w:textAlignment w:val="baseline"/>
        <w:rPr>
          <w:rFonts w:ascii="仿宋" w:hAnsi="仿宋" w:eastAsia="仿宋" w:cs="仿宋"/>
          <w:snapToGrid w:val="0"/>
          <w:color w:val="000000"/>
          <w:spacing w:val="10"/>
          <w:kern w:val="0"/>
          <w:sz w:val="31"/>
          <w:szCs w:val="31"/>
          <w:lang w:eastAsia="en-US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乌拉特前旗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大佘太镇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年政府信息公开工作年度报告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本年度报告根据《中华人民共和国政府信息公开条例》（以下简称《条例》）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《国务院办公厅政府信息与政务公开办公室关于印发&lt;中华人民共和国政府信息公开工作年度报告格式&gt;的通知》（国办公开办函〔2021〕30号）要求制作。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本报告由总体情况，主动公开政府信息情况，收到和处理政府信息公开申请情况，政府信息公开行政复议、行政诉讼情况，存在的主要问题及改进情况以及其他需要报告的事项等部分组成。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本年度报告中所列数据的统计期限为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日起至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31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日止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本年度报告电子版可以从乌拉特前旗人民政府门户网站（http://www.wltqq.gov.cn）下载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如对本年度报告有任何疑问，请联系乌拉特前旗大佘太镇办公室，电话：0478-3638011。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-10"/>
          <w:kern w:val="0"/>
          <w:sz w:val="32"/>
          <w:szCs w:val="32"/>
          <w:lang w:eastAsia="en-US"/>
        </w:rPr>
        <w:t>一、总体情况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val="en-US" w:eastAsia="zh-CN"/>
        </w:rPr>
        <w:t>(一）</w:t>
      </w: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</w:rPr>
        <w:t>主动公开情况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202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年，我镇按时公开财政预算、决算信息，政策文件、 规划计划、办事服务、权责清单等事项，在“巴彦淖尔市政务公开”主动公开大佘太镇政府信息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1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条。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val="en-US" w:eastAsia="zh-CN"/>
        </w:rPr>
        <w:t>（二）依申请公开情况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2023年，全镇受理政府信息公开申请0件。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val="en-US" w:eastAsia="zh-CN"/>
        </w:rPr>
        <w:t>（三）政府信息管理情况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我镇按照《中华人民共和国政府信息公开条例》要求，对 需公开的信息进行严格审查，确保政府信息应公开尽公开。 为保证信息发布安全，持续建立健全信息发布平台运行和管 理工作机制，规范了信息发布审批流程和保密审查机制，按 照“谁发布，谁负责”的原则，加强信息编发和审查力度， 不断强化信息公开的时效性、完整性、准确性以及保密性，确保各个公开栏目和各类信息公开及时、准确、全面。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val="en-US" w:eastAsia="zh-CN"/>
        </w:rPr>
        <w:t>（四）政府信息公开平台建设情况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目前我镇政务信息公开共有三种载体： 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一是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在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巴彦淖尔市政务公开网站对政府信息进行主动公开；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二是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在政务信息公开专栏上公开。通过政务公开栏将政务信息对内、对外公开；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三是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在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其他宣传载体如《美丽富裕的大佘太》微信公众号等进行公开。利用发放文件、简报等载体公开。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val="en-US" w:eastAsia="zh-CN"/>
        </w:rPr>
        <w:t>（五）监督保障情况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坚持“以公开为常态、不公开为例外”的工作原则，继续 强化行政效能建设首问负责制、限时办结制、保密等制度机 制，及时收集草拟上传的每一条内容，并进行严格的审核保管，确保上传内容信息准确无误。不断加强信息员队伍建设，进一步明确信息员工作职责、工作流程步骤，推进信息公开工作有序展开。安排专人定期督查和审核公开的内容、公开 的时限要求等情况，主动接受社会和公众的广泛监督，全方位、多维度推进政府信息公开工作提质增效。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 、主动公开政府信息情况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</w:p>
    <w:tbl>
      <w:tblPr>
        <w:tblStyle w:val="2"/>
        <w:tblW w:w="8360" w:type="dxa"/>
        <w:jc w:val="center"/>
        <w:tblCellSpacing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085"/>
        <w:gridCol w:w="2085"/>
        <w:gridCol w:w="2085"/>
        <w:gridCol w:w="21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  <w:tblCellSpacing w:w="0" w:type="dxa"/>
          <w:jc w:val="center"/>
        </w:trPr>
        <w:tc>
          <w:tcPr>
            <w:tcW w:w="83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336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  <w:tblCellSpacing w:w="0" w:type="dxa"/>
          <w:jc w:val="center"/>
        </w:trPr>
        <w:tc>
          <w:tcPr>
            <w:tcW w:w="20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信息内容</w:t>
            </w:r>
          </w:p>
        </w:tc>
        <w:tc>
          <w:tcPr>
            <w:tcW w:w="20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本年制发件数</w:t>
            </w:r>
          </w:p>
        </w:tc>
        <w:tc>
          <w:tcPr>
            <w:tcW w:w="20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本年废止件数</w:t>
            </w:r>
          </w:p>
        </w:tc>
        <w:tc>
          <w:tcPr>
            <w:tcW w:w="21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现行有效件数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tblCellSpacing w:w="0" w:type="dxa"/>
          <w:jc w:val="center"/>
        </w:trPr>
        <w:tc>
          <w:tcPr>
            <w:tcW w:w="20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规章</w:t>
            </w:r>
          </w:p>
        </w:tc>
        <w:tc>
          <w:tcPr>
            <w:tcW w:w="2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ascii="Calibri" w:hAnsi="Calibri" w:eastAsia="宋体" w:cs="Calibri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tblCellSpacing w:w="0" w:type="dxa"/>
          <w:jc w:val="center"/>
        </w:trPr>
        <w:tc>
          <w:tcPr>
            <w:tcW w:w="20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行政规范性文件</w:t>
            </w:r>
          </w:p>
        </w:tc>
        <w:tc>
          <w:tcPr>
            <w:tcW w:w="2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tblCellSpacing w:w="0" w:type="dxa"/>
          <w:jc w:val="center"/>
        </w:trPr>
        <w:tc>
          <w:tcPr>
            <w:tcW w:w="8360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tblCellSpacing w:w="0" w:type="dxa"/>
          <w:jc w:val="center"/>
        </w:trPr>
        <w:tc>
          <w:tcPr>
            <w:tcW w:w="20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tblCellSpacing w:w="0" w:type="dxa"/>
          <w:jc w:val="center"/>
        </w:trPr>
        <w:tc>
          <w:tcPr>
            <w:tcW w:w="20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行政许可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tblCellSpacing w:w="0" w:type="dxa"/>
          <w:jc w:val="center"/>
        </w:trPr>
        <w:tc>
          <w:tcPr>
            <w:tcW w:w="8360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  <w:tblCellSpacing w:w="0" w:type="dxa"/>
          <w:jc w:val="center"/>
        </w:trPr>
        <w:tc>
          <w:tcPr>
            <w:tcW w:w="20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tblCellSpacing w:w="0" w:type="dxa"/>
          <w:jc w:val="center"/>
        </w:trPr>
        <w:tc>
          <w:tcPr>
            <w:tcW w:w="20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行政处罚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tblCellSpacing w:w="0" w:type="dxa"/>
          <w:jc w:val="center"/>
        </w:trPr>
        <w:tc>
          <w:tcPr>
            <w:tcW w:w="20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行政强制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tblCellSpacing w:w="0" w:type="dxa"/>
          <w:jc w:val="center"/>
        </w:trPr>
        <w:tc>
          <w:tcPr>
            <w:tcW w:w="8360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tblCellSpacing w:w="0" w:type="dxa"/>
          <w:jc w:val="center"/>
        </w:trPr>
        <w:tc>
          <w:tcPr>
            <w:tcW w:w="20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tblCellSpacing w:w="0" w:type="dxa"/>
          <w:jc w:val="center"/>
        </w:trPr>
        <w:tc>
          <w:tcPr>
            <w:tcW w:w="20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行政事业性收费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 w:val="0"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tbl>
      <w:tblPr>
        <w:tblStyle w:val="2"/>
        <w:tblpPr w:leftFromText="180" w:rightFromText="180" w:vertAnchor="text" w:horzAnchor="page" w:tblpX="2071" w:tblpY="456"/>
        <w:tblOverlap w:val="never"/>
        <w:tblW w:w="7800" w:type="dxa"/>
        <w:tblCellSpacing w:w="0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55"/>
        <w:gridCol w:w="2574"/>
        <w:gridCol w:w="551"/>
        <w:gridCol w:w="551"/>
        <w:gridCol w:w="551"/>
        <w:gridCol w:w="551"/>
        <w:gridCol w:w="552"/>
        <w:gridCol w:w="552"/>
        <w:gridCol w:w="552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394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38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394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自然人</w:t>
            </w:r>
          </w:p>
        </w:tc>
        <w:tc>
          <w:tcPr>
            <w:tcW w:w="27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法人或其他组织</w:t>
            </w:r>
          </w:p>
        </w:tc>
        <w:tc>
          <w:tcPr>
            <w:tcW w:w="5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394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商业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企业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科研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机构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社会公益组织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法律服务机构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其他</w:t>
            </w:r>
          </w:p>
        </w:tc>
        <w:tc>
          <w:tcPr>
            <w:tcW w:w="5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39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39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三、本年度办理结果</w:t>
            </w:r>
          </w:p>
        </w:tc>
        <w:tc>
          <w:tcPr>
            <w:tcW w:w="3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（一）予以公开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3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（二）部分公开</w:t>
            </w:r>
            <w:r>
              <w:rPr>
                <w:rFonts w:hint="eastAsia" w:ascii="楷体" w:hAnsi="楷体" w:eastAsia="楷体" w:cs="楷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（三）不予公开</w:t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1.属于国家秘密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2.其他法律行政法规禁止公开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3.危及“三安全一稳定”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4.保护第三方合法权益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5.属于三类内部事务信息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6.属于四类过程性信息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7.属于行政执法案卷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8.属于行政查询事项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（四）无法提供</w:t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1.本机关不掌握相关政府信息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2.没有现成信息需要另行制作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3.补正后申请内容仍不明确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（五）不予处理</w:t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1.信访举报投诉类申请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2.重复申请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3.要求提供公开出版物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4.无正当理由大量反复申请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CellSpacing w:w="0" w:type="dxa"/>
        </w:trPr>
        <w:tc>
          <w:tcPr>
            <w:tcW w:w="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（六）其他处理</w:t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3.其他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3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（七）总计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39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四、结转下年度继续办理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9"/>
                <w:szCs w:val="19"/>
                <w:u w:val="none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 w:val="0"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 w:val="0"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政府信息公开行政复议、行政诉讼情况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 w:val="0"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tbl>
      <w:tblPr>
        <w:tblStyle w:val="2"/>
        <w:tblW w:w="7800" w:type="dxa"/>
        <w:jc w:val="center"/>
        <w:tblCellSpacing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16"/>
        <w:gridCol w:w="516"/>
        <w:gridCol w:w="516"/>
        <w:gridCol w:w="516"/>
        <w:gridCol w:w="528"/>
        <w:gridCol w:w="516"/>
        <w:gridCol w:w="516"/>
        <w:gridCol w:w="516"/>
        <w:gridCol w:w="516"/>
        <w:gridCol w:w="540"/>
        <w:gridCol w:w="516"/>
        <w:gridCol w:w="516"/>
        <w:gridCol w:w="516"/>
        <w:gridCol w:w="516"/>
        <w:gridCol w:w="540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5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行政复议</w:t>
            </w:r>
          </w:p>
        </w:tc>
        <w:tc>
          <w:tcPr>
            <w:tcW w:w="5208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结果维持</w:t>
            </w:r>
          </w:p>
        </w:tc>
        <w:tc>
          <w:tcPr>
            <w:tcW w:w="516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结果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纠正</w:t>
            </w:r>
          </w:p>
        </w:tc>
        <w:tc>
          <w:tcPr>
            <w:tcW w:w="51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其他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结果</w:t>
            </w:r>
          </w:p>
        </w:tc>
        <w:tc>
          <w:tcPr>
            <w:tcW w:w="51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尚未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审结</w:t>
            </w:r>
          </w:p>
        </w:tc>
        <w:tc>
          <w:tcPr>
            <w:tcW w:w="52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总计</w:t>
            </w:r>
          </w:p>
        </w:tc>
        <w:tc>
          <w:tcPr>
            <w:tcW w:w="26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未经复议直接起诉</w:t>
            </w:r>
          </w:p>
        </w:tc>
        <w:tc>
          <w:tcPr>
            <w:tcW w:w="26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1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2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结果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维持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结果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纠正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其他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结果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尚未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审结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总计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结果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维持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结果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纠正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其他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结果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尚未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审结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tblCellSpacing w:w="0" w:type="dxa"/>
          <w:jc w:val="center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6" w:line="560" w:lineRule="exact"/>
        <w:ind w:firstLine="640" w:firstLineChars="200"/>
        <w:jc w:val="left"/>
        <w:textAlignment w:val="baseline"/>
        <w:outlineLvl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kern w:val="2"/>
          <w:sz w:val="32"/>
          <w:szCs w:val="32"/>
          <w:lang w:val="en-US" w:eastAsia="en-US" w:bidi="ar-SA"/>
        </w:rPr>
        <w:t>五、存在的主要问题及改进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情况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default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</w:t>
      </w: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val="en-US" w:eastAsia="zh-CN"/>
        </w:rPr>
        <w:t>（一）存在问题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3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政务信息公开力度不足，信息质量、内容,形式均需一步改进和加强。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政务公开工作人员力量薄弱，公开的内容不具体、不及时。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val="en-US" w:eastAsia="zh-CN"/>
        </w:rPr>
        <w:t xml:space="preserve">    （二）改进措施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ascii="仿宋" w:hAnsi="仿宋" w:eastAsia="仿宋" w:cs="仿宋"/>
          <w:b/>
          <w:bCs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进一步明确分工，扩大信息公开量。多渠道拓展信息公开范围，及时将政策宣传到位。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加强人员配备，加大政府信息报送工作人员的培训力度，让信息工作人员熟悉政务公开各项规章制度、工作流程，提高工作人员对信息公开工作重要性的认识，增强信息公开的主动性和自觉性，稳步提升我镇政务公开工作水平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65" w:line="560" w:lineRule="exact"/>
        <w:ind w:left="0" w:leftChars="0" w:firstLine="656" w:firstLineChars="200"/>
        <w:jc w:val="left"/>
        <w:textAlignment w:val="baseline"/>
        <w:outlineLvl w:val="0"/>
        <w:rPr>
          <w:rFonts w:hint="eastAsia" w:ascii="黑体" w:hAnsi="黑体" w:eastAsia="黑体" w:cs="黑体"/>
          <w:b w:val="0"/>
          <w:bCs w:val="0"/>
          <w:snapToGrid w:val="0"/>
          <w:color w:val="000000"/>
          <w:kern w:val="0"/>
          <w:sz w:val="32"/>
          <w:szCs w:val="32"/>
          <w:lang w:val="en-US" w:eastAsia="en-US" w:bidi="ar-SA"/>
        </w:rPr>
      </w:pPr>
      <w:r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其他需要报告的事项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65" w:line="240" w:lineRule="auto"/>
        <w:ind w:firstLine="656" w:firstLineChars="200"/>
        <w:jc w:val="left"/>
        <w:textAlignment w:val="baseline"/>
        <w:outlineLvl w:val="0"/>
        <w:rPr>
          <w:rFonts w:hint="eastAsia" w:ascii="方正仿宋_GB2312" w:hAnsi="方正仿宋_GB2312" w:eastAsia="方正仿宋_GB2312" w:cs="方正仿宋_GB2312"/>
          <w:b w:val="0"/>
          <w:bCs w:val="0"/>
          <w:snapToGrid w:val="0"/>
          <w:color w:val="000000"/>
          <w:spacing w:val="4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napToGrid w:val="0"/>
          <w:color w:val="000000"/>
          <w:spacing w:val="4"/>
          <w:kern w:val="0"/>
          <w:sz w:val="32"/>
          <w:szCs w:val="32"/>
          <w:lang w:val="en-US" w:eastAsia="en-US" w:bidi="ar-SA"/>
        </w:rPr>
        <w:t>根据《政府信息公开信息处理费管理办法》规定，本年度未收取任何信息处理费。无其他报告事项。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65" w:line="240" w:lineRule="auto"/>
        <w:ind w:firstLine="656" w:firstLineChars="200"/>
        <w:jc w:val="left"/>
        <w:textAlignment w:val="baseline"/>
        <w:outlineLvl w:val="0"/>
        <w:rPr>
          <w:rFonts w:hint="eastAsia" w:ascii="方正仿宋_GB2312" w:hAnsi="方正仿宋_GB2312" w:eastAsia="方正仿宋_GB2312" w:cs="方正仿宋_GB2312"/>
          <w:b w:val="0"/>
          <w:bCs w:val="0"/>
          <w:snapToGrid w:val="0"/>
          <w:color w:val="000000"/>
          <w:spacing w:val="4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napToGrid w:val="0"/>
          <w:color w:val="000000"/>
          <w:spacing w:val="4"/>
          <w:kern w:val="0"/>
          <w:sz w:val="32"/>
          <w:szCs w:val="32"/>
          <w:lang w:val="en-US" w:eastAsia="zh-CN" w:bidi="ar-SA"/>
        </w:rPr>
        <w:t xml:space="preserve">                    乌拉特前旗大佘太镇人民政府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65" w:line="240" w:lineRule="auto"/>
        <w:ind w:firstLine="656" w:firstLineChars="200"/>
        <w:jc w:val="left"/>
        <w:textAlignment w:val="baseline"/>
        <w:outlineLvl w:val="0"/>
        <w:rPr>
          <w:rFonts w:hint="default" w:ascii="方正仿宋_GB2312" w:hAnsi="方正仿宋_GB2312" w:eastAsia="方正仿宋_GB2312" w:cs="方正仿宋_GB2312"/>
          <w:b w:val="0"/>
          <w:bCs w:val="0"/>
          <w:snapToGrid w:val="0"/>
          <w:color w:val="000000"/>
          <w:spacing w:val="4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napToGrid w:val="0"/>
          <w:color w:val="000000"/>
          <w:spacing w:val="4"/>
          <w:kern w:val="0"/>
          <w:sz w:val="32"/>
          <w:szCs w:val="32"/>
          <w:lang w:val="en-US" w:eastAsia="zh-CN" w:bidi="ar-SA"/>
        </w:rPr>
        <w:t xml:space="preserve">                             2024年1月10日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 w:val="0"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Chars="200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2312">
    <w:altName w:val="楷体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3F41BB"/>
    <w:multiLevelType w:val="singleLevel"/>
    <w:tmpl w:val="3E3F41BB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0NzUzNWVmOTg1YjM4MmY3MzVlOTEzYzlmYTU5Y2MifQ=="/>
  </w:docVars>
  <w:rsids>
    <w:rsidRoot w:val="54A72705"/>
    <w:rsid w:val="45925FE2"/>
    <w:rsid w:val="54A72705"/>
    <w:rsid w:val="74BE4019"/>
    <w:rsid w:val="7F0B0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2024-01-10T07:47:00Z</dcterms:created>
  <dc:creator>小五月</dc:creator>
  <cp:lastModifiedBy>大西几的wps</cp:lastModifiedBy>
  <dcterms:modified xsi:type="dcterms:W3CDTF">2024-01-23T02:13:00Z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4E607B317A3140B9BE719EB35F224BDC_11</vt:lpwstr>
  </property>
</Properties>
</file>