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FAEF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bCs w:val="0"/>
          <w:i w:val="0"/>
          <w:iCs w:val="0"/>
          <w:caps w:val="0"/>
          <w:color w:val="000000" w:themeColor="text1"/>
          <w:spacing w:val="0"/>
          <w:sz w:val="48"/>
          <w:szCs w:val="48"/>
          <w:shd w:val="clear" w:fill="FFFFFF"/>
          <w:lang w:eastAsia="zh-CN"/>
          <w14:textFill>
            <w14:solidFill>
              <w14:schemeClr w14:val="tx1"/>
            </w14:solidFill>
          </w14:textFill>
        </w:rPr>
      </w:pPr>
      <w:bookmarkStart w:id="0" w:name="_GoBack"/>
      <w:bookmarkEnd w:id="0"/>
      <w:r>
        <w:rPr>
          <w:rFonts w:hint="eastAsia" w:ascii="方正小标宋简体" w:hAnsi="方正小标宋简体" w:eastAsia="方正小标宋简体" w:cs="方正小标宋简体"/>
          <w:b w:val="0"/>
          <w:bCs w:val="0"/>
          <w:i w:val="0"/>
          <w:iCs w:val="0"/>
          <w:caps w:val="0"/>
          <w:color w:val="000000" w:themeColor="text1"/>
          <w:spacing w:val="0"/>
          <w:sz w:val="48"/>
          <w:szCs w:val="48"/>
          <w:shd w:val="clear" w:fill="FFFFFF"/>
          <w14:textFill>
            <w14:solidFill>
              <w14:schemeClr w14:val="tx1"/>
            </w14:solidFill>
          </w14:textFill>
        </w:rPr>
        <w:t>乌拉特前旗</w:t>
      </w:r>
      <w:r>
        <w:rPr>
          <w:rFonts w:hint="eastAsia" w:ascii="方正小标宋简体" w:hAnsi="方正小标宋简体" w:eastAsia="方正小标宋简体" w:cs="方正小标宋简体"/>
          <w:b w:val="0"/>
          <w:bCs w:val="0"/>
          <w:i w:val="0"/>
          <w:iCs w:val="0"/>
          <w:caps w:val="0"/>
          <w:color w:val="000000" w:themeColor="text1"/>
          <w:spacing w:val="0"/>
          <w:sz w:val="48"/>
          <w:szCs w:val="48"/>
          <w:shd w:val="clear" w:fill="FFFFFF"/>
          <w:lang w:eastAsia="zh-CN"/>
          <w14:textFill>
            <w14:solidFill>
              <w14:schemeClr w14:val="tx1"/>
            </w14:solidFill>
          </w14:textFill>
        </w:rPr>
        <w:t>卫生健康委员会</w:t>
      </w:r>
    </w:p>
    <w:p w14:paraId="30FB67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bCs w:val="0"/>
          <w:i w:val="0"/>
          <w:iCs w:val="0"/>
          <w:caps w:val="0"/>
          <w:color w:val="000000" w:themeColor="text1"/>
          <w:spacing w:val="0"/>
          <w:sz w:val="48"/>
          <w:szCs w:val="48"/>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48"/>
          <w:szCs w:val="48"/>
          <w:shd w:val="clear" w:fill="FFFFFF"/>
          <w14:textFill>
            <w14:solidFill>
              <w14:schemeClr w14:val="tx1"/>
            </w14:solidFill>
          </w14:textFill>
        </w:rPr>
        <w:t>20</w:t>
      </w:r>
      <w:r>
        <w:rPr>
          <w:rFonts w:hint="eastAsia" w:ascii="方正小标宋简体" w:hAnsi="方正小标宋简体" w:eastAsia="方正小标宋简体" w:cs="方正小标宋简体"/>
          <w:b w:val="0"/>
          <w:bCs w:val="0"/>
          <w:i w:val="0"/>
          <w:iCs w:val="0"/>
          <w:caps w:val="0"/>
          <w:color w:val="000000" w:themeColor="text1"/>
          <w:spacing w:val="0"/>
          <w:sz w:val="48"/>
          <w:szCs w:val="48"/>
          <w:shd w:val="clear" w:fill="FFFFFF"/>
          <w:lang w:val="en-US" w:eastAsia="zh-CN"/>
          <w14:textFill>
            <w14:solidFill>
              <w14:schemeClr w14:val="tx1"/>
            </w14:solidFill>
          </w14:textFill>
        </w:rPr>
        <w:t>23</w:t>
      </w:r>
      <w:r>
        <w:rPr>
          <w:rFonts w:hint="eastAsia" w:ascii="方正小标宋简体" w:hAnsi="方正小标宋简体" w:eastAsia="方正小标宋简体" w:cs="方正小标宋简体"/>
          <w:b w:val="0"/>
          <w:bCs w:val="0"/>
          <w:i w:val="0"/>
          <w:iCs w:val="0"/>
          <w:caps w:val="0"/>
          <w:color w:val="000000" w:themeColor="text1"/>
          <w:spacing w:val="0"/>
          <w:sz w:val="48"/>
          <w:szCs w:val="48"/>
          <w:shd w:val="clear" w:fill="FFFFFF"/>
          <w14:textFill>
            <w14:solidFill>
              <w14:schemeClr w14:val="tx1"/>
            </w14:solidFill>
          </w14:textFill>
        </w:rPr>
        <w:t>年政府信息公开</w:t>
      </w:r>
      <w:r>
        <w:rPr>
          <w:rFonts w:hint="eastAsia" w:ascii="方正小标宋简体" w:hAnsi="方正小标宋简体" w:eastAsia="方正小标宋简体" w:cs="方正小标宋简体"/>
          <w:b w:val="0"/>
          <w:bCs w:val="0"/>
          <w:i w:val="0"/>
          <w:iCs w:val="0"/>
          <w:caps w:val="0"/>
          <w:color w:val="000000" w:themeColor="text1"/>
          <w:spacing w:val="0"/>
          <w:sz w:val="48"/>
          <w:szCs w:val="48"/>
          <w:shd w:val="clear" w:fill="FFFFFF"/>
          <w:lang w:val="en-US" w:eastAsia="zh-CN"/>
          <w14:textFill>
            <w14:solidFill>
              <w14:schemeClr w14:val="tx1"/>
            </w14:solidFill>
          </w14:textFill>
        </w:rPr>
        <w:t>工作</w:t>
      </w:r>
      <w:r>
        <w:rPr>
          <w:rFonts w:hint="eastAsia" w:ascii="方正小标宋简体" w:hAnsi="方正小标宋简体" w:eastAsia="方正小标宋简体" w:cs="方正小标宋简体"/>
          <w:b w:val="0"/>
          <w:bCs w:val="0"/>
          <w:i w:val="0"/>
          <w:iCs w:val="0"/>
          <w:caps w:val="0"/>
          <w:color w:val="000000" w:themeColor="text1"/>
          <w:spacing w:val="0"/>
          <w:sz w:val="48"/>
          <w:szCs w:val="48"/>
          <w:shd w:val="clear" w:fill="FFFFFF"/>
          <w14:textFill>
            <w14:solidFill>
              <w14:schemeClr w14:val="tx1"/>
            </w14:solidFill>
          </w14:textFill>
        </w:rPr>
        <w:t>年度报告</w:t>
      </w:r>
    </w:p>
    <w:p w14:paraId="6A63552F">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3" w:firstLineChars="200"/>
        <w:jc w:val="both"/>
        <w:rPr>
          <w:rFonts w:hint="eastAsia" w:ascii="仿宋" w:hAnsi="仿宋" w:eastAsia="仿宋" w:cs="仿宋"/>
          <w:b/>
          <w:bCs/>
          <w:sz w:val="32"/>
          <w:szCs w:val="32"/>
          <w:lang w:val="en-US" w:eastAsia="zh-CN"/>
        </w:rPr>
      </w:pPr>
    </w:p>
    <w:p w14:paraId="131B5541">
      <w:pPr>
        <w:ind w:firstLine="640" w:firstLineChars="200"/>
        <w:rPr>
          <w:rFonts w:hint="eastAsia" w:ascii="仿宋_GB2312" w:hAnsi="仿宋_GB2312" w:eastAsia="仿宋_GB2312" w:cs="仿宋_GB2312"/>
          <w:b w:val="0"/>
          <w:bCs w:val="0"/>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本年度报告根据《中华人民共和国政府信息公开条例》（以下简称《条例》） </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《国务院办公厅政府信息与政务公开办公室关于印发&lt;中华人民共和国政府信息公开工作年度报告格式&gt;的通知》（国办公开办函〔2021〕30号）要求制作。</w:t>
      </w: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本报告由总体情况，主动公开政府信息情况，收到和处理政府信息公开申请情况，政府信息公开行政复议、行政诉讼情况，存在的主要问题及改进情况以及其他需要报告的事项等部分组成。</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本年度报告中所列数据的统计期限为</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202</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月</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日起至</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202</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12</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月</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31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日止</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b w:val="0"/>
          <w:bCs w:val="0"/>
          <w:sz w:val="32"/>
          <w:szCs w:val="32"/>
          <w:lang w:val="en-US" w:eastAsia="zh-CN"/>
        </w:rPr>
        <w:t>2023</w:t>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年度报告电子版可以从乌拉特前旗人民政府门户网站（http://www.wltqq.gov.cn）下载，如对本年度报告有疑问，请与乌拉特前旗卫生健康委员会联系（电话：0478-2216466）。</w:t>
      </w:r>
    </w:p>
    <w:p w14:paraId="0140CEAF">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3" w:firstLineChars="200"/>
        <w:jc w:val="both"/>
        <w:rPr>
          <w:rFonts w:hint="eastAsia" w:ascii="仿宋" w:hAnsi="仿宋" w:eastAsia="仿宋" w:cs="仿宋"/>
          <w:b/>
          <w:bCs/>
          <w:sz w:val="32"/>
          <w:szCs w:val="32"/>
          <w:lang w:eastAsia="zh-CN"/>
        </w:rPr>
      </w:pPr>
      <w:r>
        <w:rPr>
          <w:rFonts w:hint="eastAsia" w:ascii="仿宋" w:hAnsi="仿宋" w:eastAsia="仿宋" w:cs="仿宋"/>
          <w:b/>
          <w:bCs/>
          <w:sz w:val="32"/>
          <w:szCs w:val="32"/>
        </w:rPr>
        <w:t>总体情况</w:t>
      </w:r>
    </w:p>
    <w:p w14:paraId="43F6577E">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0" w:firstLineChars="200"/>
        <w:jc w:val="both"/>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2023</w:t>
      </w:r>
      <w:r>
        <w:rPr>
          <w:rFonts w:hint="eastAsia" w:ascii="仿宋_GB2312" w:hAnsi="仿宋_GB2312" w:eastAsia="仿宋_GB2312" w:cs="仿宋_GB2312"/>
          <w:i w:val="0"/>
          <w:iCs w:val="0"/>
          <w:caps w:val="0"/>
          <w:color w:val="333333"/>
          <w:spacing w:val="0"/>
          <w:sz w:val="32"/>
          <w:szCs w:val="32"/>
          <w:shd w:val="clear" w:fill="FFFFFF"/>
        </w:rPr>
        <w:t>年，我委认真贯彻落实国家、自治区和</w:t>
      </w:r>
      <w:r>
        <w:rPr>
          <w:rFonts w:hint="eastAsia" w:ascii="仿宋_GB2312" w:hAnsi="仿宋_GB2312" w:eastAsia="仿宋_GB2312" w:cs="仿宋_GB2312"/>
          <w:i w:val="0"/>
          <w:iCs w:val="0"/>
          <w:caps w:val="0"/>
          <w:color w:val="333333"/>
          <w:spacing w:val="0"/>
          <w:sz w:val="32"/>
          <w:szCs w:val="32"/>
          <w:shd w:val="clear" w:fill="FFFFFF"/>
          <w:lang w:eastAsia="zh-CN"/>
        </w:rPr>
        <w:t>市</w:t>
      </w:r>
      <w:r>
        <w:rPr>
          <w:rFonts w:hint="eastAsia" w:ascii="仿宋_GB2312" w:hAnsi="仿宋_GB2312" w:eastAsia="仿宋_GB2312" w:cs="仿宋_GB2312"/>
          <w:i w:val="0"/>
          <w:iCs w:val="0"/>
          <w:caps w:val="0"/>
          <w:color w:val="333333"/>
          <w:spacing w:val="0"/>
          <w:sz w:val="32"/>
          <w:szCs w:val="32"/>
          <w:shd w:val="clear" w:fill="FFFFFF"/>
        </w:rPr>
        <w:t>委、</w:t>
      </w:r>
      <w:r>
        <w:rPr>
          <w:rFonts w:hint="eastAsia" w:ascii="仿宋_GB2312" w:hAnsi="仿宋_GB2312" w:eastAsia="仿宋_GB2312" w:cs="仿宋_GB2312"/>
          <w:i w:val="0"/>
          <w:iCs w:val="0"/>
          <w:caps w:val="0"/>
          <w:color w:val="333333"/>
          <w:spacing w:val="0"/>
          <w:sz w:val="32"/>
          <w:szCs w:val="32"/>
          <w:shd w:val="clear" w:fill="FFFFFF"/>
          <w:lang w:eastAsia="zh-CN"/>
        </w:rPr>
        <w:t>旗委</w:t>
      </w:r>
      <w:r>
        <w:rPr>
          <w:rFonts w:hint="eastAsia" w:ascii="仿宋_GB2312" w:hAnsi="仿宋_GB2312" w:eastAsia="仿宋_GB2312" w:cs="仿宋_GB2312"/>
          <w:i w:val="0"/>
          <w:iCs w:val="0"/>
          <w:caps w:val="0"/>
          <w:color w:val="333333"/>
          <w:spacing w:val="0"/>
          <w:sz w:val="32"/>
          <w:szCs w:val="32"/>
          <w:shd w:val="clear" w:fill="FFFFFF"/>
        </w:rPr>
        <w:t>决策部署，按照《中华人民共和国政府信息公开条例》和《202</w:t>
      </w:r>
      <w:r>
        <w:rPr>
          <w:rFonts w:hint="eastAsia" w:ascii="仿宋_GB2312" w:hAnsi="仿宋_GB2312" w:eastAsia="仿宋_GB2312" w:cs="仿宋_GB2312"/>
          <w:i w:val="0"/>
          <w:iCs w:val="0"/>
          <w:caps w:val="0"/>
          <w:color w:val="333333"/>
          <w:spacing w:val="0"/>
          <w:sz w:val="32"/>
          <w:szCs w:val="32"/>
          <w:shd w:val="clear" w:fill="FFFFFF"/>
          <w:lang w:val="en-US" w:eastAsia="zh-CN"/>
        </w:rPr>
        <w:t>3</w:t>
      </w:r>
      <w:r>
        <w:rPr>
          <w:rFonts w:hint="eastAsia" w:ascii="仿宋_GB2312" w:hAnsi="仿宋_GB2312" w:eastAsia="仿宋_GB2312" w:cs="仿宋_GB2312"/>
          <w:i w:val="0"/>
          <w:iCs w:val="0"/>
          <w:caps w:val="0"/>
          <w:color w:val="333333"/>
          <w:spacing w:val="0"/>
          <w:sz w:val="32"/>
          <w:szCs w:val="32"/>
          <w:shd w:val="clear" w:fill="FFFFFF"/>
        </w:rPr>
        <w:t>年政务公开工作要点》等文件精神要求，加强组织领导，完善制度建设，丰富信息公开渠道和内容，加强政策解读及回应关切，推进卫生健康领域公共企事业单位信息公开，不断提升政府信息公开影响力。</w:t>
      </w:r>
    </w:p>
    <w:p w14:paraId="7F0E9C1E">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336" w:leftChars="0" w:right="0" w:rightChars="0"/>
        <w:jc w:val="both"/>
        <w:rPr>
          <w:rFonts w:hint="eastAsia" w:ascii="仿宋" w:hAnsi="仿宋" w:eastAsia="仿宋" w:cs="仿宋"/>
          <w:b/>
          <w:bCs/>
          <w:i w:val="0"/>
          <w:iCs w:val="0"/>
          <w:caps w:val="0"/>
          <w:color w:val="000000"/>
          <w:spacing w:val="0"/>
          <w:sz w:val="32"/>
          <w:szCs w:val="32"/>
          <w:shd w:val="clear" w:fill="FFFFFF"/>
        </w:rPr>
      </w:pPr>
      <w:r>
        <w:rPr>
          <w:rFonts w:hint="eastAsia" w:ascii="仿宋" w:hAnsi="仿宋" w:eastAsia="仿宋" w:cs="仿宋"/>
          <w:b/>
          <w:bCs/>
          <w:i w:val="0"/>
          <w:iCs w:val="0"/>
          <w:caps w:val="0"/>
          <w:color w:val="000000"/>
          <w:spacing w:val="0"/>
          <w:sz w:val="32"/>
          <w:szCs w:val="32"/>
          <w:shd w:val="clear" w:fill="FFFFFF"/>
        </w:rPr>
        <w:t>主动公开情况</w:t>
      </w:r>
    </w:p>
    <w:p w14:paraId="32B24B7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rFonts w:hint="eastAsia" w:ascii="仿宋_GB2312" w:hAnsi="仿宋_GB2312" w:eastAsia="仿宋_GB2312" w:cs="仿宋_GB2312"/>
          <w:i w:val="0"/>
          <w:iCs w:val="0"/>
          <w:caps w:val="0"/>
          <w:color w:val="2B2B2B"/>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围绕202</w:t>
      </w:r>
      <w:r>
        <w:rPr>
          <w:rFonts w:hint="eastAsia" w:ascii="仿宋_GB2312" w:hAnsi="仿宋_GB2312" w:eastAsia="仿宋_GB2312" w:cs="仿宋_GB2312"/>
          <w:i w:val="0"/>
          <w:iCs w:val="0"/>
          <w:caps w:val="0"/>
          <w:color w:val="333333"/>
          <w:spacing w:val="0"/>
          <w:sz w:val="32"/>
          <w:szCs w:val="32"/>
          <w:shd w:val="clear" w:fill="FFFFFF"/>
          <w:lang w:val="en-US" w:eastAsia="zh-CN"/>
        </w:rPr>
        <w:t>3</w:t>
      </w:r>
      <w:r>
        <w:rPr>
          <w:rFonts w:hint="eastAsia" w:ascii="仿宋_GB2312" w:hAnsi="仿宋_GB2312" w:eastAsia="仿宋_GB2312" w:cs="仿宋_GB2312"/>
          <w:i w:val="0"/>
          <w:iCs w:val="0"/>
          <w:caps w:val="0"/>
          <w:color w:val="333333"/>
          <w:spacing w:val="0"/>
          <w:sz w:val="32"/>
          <w:szCs w:val="32"/>
          <w:shd w:val="clear" w:fill="FFFFFF"/>
        </w:rPr>
        <w:t>年政务公开工作要点和卫生健康中心工作以及人民群众关心的热点重点问题，及时准确公开信息。</w:t>
      </w: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2023年在卫健委公众号主动发布工作动态、通知公告等各类信息简报493条。</w:t>
      </w: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同时充分利用微信、各医院公众号等平台，实时发布卫生健康各类活动及疫情防控信息简报，进一步扩大政务公开的覆盖面和影响力。</w:t>
      </w:r>
    </w:p>
    <w:p w14:paraId="6DF3F255">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jc w:val="both"/>
        <w:rPr>
          <w:rFonts w:hint="eastAsia" w:ascii="仿宋" w:hAnsi="仿宋" w:eastAsia="仿宋" w:cs="仿宋"/>
          <w:b/>
          <w:bCs/>
          <w:i w:val="0"/>
          <w:iCs w:val="0"/>
          <w:caps w:val="0"/>
          <w:color w:val="000000"/>
          <w:spacing w:val="0"/>
          <w:sz w:val="32"/>
          <w:szCs w:val="32"/>
          <w:shd w:val="clear" w:fill="FFFFFF"/>
        </w:rPr>
      </w:pPr>
    </w:p>
    <w:p w14:paraId="53DC541B">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336" w:leftChars="0" w:right="0" w:rightChars="0"/>
        <w:jc w:val="both"/>
        <w:rPr>
          <w:rFonts w:hint="eastAsia"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rPr>
        <w:t>依申请公开情况</w:t>
      </w:r>
    </w:p>
    <w:p w14:paraId="19818B82">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0" w:firstLineChars="200"/>
        <w:jc w:val="both"/>
        <w:rPr>
          <w:rFonts w:hint="eastAsia" w:ascii="仿宋_GB2312" w:hAnsi="仿宋_GB2312" w:eastAsia="仿宋_GB2312" w:cs="仿宋_GB2312"/>
          <w:b/>
          <w:bCs/>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rPr>
        <w:t>畅通信息公开申请受理渠道和方式，健全受理、办理、答复工作机制，及时回应依申请公开诉求，切实做好依申请公开工作。</w:t>
      </w:r>
      <w:r>
        <w:rPr>
          <w:rFonts w:hint="eastAsia" w:ascii="仿宋_GB2312" w:hAnsi="仿宋_GB2312" w:eastAsia="仿宋_GB2312" w:cs="仿宋_GB2312"/>
          <w:i w:val="0"/>
          <w:iCs w:val="0"/>
          <w:caps w:val="0"/>
          <w:color w:val="333333"/>
          <w:spacing w:val="0"/>
          <w:sz w:val="32"/>
          <w:szCs w:val="32"/>
          <w:highlight w:val="none"/>
          <w:shd w:val="clear" w:fill="FFFFFF"/>
        </w:rPr>
        <w:t>202</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3</w:t>
      </w:r>
      <w:r>
        <w:rPr>
          <w:rFonts w:hint="eastAsia" w:ascii="仿宋_GB2312" w:hAnsi="仿宋_GB2312" w:eastAsia="仿宋_GB2312" w:cs="仿宋_GB2312"/>
          <w:i w:val="0"/>
          <w:iCs w:val="0"/>
          <w:caps w:val="0"/>
          <w:color w:val="333333"/>
          <w:spacing w:val="0"/>
          <w:sz w:val="32"/>
          <w:szCs w:val="32"/>
          <w:highlight w:val="none"/>
          <w:shd w:val="clear" w:fill="FFFFFF"/>
        </w:rPr>
        <w:t>年，我委</w:t>
      </w:r>
      <w:r>
        <w:rPr>
          <w:rFonts w:hint="eastAsia" w:ascii="仿宋_GB2312" w:hAnsi="仿宋_GB2312" w:eastAsia="仿宋_GB2312" w:cs="仿宋_GB2312"/>
          <w:i w:val="0"/>
          <w:iCs w:val="0"/>
          <w:caps w:val="0"/>
          <w:color w:val="333333"/>
          <w:spacing w:val="0"/>
          <w:sz w:val="32"/>
          <w:szCs w:val="32"/>
          <w:highlight w:val="none"/>
          <w:shd w:val="clear" w:fill="FFFFFF"/>
          <w:lang w:eastAsia="zh-CN"/>
        </w:rPr>
        <w:t>未</w:t>
      </w:r>
      <w:r>
        <w:rPr>
          <w:rFonts w:hint="eastAsia" w:ascii="仿宋_GB2312" w:hAnsi="仿宋_GB2312" w:eastAsia="仿宋_GB2312" w:cs="仿宋_GB2312"/>
          <w:i w:val="0"/>
          <w:iCs w:val="0"/>
          <w:caps w:val="0"/>
          <w:color w:val="333333"/>
          <w:spacing w:val="0"/>
          <w:sz w:val="32"/>
          <w:szCs w:val="32"/>
          <w:highlight w:val="none"/>
          <w:shd w:val="clear" w:fill="FFFFFF"/>
        </w:rPr>
        <w:t>收到公开事项，未收到行政复议和行政诉讼。</w:t>
      </w:r>
    </w:p>
    <w:p w14:paraId="6BA96B47">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336" w:leftChars="0" w:right="0" w:rightChars="0"/>
        <w:jc w:val="both"/>
        <w:rPr>
          <w:rFonts w:hint="eastAsia"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rPr>
        <w:t>政府信息管理情况</w:t>
      </w:r>
    </w:p>
    <w:p w14:paraId="0ABBAE8B">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0" w:firstLineChars="200"/>
        <w:jc w:val="both"/>
        <w:rPr>
          <w:rFonts w:hint="eastAsia" w:ascii="仿宋_GB2312" w:hAnsi="仿宋_GB2312" w:eastAsia="仿宋_GB2312" w:cs="仿宋_GB2312"/>
          <w:b/>
          <w:bCs/>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rPr>
        <w:t>进一步完善政府信息发布审核机制、保密审查制度、台账管理机制和责任追究制度，明确信息公开审核审查流程和责任，严格落实信息发布“一件一审”管理制度。</w:t>
      </w:r>
    </w:p>
    <w:p w14:paraId="254137FD">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336" w:leftChars="0" w:right="0" w:rightChars="0"/>
        <w:jc w:val="both"/>
        <w:rPr>
          <w:rFonts w:hint="eastAsia"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rPr>
        <w:t>政府信息公开平台建设情况</w:t>
      </w:r>
    </w:p>
    <w:p w14:paraId="13389B3B">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0" w:firstLineChars="200"/>
        <w:jc w:val="both"/>
        <w:rPr>
          <w:rFonts w:hint="eastAsia" w:ascii="仿宋_GB2312" w:hAnsi="仿宋_GB2312" w:eastAsia="仿宋_GB2312" w:cs="仿宋_GB2312"/>
          <w:b/>
          <w:bCs/>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rPr>
        <w:t>不断加强委门户网站和政务新媒体管理，制定完善《</w:t>
      </w:r>
      <w:r>
        <w:rPr>
          <w:rFonts w:hint="eastAsia" w:ascii="仿宋_GB2312" w:hAnsi="仿宋_GB2312" w:eastAsia="仿宋_GB2312" w:cs="仿宋_GB2312"/>
          <w:i w:val="0"/>
          <w:iCs w:val="0"/>
          <w:caps w:val="0"/>
          <w:color w:val="333333"/>
          <w:spacing w:val="0"/>
          <w:sz w:val="32"/>
          <w:szCs w:val="32"/>
          <w:shd w:val="clear" w:fill="FFFFFF"/>
          <w:lang w:eastAsia="zh-CN"/>
        </w:rPr>
        <w:t>乌拉特前旗</w:t>
      </w:r>
      <w:r>
        <w:rPr>
          <w:rFonts w:hint="eastAsia" w:ascii="仿宋_GB2312" w:hAnsi="仿宋_GB2312" w:eastAsia="仿宋_GB2312" w:cs="仿宋_GB2312"/>
          <w:i w:val="0"/>
          <w:iCs w:val="0"/>
          <w:caps w:val="0"/>
          <w:color w:val="333333"/>
          <w:spacing w:val="0"/>
          <w:sz w:val="32"/>
          <w:szCs w:val="32"/>
          <w:shd w:val="clear" w:fill="FFFFFF"/>
        </w:rPr>
        <w:t>卫生健康委门户网站管理制度》等制度，在委门户网站加强健康科普知识宣传，充分利用门户网站和政务新媒体做好政务公开工作。</w:t>
      </w:r>
    </w:p>
    <w:p w14:paraId="3D74C879">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336" w:leftChars="0" w:right="0" w:rightChars="0"/>
        <w:jc w:val="both"/>
        <w:rPr>
          <w:rFonts w:hint="eastAsia"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rPr>
        <w:t>监督保障情况</w:t>
      </w:r>
    </w:p>
    <w:p w14:paraId="2B3F6175">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0" w:firstLineChars="200"/>
        <w:jc w:val="both"/>
        <w:rPr>
          <w:rFonts w:hint="eastAsia" w:ascii="仿宋_GB2312" w:hAnsi="仿宋_GB2312" w:eastAsia="仿宋_GB2312" w:cs="仿宋_GB2312"/>
          <w:b/>
          <w:bCs/>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rPr>
        <w:t>一是根据人员变动情况及时调整委政务公开领导小组，由委主要领导负总责，分管领导具体抓，委办公室、宣教科、法规与综合监督科牵头推进，进一步明确人员职责。二是建立信息报送发布工作考评制度，切实提升信息公开工作整体水平。三是扎实开展政务公开工作存在问题整改整治，针对错敏词等问题及时整改并反馈相关领导和科室，并建立易错词表送委全体人员传阅，进一步加强信息公开工作。</w:t>
      </w:r>
    </w:p>
    <w:p w14:paraId="6B99B24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3" w:firstLineChars="200"/>
        <w:jc w:val="both"/>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t>二、主动公开政府信息情况</w:t>
      </w:r>
    </w:p>
    <w:tbl>
      <w:tblPr>
        <w:tblStyle w:val="6"/>
        <w:tblW w:w="7788"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944"/>
        <w:gridCol w:w="1944"/>
        <w:gridCol w:w="1944"/>
        <w:gridCol w:w="1956"/>
      </w:tblGrid>
      <w:tr w14:paraId="2793B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single" w:color="auto" w:sz="4" w:space="0"/>
              <w:left w:val="single" w:color="auto" w:sz="4" w:space="0"/>
              <w:bottom w:val="single" w:color="auto" w:sz="4" w:space="0"/>
              <w:right w:val="single" w:color="auto" w:sz="4" w:space="0"/>
            </w:tcBorders>
            <w:shd w:val="clear" w:color="auto" w:fill="C6D9F1"/>
            <w:tcMar>
              <w:left w:w="48" w:type="dxa"/>
              <w:right w:w="48" w:type="dxa"/>
            </w:tcMar>
            <w:vAlign w:val="center"/>
          </w:tcPr>
          <w:p w14:paraId="33D6001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第二十条第（一）项</w:t>
            </w:r>
          </w:p>
        </w:tc>
      </w:tr>
      <w:tr w14:paraId="4619E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14:paraId="7F124FC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14:paraId="526B769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本年制发件数</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14:paraId="06CA007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本年废止件数</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14:paraId="3AD7152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现行有效件数</w:t>
            </w:r>
          </w:p>
        </w:tc>
      </w:tr>
      <w:tr w14:paraId="072A2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14:paraId="55835EA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规章</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14:paraId="28BA9FD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14:paraId="7DD8CA0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14:paraId="4AD9C03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ascii="Calibri" w:hAnsi="Calibri" w:eastAsia="宋体" w:cs="Calibri"/>
                <w:color w:val="333333"/>
                <w:sz w:val="16"/>
                <w:szCs w:val="16"/>
                <w:u w:val="none"/>
              </w:rPr>
              <w:t>0</w:t>
            </w:r>
          </w:p>
        </w:tc>
      </w:tr>
      <w:tr w14:paraId="1573B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14:paraId="72C2E26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行政规范性文件</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14:paraId="20D8C74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14:paraId="29D34D1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14:paraId="3DAE4EC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Calibri" w:hAnsi="Calibri" w:eastAsia="宋体" w:cs="Calibri"/>
                <w:color w:val="333333"/>
                <w:sz w:val="16"/>
                <w:szCs w:val="16"/>
                <w:u w:val="none"/>
              </w:rPr>
              <w:t>0</w:t>
            </w:r>
          </w:p>
        </w:tc>
      </w:tr>
      <w:tr w14:paraId="6AAD6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14:paraId="05CB0A7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第二十条第（五）项</w:t>
            </w:r>
          </w:p>
        </w:tc>
      </w:tr>
      <w:tr w14:paraId="4C7F4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14:paraId="0A37A36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14:paraId="03DCA94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微软雅黑" w:hAnsi="微软雅黑" w:eastAsia="微软雅黑" w:cs="微软雅黑"/>
                <w:color w:val="333333"/>
                <w:sz w:val="16"/>
                <w:szCs w:val="16"/>
                <w:u w:val="none"/>
                <w:lang w:val="en-US" w:eastAsia="zh-CN"/>
              </w:rPr>
            </w:pPr>
            <w:r>
              <w:rPr>
                <w:rFonts w:hint="eastAsia" w:ascii="宋体" w:hAnsi="宋体" w:cs="宋体"/>
                <w:color w:val="333333"/>
                <w:sz w:val="15"/>
                <w:szCs w:val="15"/>
                <w:u w:val="none"/>
                <w:lang w:val="en-US" w:eastAsia="zh-CN"/>
              </w:rPr>
              <w:t>381</w:t>
            </w:r>
          </w:p>
        </w:tc>
      </w:tr>
      <w:tr w14:paraId="6356A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14:paraId="34300AB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行政许可</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14:paraId="08BC651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Calibri" w:hAnsi="Calibri" w:eastAsia="宋体" w:cs="Calibri"/>
                <w:color w:val="333333"/>
                <w:sz w:val="16"/>
                <w:szCs w:val="16"/>
                <w:u w:val="none"/>
              </w:rPr>
              <w:t>0</w:t>
            </w:r>
          </w:p>
        </w:tc>
      </w:tr>
      <w:tr w14:paraId="345D9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14:paraId="59AB024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第二十条第（六）项</w:t>
            </w:r>
          </w:p>
        </w:tc>
      </w:tr>
      <w:tr w14:paraId="61A07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14:paraId="553A321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5844" w:type="dxa"/>
            <w:gridSpan w:val="3"/>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14:paraId="79AD428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本年处理决定数量</w:t>
            </w:r>
          </w:p>
        </w:tc>
      </w:tr>
      <w:tr w14:paraId="3108D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14:paraId="66E8230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行政处罚</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14:paraId="30E867B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微软雅黑" w:hAnsi="微软雅黑" w:eastAsia="微软雅黑" w:cs="微软雅黑"/>
                <w:color w:val="333333"/>
                <w:sz w:val="16"/>
                <w:szCs w:val="16"/>
                <w:u w:val="none"/>
                <w:lang w:val="en-US" w:eastAsia="zh-CN"/>
              </w:rPr>
            </w:pPr>
            <w:r>
              <w:rPr>
                <w:rFonts w:hint="eastAsia" w:ascii="微软雅黑" w:hAnsi="微软雅黑" w:eastAsia="微软雅黑" w:cs="微软雅黑"/>
                <w:color w:val="333333"/>
                <w:sz w:val="16"/>
                <w:szCs w:val="16"/>
                <w:u w:val="none"/>
                <w:lang w:val="en-US" w:eastAsia="zh-CN"/>
              </w:rPr>
              <w:t>21</w:t>
            </w:r>
          </w:p>
        </w:tc>
      </w:tr>
      <w:tr w14:paraId="72348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14:paraId="3114BCF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行政强制</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14:paraId="70AB0DE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r>
      <w:tr w14:paraId="68C13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14:paraId="65F3F2E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第二十条第（八）项</w:t>
            </w:r>
          </w:p>
        </w:tc>
      </w:tr>
      <w:tr w14:paraId="0CAAB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14:paraId="4C71828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5844" w:type="dxa"/>
            <w:gridSpan w:val="3"/>
            <w:tcBorders>
              <w:top w:val="nil"/>
              <w:left w:val="nil"/>
              <w:bottom w:val="single" w:color="auto" w:sz="4" w:space="0"/>
              <w:right w:val="single" w:color="000000" w:sz="4" w:space="0"/>
            </w:tcBorders>
            <w:shd w:val="clear" w:color="auto" w:fill="auto"/>
            <w:tcMar>
              <w:left w:w="48" w:type="dxa"/>
              <w:right w:w="48" w:type="dxa"/>
            </w:tcMar>
            <w:vAlign w:val="center"/>
          </w:tcPr>
          <w:p w14:paraId="460B64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本年收费金额（单位：万元）</w:t>
            </w:r>
          </w:p>
        </w:tc>
      </w:tr>
      <w:tr w14:paraId="1B5CE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14:paraId="7ECC14E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行政事业性收费</w:t>
            </w:r>
          </w:p>
        </w:tc>
        <w:tc>
          <w:tcPr>
            <w:tcW w:w="5844" w:type="dxa"/>
            <w:gridSpan w:val="3"/>
            <w:tcBorders>
              <w:top w:val="nil"/>
              <w:left w:val="nil"/>
              <w:bottom w:val="single" w:color="auto" w:sz="4" w:space="0"/>
              <w:right w:val="single" w:color="000000" w:sz="4" w:space="0"/>
            </w:tcBorders>
            <w:shd w:val="clear" w:color="auto" w:fill="auto"/>
            <w:tcMar>
              <w:left w:w="48" w:type="dxa"/>
              <w:right w:w="48" w:type="dxa"/>
            </w:tcMar>
            <w:vAlign w:val="center"/>
          </w:tcPr>
          <w:p w14:paraId="7E498CE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r>
    </w:tbl>
    <w:p w14:paraId="0A73833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16"/>
          <w:szCs w:val="16"/>
          <w:u w:val="none"/>
        </w:rPr>
      </w:pPr>
      <w:r>
        <w:rPr>
          <w:rFonts w:hint="default" w:ascii="Times New Roman" w:hAnsi="Times New Roman" w:eastAsia="微软雅黑" w:cs="Times New Roman"/>
          <w:i w:val="0"/>
          <w:iCs w:val="0"/>
          <w:caps w:val="0"/>
          <w:color w:val="333333"/>
          <w:spacing w:val="0"/>
          <w:sz w:val="16"/>
          <w:szCs w:val="16"/>
          <w:u w:val="none"/>
          <w:shd w:val="clear" w:fill="FFFFFF"/>
        </w:rPr>
        <w:t> </w:t>
      </w:r>
    </w:p>
    <w:p w14:paraId="5D463D7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3" w:firstLineChars="200"/>
        <w:jc w:val="both"/>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t>三、收到和处理政府信息公开申请情况</w:t>
      </w:r>
    </w:p>
    <w:p w14:paraId="10D4E8F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333333"/>
          <w:spacing w:val="0"/>
          <w:sz w:val="18"/>
          <w:szCs w:val="18"/>
          <w:u w:val="none"/>
        </w:rPr>
      </w:pPr>
      <w:r>
        <w:rPr>
          <w:rFonts w:hint="eastAsia" w:ascii="宋体" w:hAnsi="宋体" w:eastAsia="宋体" w:cs="宋体"/>
          <w:i w:val="0"/>
          <w:iCs w:val="0"/>
          <w:caps w:val="0"/>
          <w:color w:val="333333"/>
          <w:spacing w:val="0"/>
          <w:sz w:val="19"/>
          <w:szCs w:val="19"/>
          <w:u w:val="none"/>
          <w:shd w:val="clear" w:fill="FFFFFF"/>
        </w:rPr>
        <w:t> </w:t>
      </w:r>
    </w:p>
    <w:tbl>
      <w:tblPr>
        <w:tblStyle w:val="6"/>
        <w:tblW w:w="7800"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11"/>
        <w:gridCol w:w="755"/>
        <w:gridCol w:w="2574"/>
        <w:gridCol w:w="551"/>
        <w:gridCol w:w="551"/>
        <w:gridCol w:w="551"/>
        <w:gridCol w:w="551"/>
        <w:gridCol w:w="552"/>
        <w:gridCol w:w="552"/>
        <w:gridCol w:w="552"/>
      </w:tblGrid>
      <w:tr w14:paraId="7C9915B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vMerge w:val="restart"/>
            <w:tcBorders>
              <w:top w:val="single" w:color="auto" w:sz="4" w:space="0"/>
              <w:left w:val="single" w:color="auto" w:sz="4" w:space="0"/>
              <w:bottom w:val="outset" w:color="auto" w:sz="4" w:space="0"/>
              <w:right w:val="single" w:color="auto" w:sz="4" w:space="0"/>
            </w:tcBorders>
            <w:shd w:val="clear" w:color="auto" w:fill="auto"/>
            <w:tcMar>
              <w:left w:w="84" w:type="dxa"/>
              <w:right w:w="84" w:type="dxa"/>
            </w:tcMar>
            <w:vAlign w:val="center"/>
          </w:tcPr>
          <w:p w14:paraId="2F0345C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ascii="楷体" w:hAnsi="楷体" w:eastAsia="楷体" w:cs="楷体"/>
                <w:color w:val="333333"/>
                <w:sz w:val="15"/>
                <w:szCs w:val="15"/>
                <w:u w:val="none"/>
              </w:rPr>
              <w:t>（本列数据的勾稽关系为：第一项加第二项之和，等于第三项加第四项之和）</w:t>
            </w:r>
          </w:p>
        </w:tc>
        <w:tc>
          <w:tcPr>
            <w:tcW w:w="3852" w:type="dxa"/>
            <w:gridSpan w:val="7"/>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14:paraId="7FE8461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申请人情况</w:t>
            </w:r>
          </w:p>
        </w:tc>
      </w:tr>
      <w:tr w14:paraId="60F6CB9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vMerge w:val="continue"/>
            <w:tcBorders>
              <w:top w:val="single" w:color="auto" w:sz="4" w:space="0"/>
              <w:left w:val="single" w:color="auto" w:sz="4" w:space="0"/>
              <w:bottom w:val="outset" w:color="auto" w:sz="4" w:space="0"/>
              <w:right w:val="single" w:color="auto" w:sz="4" w:space="0"/>
            </w:tcBorders>
            <w:shd w:val="clear" w:color="auto" w:fill="auto"/>
            <w:tcMar>
              <w:left w:w="84" w:type="dxa"/>
              <w:right w:w="84" w:type="dxa"/>
            </w:tcMar>
            <w:vAlign w:val="center"/>
          </w:tcPr>
          <w:p w14:paraId="777E331D">
            <w:pPr>
              <w:rPr>
                <w:rFonts w:hint="eastAsia" w:ascii="微软雅黑" w:hAnsi="微软雅黑" w:eastAsia="微软雅黑" w:cs="微软雅黑"/>
                <w:color w:val="333333"/>
                <w:sz w:val="24"/>
                <w:szCs w:val="24"/>
                <w:u w:val="none"/>
              </w:rPr>
            </w:pPr>
          </w:p>
        </w:tc>
        <w:tc>
          <w:tcPr>
            <w:tcW w:w="552" w:type="dxa"/>
            <w:vMerge w:val="restart"/>
            <w:tcBorders>
              <w:top w:val="nil"/>
              <w:left w:val="nil"/>
              <w:bottom w:val="single" w:color="auto" w:sz="4" w:space="0"/>
              <w:right w:val="single" w:color="auto" w:sz="4" w:space="0"/>
            </w:tcBorders>
            <w:shd w:val="clear" w:color="auto" w:fill="auto"/>
            <w:tcMar>
              <w:left w:w="48" w:type="dxa"/>
              <w:right w:w="48" w:type="dxa"/>
            </w:tcMar>
            <w:vAlign w:val="center"/>
          </w:tcPr>
          <w:p w14:paraId="6A5B9F4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自然人</w:t>
            </w:r>
          </w:p>
        </w:tc>
        <w:tc>
          <w:tcPr>
            <w:tcW w:w="2748" w:type="dxa"/>
            <w:gridSpan w:val="5"/>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14:paraId="0909505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法人或其他组织</w:t>
            </w:r>
          </w:p>
        </w:tc>
        <w:tc>
          <w:tcPr>
            <w:tcW w:w="552" w:type="dxa"/>
            <w:vMerge w:val="restart"/>
            <w:tcBorders>
              <w:top w:val="single" w:color="auto" w:sz="4" w:space="0"/>
              <w:left w:val="nil"/>
              <w:bottom w:val="outset" w:color="auto" w:sz="4" w:space="0"/>
              <w:right w:val="single" w:color="auto" w:sz="4" w:space="0"/>
            </w:tcBorders>
            <w:shd w:val="clear" w:color="auto" w:fill="auto"/>
            <w:tcMar>
              <w:left w:w="48" w:type="dxa"/>
              <w:right w:w="48" w:type="dxa"/>
            </w:tcMar>
            <w:vAlign w:val="center"/>
          </w:tcPr>
          <w:p w14:paraId="288A317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r>
      <w:tr w14:paraId="0446B53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vMerge w:val="continue"/>
            <w:tcBorders>
              <w:top w:val="single" w:color="auto" w:sz="4" w:space="0"/>
              <w:left w:val="single" w:color="auto" w:sz="4" w:space="0"/>
              <w:bottom w:val="outset" w:color="auto" w:sz="4" w:space="0"/>
              <w:right w:val="single" w:color="auto" w:sz="4" w:space="0"/>
            </w:tcBorders>
            <w:shd w:val="clear" w:color="auto" w:fill="auto"/>
            <w:tcMar>
              <w:left w:w="84" w:type="dxa"/>
              <w:right w:w="84" w:type="dxa"/>
            </w:tcMar>
            <w:vAlign w:val="center"/>
          </w:tcPr>
          <w:p w14:paraId="0C66257D">
            <w:pPr>
              <w:rPr>
                <w:rFonts w:hint="eastAsia" w:ascii="微软雅黑" w:hAnsi="微软雅黑" w:eastAsia="微软雅黑" w:cs="微软雅黑"/>
                <w:color w:val="333333"/>
                <w:sz w:val="24"/>
                <w:szCs w:val="24"/>
                <w:u w:val="none"/>
              </w:rPr>
            </w:pPr>
          </w:p>
        </w:tc>
        <w:tc>
          <w:tcPr>
            <w:tcW w:w="552" w:type="dxa"/>
            <w:vMerge w:val="continue"/>
            <w:tcBorders>
              <w:top w:val="nil"/>
              <w:left w:val="nil"/>
              <w:bottom w:val="single" w:color="auto" w:sz="4" w:space="0"/>
              <w:right w:val="single" w:color="auto" w:sz="4" w:space="0"/>
            </w:tcBorders>
            <w:shd w:val="clear" w:color="auto" w:fill="auto"/>
            <w:tcMar>
              <w:left w:w="48" w:type="dxa"/>
              <w:right w:w="48" w:type="dxa"/>
            </w:tcMar>
            <w:vAlign w:val="center"/>
          </w:tcPr>
          <w:p w14:paraId="12F7F5F4">
            <w:pPr>
              <w:jc w:val="center"/>
              <w:rPr>
                <w:rFonts w:hint="eastAsia" w:ascii="微软雅黑" w:hAnsi="微软雅黑" w:eastAsia="微软雅黑" w:cs="微软雅黑"/>
                <w:color w:val="333333"/>
                <w:sz w:val="24"/>
                <w:szCs w:val="24"/>
                <w:u w:val="none"/>
              </w:rPr>
            </w:pP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3D2E9BC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商业</w:t>
            </w:r>
          </w:p>
          <w:p w14:paraId="1FC5192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企业</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1127610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科研</w:t>
            </w:r>
          </w:p>
          <w:p w14:paraId="61A4FA0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机构</w:t>
            </w:r>
          </w:p>
        </w:tc>
        <w:tc>
          <w:tcPr>
            <w:tcW w:w="552"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14:paraId="28742A7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社会公益组织</w:t>
            </w:r>
          </w:p>
        </w:tc>
        <w:tc>
          <w:tcPr>
            <w:tcW w:w="552"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14:paraId="1DA22AB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法律服务机构</w:t>
            </w:r>
          </w:p>
        </w:tc>
        <w:tc>
          <w:tcPr>
            <w:tcW w:w="552"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14:paraId="690F4B2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p>
        </w:tc>
        <w:tc>
          <w:tcPr>
            <w:tcW w:w="552" w:type="dxa"/>
            <w:vMerge w:val="continue"/>
            <w:tcBorders>
              <w:top w:val="single" w:color="auto" w:sz="4" w:space="0"/>
              <w:left w:val="nil"/>
              <w:bottom w:val="outset" w:color="auto" w:sz="4" w:space="0"/>
              <w:right w:val="single" w:color="auto" w:sz="4" w:space="0"/>
            </w:tcBorders>
            <w:shd w:val="clear" w:color="auto" w:fill="auto"/>
            <w:tcMar>
              <w:left w:w="48" w:type="dxa"/>
              <w:right w:w="48" w:type="dxa"/>
            </w:tcMar>
            <w:vAlign w:val="center"/>
          </w:tcPr>
          <w:p w14:paraId="2BD8CB80">
            <w:pPr>
              <w:jc w:val="center"/>
              <w:rPr>
                <w:rFonts w:hint="eastAsia" w:ascii="微软雅黑" w:hAnsi="微软雅黑" w:eastAsia="微软雅黑" w:cs="微软雅黑"/>
                <w:color w:val="333333"/>
                <w:sz w:val="24"/>
                <w:szCs w:val="24"/>
                <w:u w:val="none"/>
              </w:rPr>
            </w:pPr>
          </w:p>
        </w:tc>
      </w:tr>
      <w:tr w14:paraId="1444F1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14:paraId="4390D68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一、本年新收政府信息公开申请数量</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7543245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657303D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46F4E41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7CAAF97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3EEC2B6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27EDC5D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650E92B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r>
      <w:tr w14:paraId="5878133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14:paraId="2149EE8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二、上年结转政府信息公开申请数量</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315F703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6E3AA8F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67957B1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18FE4DE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3ECF525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43F5A30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34124F2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58D97CB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restart"/>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14:paraId="31C94EB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三、本年度办理结果</w:t>
            </w:r>
          </w:p>
        </w:tc>
        <w:tc>
          <w:tcPr>
            <w:tcW w:w="3336" w:type="dxa"/>
            <w:gridSpan w:val="2"/>
            <w:tcBorders>
              <w:top w:val="nil"/>
              <w:left w:val="nil"/>
              <w:bottom w:val="single" w:color="auto" w:sz="4" w:space="0"/>
              <w:right w:val="single" w:color="auto" w:sz="4" w:space="0"/>
            </w:tcBorders>
            <w:shd w:val="clear" w:color="auto" w:fill="auto"/>
            <w:tcMar>
              <w:left w:w="48" w:type="dxa"/>
              <w:right w:w="48" w:type="dxa"/>
            </w:tcMar>
            <w:vAlign w:val="center"/>
          </w:tcPr>
          <w:p w14:paraId="29474B3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（一）予以公开</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388A0A3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79D864F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1637BD0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46B1AE0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4201599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01C9B6F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14:paraId="66AD86D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r>
      <w:tr w14:paraId="65F2E17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14:paraId="1FDD0771">
            <w:pPr>
              <w:rPr>
                <w:rFonts w:hint="eastAsia" w:ascii="微软雅黑" w:hAnsi="微软雅黑" w:eastAsia="微软雅黑" w:cs="微软雅黑"/>
                <w:color w:val="333333"/>
                <w:sz w:val="24"/>
                <w:szCs w:val="24"/>
                <w:u w:val="none"/>
              </w:rPr>
            </w:pPr>
          </w:p>
        </w:tc>
        <w:tc>
          <w:tcPr>
            <w:tcW w:w="3336" w:type="dxa"/>
            <w:gridSpan w:val="2"/>
            <w:tcBorders>
              <w:top w:val="nil"/>
              <w:left w:val="nil"/>
              <w:bottom w:val="single" w:color="auto" w:sz="4" w:space="0"/>
              <w:right w:val="single" w:color="auto" w:sz="4" w:space="0"/>
            </w:tcBorders>
            <w:shd w:val="clear" w:color="auto" w:fill="auto"/>
            <w:tcMar>
              <w:left w:w="48" w:type="dxa"/>
              <w:right w:w="48" w:type="dxa"/>
            </w:tcMar>
            <w:vAlign w:val="center"/>
          </w:tcPr>
          <w:p w14:paraId="745024F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（二）部分公开</w:t>
            </w:r>
            <w:r>
              <w:rPr>
                <w:rFonts w:hint="eastAsia" w:ascii="楷体" w:hAnsi="楷体" w:eastAsia="楷体" w:cs="楷体"/>
                <w:color w:val="333333"/>
                <w:sz w:val="15"/>
                <w:szCs w:val="15"/>
                <w:u w:val="none"/>
              </w:rPr>
              <w:t>（区分处理的，只计这一情形，不计其他情形）</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56EF25E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20EA82D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05FEC0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353E77F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42B94DB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11A0359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3B4726D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4EAFF14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14:paraId="73F2DCCD">
            <w:pPr>
              <w:rPr>
                <w:rFonts w:hint="eastAsia" w:ascii="微软雅黑" w:hAnsi="微软雅黑" w:eastAsia="微软雅黑" w:cs="微软雅黑"/>
                <w:color w:val="333333"/>
                <w:sz w:val="24"/>
                <w:szCs w:val="24"/>
                <w:u w:val="none"/>
              </w:rPr>
            </w:pPr>
          </w:p>
        </w:tc>
        <w:tc>
          <w:tcPr>
            <w:tcW w:w="756" w:type="dxa"/>
            <w:vMerge w:val="restart"/>
            <w:tcBorders>
              <w:top w:val="nil"/>
              <w:left w:val="nil"/>
              <w:bottom w:val="outset" w:color="auto" w:sz="4" w:space="0"/>
              <w:right w:val="single" w:color="auto" w:sz="4" w:space="0"/>
            </w:tcBorders>
            <w:shd w:val="clear" w:color="auto" w:fill="auto"/>
            <w:tcMar>
              <w:left w:w="48" w:type="dxa"/>
              <w:right w:w="48" w:type="dxa"/>
            </w:tcMar>
            <w:vAlign w:val="center"/>
          </w:tcPr>
          <w:p w14:paraId="6E3FA85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（三）不予公开</w:t>
            </w: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14:paraId="736C8DA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1.属于国家秘密</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6065951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69B0E9C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5988881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0EA5988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7C065B7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5C7C86A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14:paraId="06B46EE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6788416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14:paraId="127874BE">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14:paraId="315A3B0C">
            <w:pPr>
              <w:rPr>
                <w:rFonts w:hint="eastAsia" w:ascii="微软雅黑" w:hAnsi="微软雅黑" w:eastAsia="微软雅黑" w:cs="微软雅黑"/>
                <w:color w:val="333333"/>
                <w:sz w:val="24"/>
                <w:szCs w:val="24"/>
                <w:u w:val="none"/>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14:paraId="3FFF782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2.其他法律行政法规禁止公开</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3007853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4D65CB1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293A750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5AEB0B9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6009876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3CAD82B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7E975BB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075ADB7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14:paraId="29150F2D">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14:paraId="6A43575D">
            <w:pPr>
              <w:rPr>
                <w:rFonts w:hint="eastAsia" w:ascii="微软雅黑" w:hAnsi="微软雅黑" w:eastAsia="微软雅黑" w:cs="微软雅黑"/>
                <w:color w:val="333333"/>
                <w:sz w:val="24"/>
                <w:szCs w:val="24"/>
                <w:u w:val="none"/>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14:paraId="68A029C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3.危及“三安全一稳定”</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722B86A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42E192B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340670C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501837D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1F16F8C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47A009E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5CE43D0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156F50F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14:paraId="72666048">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14:paraId="14C049AF">
            <w:pPr>
              <w:rPr>
                <w:rFonts w:hint="eastAsia" w:ascii="微软雅黑" w:hAnsi="微软雅黑" w:eastAsia="微软雅黑" w:cs="微软雅黑"/>
                <w:color w:val="333333"/>
                <w:sz w:val="24"/>
                <w:szCs w:val="24"/>
                <w:u w:val="none"/>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14:paraId="294FB1B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4.保护第三方合法权益</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1C2F9BB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73A5247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56075A3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2791504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212A3F0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6F586B4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302911E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79E5C7A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14:paraId="2666CD05">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14:paraId="16D52087">
            <w:pPr>
              <w:rPr>
                <w:rFonts w:hint="eastAsia" w:ascii="微软雅黑" w:hAnsi="微软雅黑" w:eastAsia="微软雅黑" w:cs="微软雅黑"/>
                <w:color w:val="333333"/>
                <w:sz w:val="24"/>
                <w:szCs w:val="24"/>
                <w:u w:val="none"/>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14:paraId="11D2577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5.属于三类内部事务信息</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1BC9537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373D60B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1632016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4D57D69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41929EE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652B880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1856231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06B57B5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14:paraId="3ED4F765">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14:paraId="07514706">
            <w:pPr>
              <w:rPr>
                <w:rFonts w:hint="eastAsia" w:ascii="微软雅黑" w:hAnsi="微软雅黑" w:eastAsia="微软雅黑" w:cs="微软雅黑"/>
                <w:color w:val="333333"/>
                <w:sz w:val="24"/>
                <w:szCs w:val="24"/>
                <w:u w:val="none"/>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14:paraId="4AB5934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6.属于四类过程性信息</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136384F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7751C61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2F3F89E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52E1939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0869295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7814D85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516EE82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2A7C5EA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14:paraId="67D69EB8">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14:paraId="081E928D">
            <w:pPr>
              <w:rPr>
                <w:rFonts w:hint="eastAsia" w:ascii="微软雅黑" w:hAnsi="微软雅黑" w:eastAsia="微软雅黑" w:cs="微软雅黑"/>
                <w:color w:val="333333"/>
                <w:sz w:val="24"/>
                <w:szCs w:val="24"/>
                <w:u w:val="none"/>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14:paraId="5AA9E19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7.属于行政执法案卷</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26CBFDA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54DE680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730F39C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191E0A8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0B0B8C8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7276044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1AC6027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23A4925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14:paraId="5B04BBD0">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14:paraId="5B5745FA">
            <w:pPr>
              <w:rPr>
                <w:rFonts w:hint="eastAsia" w:ascii="微软雅黑" w:hAnsi="微软雅黑" w:eastAsia="微软雅黑" w:cs="微软雅黑"/>
                <w:color w:val="333333"/>
                <w:sz w:val="24"/>
                <w:szCs w:val="24"/>
                <w:u w:val="none"/>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14:paraId="50896CA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8.属于行政查询事项</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5ED1B3D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6691895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5AB2161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64F94EA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2BAC689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3B24646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123C211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5029391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14:paraId="3BD73232">
            <w:pPr>
              <w:rPr>
                <w:rFonts w:hint="eastAsia" w:ascii="微软雅黑" w:hAnsi="微软雅黑" w:eastAsia="微软雅黑" w:cs="微软雅黑"/>
                <w:color w:val="333333"/>
                <w:sz w:val="24"/>
                <w:szCs w:val="24"/>
                <w:u w:val="none"/>
              </w:rPr>
            </w:pPr>
          </w:p>
        </w:tc>
        <w:tc>
          <w:tcPr>
            <w:tcW w:w="756" w:type="dxa"/>
            <w:vMerge w:val="restart"/>
            <w:tcBorders>
              <w:top w:val="nil"/>
              <w:left w:val="nil"/>
              <w:bottom w:val="outset" w:color="auto" w:sz="4" w:space="0"/>
              <w:right w:val="single" w:color="auto" w:sz="4" w:space="0"/>
            </w:tcBorders>
            <w:shd w:val="clear" w:color="auto" w:fill="auto"/>
            <w:tcMar>
              <w:left w:w="48" w:type="dxa"/>
              <w:right w:w="48" w:type="dxa"/>
            </w:tcMar>
            <w:vAlign w:val="center"/>
          </w:tcPr>
          <w:p w14:paraId="46E9262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（四）无法提供</w:t>
            </w: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14:paraId="2454512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1.本机关不掌握相关政府信息</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5F1FC77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6730081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01552C5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36F5934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7078208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475D1A9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6C4210F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2C36C45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14:paraId="12F63283">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14:paraId="41AB758F">
            <w:pPr>
              <w:rPr>
                <w:rFonts w:hint="eastAsia" w:ascii="微软雅黑" w:hAnsi="微软雅黑" w:eastAsia="微软雅黑" w:cs="微软雅黑"/>
                <w:color w:val="333333"/>
                <w:sz w:val="24"/>
                <w:szCs w:val="24"/>
                <w:u w:val="none"/>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14:paraId="4FEEFDA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2.没有现成信息需要另行制作</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56670F9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626EEE3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63B1DF7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4338840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7015AE8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628EC1D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4EBCF0B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510A1F2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14:paraId="1EF79F94">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14:paraId="5861EEC1">
            <w:pPr>
              <w:rPr>
                <w:rFonts w:hint="eastAsia" w:ascii="微软雅黑" w:hAnsi="微软雅黑" w:eastAsia="微软雅黑" w:cs="微软雅黑"/>
                <w:color w:val="333333"/>
                <w:sz w:val="24"/>
                <w:szCs w:val="24"/>
                <w:u w:val="none"/>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14:paraId="1654582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3.补正后申请内容仍不明确</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4548D27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1924982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163F65F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6B62882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639095A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50C51B9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5C19EE3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63D13B6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14:paraId="246D1FD4">
            <w:pPr>
              <w:rPr>
                <w:rFonts w:hint="eastAsia" w:ascii="微软雅黑" w:hAnsi="微软雅黑" w:eastAsia="微软雅黑" w:cs="微软雅黑"/>
                <w:color w:val="333333"/>
                <w:sz w:val="24"/>
                <w:szCs w:val="24"/>
                <w:u w:val="none"/>
              </w:rPr>
            </w:pPr>
          </w:p>
        </w:tc>
        <w:tc>
          <w:tcPr>
            <w:tcW w:w="756" w:type="dxa"/>
            <w:vMerge w:val="restart"/>
            <w:tcBorders>
              <w:top w:val="nil"/>
              <w:left w:val="nil"/>
              <w:bottom w:val="outset" w:color="auto" w:sz="4" w:space="0"/>
              <w:right w:val="single" w:color="auto" w:sz="4" w:space="0"/>
            </w:tcBorders>
            <w:shd w:val="clear" w:color="auto" w:fill="auto"/>
            <w:tcMar>
              <w:left w:w="48" w:type="dxa"/>
              <w:right w:w="48" w:type="dxa"/>
            </w:tcMar>
            <w:vAlign w:val="center"/>
          </w:tcPr>
          <w:p w14:paraId="1879294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（五）不予处理</w:t>
            </w: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14:paraId="5F75194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1.信访举报投诉类申请</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53FA2C0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5A54531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76B74C6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68B6EA7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51865C8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50F0938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2397BD6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7E93ECD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14:paraId="3AA736C1">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14:paraId="66FA9A98">
            <w:pPr>
              <w:rPr>
                <w:rFonts w:hint="eastAsia" w:ascii="微软雅黑" w:hAnsi="微软雅黑" w:eastAsia="微软雅黑" w:cs="微软雅黑"/>
                <w:color w:val="333333"/>
                <w:sz w:val="24"/>
                <w:szCs w:val="24"/>
                <w:u w:val="none"/>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14:paraId="4C2608C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2.重复申请</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5D76EC0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4D63317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0A0726E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06B6ECB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7C50207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7C00027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1ECFC44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6E6B530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14:paraId="2CFFEE90">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14:paraId="4E69DE34">
            <w:pPr>
              <w:rPr>
                <w:rFonts w:hint="eastAsia" w:ascii="微软雅黑" w:hAnsi="微软雅黑" w:eastAsia="微软雅黑" w:cs="微软雅黑"/>
                <w:color w:val="333333"/>
                <w:sz w:val="24"/>
                <w:szCs w:val="24"/>
                <w:u w:val="none"/>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14:paraId="25FA3A4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3.要求提供公开出版物</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6EB1793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3F7BB6D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60DB35A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1DF634B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64F163C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61AD0BE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22BD65E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1744876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14:paraId="3B011361">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14:paraId="278DA112">
            <w:pPr>
              <w:rPr>
                <w:rFonts w:hint="eastAsia" w:ascii="微软雅黑" w:hAnsi="微软雅黑" w:eastAsia="微软雅黑" w:cs="微软雅黑"/>
                <w:color w:val="333333"/>
                <w:sz w:val="24"/>
                <w:szCs w:val="24"/>
                <w:u w:val="none"/>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14:paraId="67452F1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4.无正当理由大量反复申请</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5FAED88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34E4641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1AFE9C1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485DD5C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0DB26FE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248BE0D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3D85A9F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47274DB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24" w:hRule="atLeast"/>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14:paraId="546C8073">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14:paraId="43710DD0">
            <w:pPr>
              <w:rPr>
                <w:rFonts w:hint="eastAsia" w:ascii="微软雅黑" w:hAnsi="微软雅黑" w:eastAsia="微软雅黑" w:cs="微软雅黑"/>
                <w:color w:val="333333"/>
                <w:sz w:val="24"/>
                <w:szCs w:val="24"/>
                <w:u w:val="none"/>
              </w:rPr>
            </w:pPr>
          </w:p>
        </w:tc>
        <w:tc>
          <w:tcPr>
            <w:tcW w:w="2580" w:type="dxa"/>
            <w:tcBorders>
              <w:top w:val="nil"/>
              <w:left w:val="nil"/>
              <w:bottom w:val="outset" w:color="auto" w:sz="4" w:space="0"/>
              <w:right w:val="single" w:color="auto" w:sz="4" w:space="0"/>
            </w:tcBorders>
            <w:shd w:val="clear" w:color="auto" w:fill="auto"/>
            <w:tcMar>
              <w:left w:w="48" w:type="dxa"/>
              <w:right w:w="48" w:type="dxa"/>
            </w:tcMar>
            <w:vAlign w:val="center"/>
          </w:tcPr>
          <w:p w14:paraId="5E7D87A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5.要求行政机关确认或重新出具已获取信息</w:t>
            </w:r>
          </w:p>
        </w:tc>
        <w:tc>
          <w:tcPr>
            <w:tcW w:w="552" w:type="dxa"/>
            <w:tcBorders>
              <w:top w:val="nil"/>
              <w:left w:val="nil"/>
              <w:bottom w:val="outset" w:color="auto" w:sz="4" w:space="0"/>
              <w:right w:val="single" w:color="auto" w:sz="4" w:space="0"/>
            </w:tcBorders>
            <w:shd w:val="clear" w:color="auto" w:fill="auto"/>
            <w:tcMar>
              <w:left w:w="48" w:type="dxa"/>
              <w:right w:w="48" w:type="dxa"/>
            </w:tcMar>
            <w:vAlign w:val="center"/>
          </w:tcPr>
          <w:p w14:paraId="6828CD9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outset" w:color="auto" w:sz="4" w:space="0"/>
              <w:right w:val="single" w:color="auto" w:sz="4" w:space="0"/>
            </w:tcBorders>
            <w:shd w:val="clear" w:color="auto" w:fill="auto"/>
            <w:tcMar>
              <w:left w:w="48" w:type="dxa"/>
              <w:right w:w="48" w:type="dxa"/>
            </w:tcMar>
            <w:vAlign w:val="center"/>
          </w:tcPr>
          <w:p w14:paraId="0301D26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outset" w:color="auto" w:sz="4" w:space="0"/>
              <w:right w:val="single" w:color="auto" w:sz="4" w:space="0"/>
            </w:tcBorders>
            <w:shd w:val="clear" w:color="auto" w:fill="auto"/>
            <w:tcMar>
              <w:left w:w="48" w:type="dxa"/>
              <w:right w:w="48" w:type="dxa"/>
            </w:tcMar>
            <w:vAlign w:val="center"/>
          </w:tcPr>
          <w:p w14:paraId="674459A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outset" w:color="auto" w:sz="4" w:space="0"/>
              <w:right w:val="single" w:color="auto" w:sz="4" w:space="0"/>
            </w:tcBorders>
            <w:shd w:val="clear" w:color="auto" w:fill="auto"/>
            <w:tcMar>
              <w:left w:w="48" w:type="dxa"/>
              <w:right w:w="48" w:type="dxa"/>
            </w:tcMar>
            <w:vAlign w:val="center"/>
          </w:tcPr>
          <w:p w14:paraId="2AFB3EB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outset" w:color="auto" w:sz="4" w:space="0"/>
              <w:right w:val="single" w:color="auto" w:sz="4" w:space="0"/>
            </w:tcBorders>
            <w:shd w:val="clear" w:color="auto" w:fill="auto"/>
            <w:tcMar>
              <w:left w:w="48" w:type="dxa"/>
              <w:right w:w="48" w:type="dxa"/>
            </w:tcMar>
            <w:vAlign w:val="center"/>
          </w:tcPr>
          <w:p w14:paraId="284B2B0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outset" w:color="auto" w:sz="4" w:space="0"/>
              <w:right w:val="single" w:color="auto" w:sz="4" w:space="0"/>
            </w:tcBorders>
            <w:shd w:val="clear" w:color="auto" w:fill="auto"/>
            <w:tcMar>
              <w:left w:w="48" w:type="dxa"/>
              <w:right w:w="48" w:type="dxa"/>
            </w:tcMar>
            <w:vAlign w:val="center"/>
          </w:tcPr>
          <w:p w14:paraId="5E514A0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outset" w:color="auto" w:sz="4" w:space="0"/>
              <w:right w:val="single" w:color="auto" w:sz="4" w:space="0"/>
            </w:tcBorders>
            <w:shd w:val="clear" w:color="auto" w:fill="auto"/>
            <w:tcMar>
              <w:left w:w="48" w:type="dxa"/>
              <w:right w:w="48" w:type="dxa"/>
            </w:tcMar>
            <w:vAlign w:val="center"/>
          </w:tcPr>
          <w:p w14:paraId="3BE563D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7A248E9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14:paraId="6DE7571F">
            <w:pPr>
              <w:rPr>
                <w:rFonts w:hint="eastAsia" w:ascii="微软雅黑" w:hAnsi="微软雅黑" w:eastAsia="微软雅黑" w:cs="微软雅黑"/>
                <w:color w:val="333333"/>
                <w:sz w:val="24"/>
                <w:szCs w:val="24"/>
                <w:u w:val="none"/>
              </w:rPr>
            </w:pPr>
          </w:p>
        </w:tc>
        <w:tc>
          <w:tcPr>
            <w:tcW w:w="756" w:type="dxa"/>
            <w:vMerge w:val="restart"/>
            <w:tcBorders>
              <w:top w:val="nil"/>
              <w:left w:val="nil"/>
              <w:bottom w:val="outset" w:color="auto" w:sz="4" w:space="0"/>
              <w:right w:val="single" w:color="auto" w:sz="4" w:space="0"/>
            </w:tcBorders>
            <w:shd w:val="clear" w:color="auto" w:fill="auto"/>
            <w:tcMar>
              <w:left w:w="48" w:type="dxa"/>
              <w:right w:w="48" w:type="dxa"/>
            </w:tcMar>
            <w:vAlign w:val="center"/>
          </w:tcPr>
          <w:p w14:paraId="7155A30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（六）其他处理</w:t>
            </w: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14:paraId="172E1D9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1.申请人无正当理由逾期不补正、行政机关不再处理其政府信息公开申请</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4FA2A37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7B8D13D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2C68E10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1C5E141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56FEDCC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0A3464E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7F329E5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4739999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14:paraId="23F6E166">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14:paraId="02821141">
            <w:pPr>
              <w:rPr>
                <w:rFonts w:hint="eastAsia" w:ascii="微软雅黑" w:hAnsi="微软雅黑" w:eastAsia="微软雅黑" w:cs="微软雅黑"/>
                <w:color w:val="333333"/>
                <w:sz w:val="24"/>
                <w:szCs w:val="24"/>
                <w:u w:val="none"/>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14:paraId="4DD5BB6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2.申请人逾期未按收费通知要求缴纳费用、行政机关不再处理其政府信息公开申请</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6AB21AA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1A36F07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21049F7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71B517E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29543DF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7AEFA04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20C4E0C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43EAA4B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14:paraId="393180EA">
            <w:pPr>
              <w:rPr>
                <w:rFonts w:hint="eastAsia" w:ascii="微软雅黑" w:hAnsi="微软雅黑" w:eastAsia="微软雅黑" w:cs="微软雅黑"/>
                <w:color w:val="333333"/>
                <w:sz w:val="24"/>
                <w:szCs w:val="24"/>
                <w:u w:val="none"/>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14:paraId="3F2CB1F6">
            <w:pPr>
              <w:rPr>
                <w:rFonts w:hint="eastAsia" w:ascii="微软雅黑" w:hAnsi="微软雅黑" w:eastAsia="微软雅黑" w:cs="微软雅黑"/>
                <w:color w:val="333333"/>
                <w:sz w:val="24"/>
                <w:szCs w:val="24"/>
                <w:u w:val="none"/>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14:paraId="0E152B8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3.其他</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4306C43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45FFBAC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043DBBA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768AED5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314A2B4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23866B8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14BF59C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77F6690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14:paraId="4483A3DE">
            <w:pPr>
              <w:rPr>
                <w:rFonts w:hint="eastAsia" w:ascii="微软雅黑" w:hAnsi="微软雅黑" w:eastAsia="微软雅黑" w:cs="微软雅黑"/>
                <w:color w:val="333333"/>
                <w:sz w:val="24"/>
                <w:szCs w:val="24"/>
                <w:u w:val="none"/>
              </w:rPr>
            </w:pPr>
          </w:p>
        </w:tc>
        <w:tc>
          <w:tcPr>
            <w:tcW w:w="3336" w:type="dxa"/>
            <w:gridSpan w:val="2"/>
            <w:tcBorders>
              <w:top w:val="nil"/>
              <w:left w:val="nil"/>
              <w:bottom w:val="single" w:color="auto" w:sz="4" w:space="0"/>
              <w:right w:val="single" w:color="auto" w:sz="4" w:space="0"/>
            </w:tcBorders>
            <w:shd w:val="clear" w:color="auto" w:fill="auto"/>
            <w:tcMar>
              <w:left w:w="48" w:type="dxa"/>
              <w:right w:w="48" w:type="dxa"/>
            </w:tcMar>
            <w:vAlign w:val="center"/>
          </w:tcPr>
          <w:p w14:paraId="4AA0EFC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（七）总计</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1DEAD54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5F912E9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611529A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5CE4BEE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63F96A7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30CA6E2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7F76C98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r>
      <w:tr w14:paraId="5B5AC9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14:paraId="61C7C18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四、结转下年度继续办理</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00E16B4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3213840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654CFB6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4F29480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1BDA420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1A15E08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14:paraId="35E312B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9"/>
                <w:szCs w:val="19"/>
                <w:u w:val="none"/>
              </w:rPr>
              <w:t>0</w:t>
            </w:r>
          </w:p>
        </w:tc>
      </w:tr>
    </w:tbl>
    <w:p w14:paraId="42B6665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16"/>
          <w:szCs w:val="16"/>
          <w:u w:val="none"/>
        </w:rPr>
      </w:pPr>
      <w:r>
        <w:rPr>
          <w:rFonts w:hint="eastAsia" w:ascii="宋体" w:hAnsi="宋体" w:eastAsia="宋体" w:cs="宋体"/>
          <w:i w:val="0"/>
          <w:iCs w:val="0"/>
          <w:caps w:val="0"/>
          <w:color w:val="333333"/>
          <w:spacing w:val="0"/>
          <w:sz w:val="19"/>
          <w:szCs w:val="19"/>
          <w:u w:val="none"/>
          <w:shd w:val="clear" w:fill="FFFFFF"/>
        </w:rPr>
        <w:t> </w:t>
      </w:r>
    </w:p>
    <w:p w14:paraId="0B8E818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643" w:firstLineChars="200"/>
        <w:jc w:val="both"/>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t>四、政府信息公开行政复议、行政诉讼情况</w:t>
      </w:r>
    </w:p>
    <w:p w14:paraId="673D839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336"/>
        <w:jc w:val="both"/>
        <w:rPr>
          <w:rFonts w:hint="eastAsia" w:ascii="微软雅黑" w:hAnsi="微软雅黑" w:eastAsia="微软雅黑" w:cs="微软雅黑"/>
          <w:i w:val="0"/>
          <w:iCs w:val="0"/>
          <w:caps w:val="0"/>
          <w:color w:val="333333"/>
          <w:spacing w:val="0"/>
          <w:sz w:val="18"/>
          <w:szCs w:val="18"/>
          <w:u w:val="none"/>
        </w:rPr>
      </w:pPr>
    </w:p>
    <w:tbl>
      <w:tblPr>
        <w:tblStyle w:val="6"/>
        <w:tblW w:w="7800"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16"/>
        <w:gridCol w:w="516"/>
        <w:gridCol w:w="516"/>
        <w:gridCol w:w="516"/>
        <w:gridCol w:w="528"/>
        <w:gridCol w:w="516"/>
        <w:gridCol w:w="516"/>
        <w:gridCol w:w="516"/>
        <w:gridCol w:w="516"/>
        <w:gridCol w:w="540"/>
        <w:gridCol w:w="516"/>
        <w:gridCol w:w="516"/>
        <w:gridCol w:w="516"/>
        <w:gridCol w:w="516"/>
        <w:gridCol w:w="540"/>
      </w:tblGrid>
      <w:tr w14:paraId="1128912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2592" w:type="dxa"/>
            <w:gridSpan w:val="5"/>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287DDDB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行政复议</w:t>
            </w:r>
          </w:p>
        </w:tc>
        <w:tc>
          <w:tcPr>
            <w:tcW w:w="5208" w:type="dxa"/>
            <w:gridSpan w:val="10"/>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79F502D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行政诉讼</w:t>
            </w:r>
          </w:p>
        </w:tc>
      </w:tr>
      <w:tr w14:paraId="4F70917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516" w:type="dxa"/>
            <w:vMerge w:val="restar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14:paraId="3C2B7D7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结果维持</w:t>
            </w:r>
          </w:p>
        </w:tc>
        <w:tc>
          <w:tcPr>
            <w:tcW w:w="516" w:type="dxa"/>
            <w:vMerge w:val="restart"/>
            <w:tcBorders>
              <w:top w:val="nil"/>
              <w:left w:val="nil"/>
              <w:bottom w:val="single" w:color="auto" w:sz="4" w:space="0"/>
              <w:right w:val="single" w:color="auto" w:sz="4" w:space="0"/>
            </w:tcBorders>
            <w:shd w:val="clear" w:color="auto" w:fill="auto"/>
            <w:tcMar>
              <w:left w:w="84" w:type="dxa"/>
              <w:right w:w="84" w:type="dxa"/>
            </w:tcMar>
            <w:vAlign w:val="center"/>
          </w:tcPr>
          <w:p w14:paraId="7336BFF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333333"/>
                <w:sz w:val="15"/>
                <w:szCs w:val="15"/>
                <w:u w:val="none"/>
                <w:lang w:eastAsia="zh-CN"/>
              </w:rPr>
            </w:pPr>
            <w:r>
              <w:rPr>
                <w:rFonts w:hint="eastAsia" w:ascii="宋体" w:hAnsi="宋体" w:eastAsia="宋体" w:cs="宋体"/>
                <w:color w:val="333333"/>
                <w:sz w:val="15"/>
                <w:szCs w:val="15"/>
                <w:u w:val="none"/>
              </w:rPr>
              <w:t>结果</w:t>
            </w:r>
          </w:p>
          <w:p w14:paraId="7EB8C28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纠正</w:t>
            </w:r>
          </w:p>
        </w:tc>
        <w:tc>
          <w:tcPr>
            <w:tcW w:w="516"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0BDA675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333333"/>
                <w:sz w:val="15"/>
                <w:szCs w:val="15"/>
                <w:u w:val="none"/>
                <w:lang w:eastAsia="zh-CN"/>
              </w:rPr>
            </w:pPr>
            <w:r>
              <w:rPr>
                <w:rFonts w:hint="eastAsia" w:ascii="宋体" w:hAnsi="宋体" w:eastAsia="宋体" w:cs="宋体"/>
                <w:color w:val="333333"/>
                <w:sz w:val="15"/>
                <w:szCs w:val="15"/>
                <w:u w:val="none"/>
              </w:rPr>
              <w:t>其他</w:t>
            </w:r>
          </w:p>
          <w:p w14:paraId="76AAB91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p>
        </w:tc>
        <w:tc>
          <w:tcPr>
            <w:tcW w:w="516"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0057213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333333"/>
                <w:sz w:val="15"/>
                <w:szCs w:val="15"/>
                <w:u w:val="none"/>
                <w:lang w:eastAsia="zh-CN"/>
              </w:rPr>
            </w:pPr>
            <w:r>
              <w:rPr>
                <w:rFonts w:hint="eastAsia" w:ascii="宋体" w:hAnsi="宋体" w:eastAsia="宋体" w:cs="宋体"/>
                <w:color w:val="333333"/>
                <w:sz w:val="15"/>
                <w:szCs w:val="15"/>
                <w:u w:val="none"/>
              </w:rPr>
              <w:t>尚未</w:t>
            </w:r>
          </w:p>
          <w:p w14:paraId="4349BA2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审结</w:t>
            </w:r>
          </w:p>
        </w:tc>
        <w:tc>
          <w:tcPr>
            <w:tcW w:w="528"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6BBE7CC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c>
          <w:tcPr>
            <w:tcW w:w="2604" w:type="dxa"/>
            <w:gridSpan w:val="5"/>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1FC560A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未经复议直接起诉</w:t>
            </w:r>
          </w:p>
        </w:tc>
        <w:tc>
          <w:tcPr>
            <w:tcW w:w="2604" w:type="dxa"/>
            <w:gridSpan w:val="5"/>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4B46765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复议后起诉</w:t>
            </w:r>
          </w:p>
        </w:tc>
      </w:tr>
      <w:tr w14:paraId="0557AAE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516" w:type="dxa"/>
            <w:vMerge w:val="continue"/>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14:paraId="2B9D9A61">
            <w:pPr>
              <w:rPr>
                <w:rFonts w:hint="eastAsia" w:ascii="微软雅黑" w:hAnsi="微软雅黑" w:eastAsia="微软雅黑" w:cs="微软雅黑"/>
                <w:color w:val="333333"/>
                <w:sz w:val="24"/>
                <w:szCs w:val="24"/>
                <w:u w:val="none"/>
              </w:rPr>
            </w:pPr>
          </w:p>
        </w:tc>
        <w:tc>
          <w:tcPr>
            <w:tcW w:w="516" w:type="dxa"/>
            <w:vMerge w:val="continue"/>
            <w:tcBorders>
              <w:top w:val="nil"/>
              <w:left w:val="nil"/>
              <w:bottom w:val="single" w:color="auto" w:sz="4" w:space="0"/>
              <w:right w:val="single" w:color="auto" w:sz="4" w:space="0"/>
            </w:tcBorders>
            <w:shd w:val="clear" w:color="auto" w:fill="auto"/>
            <w:tcMar>
              <w:left w:w="84" w:type="dxa"/>
              <w:right w:w="84" w:type="dxa"/>
            </w:tcMar>
            <w:vAlign w:val="center"/>
          </w:tcPr>
          <w:p w14:paraId="60D47B4D">
            <w:pPr>
              <w:rPr>
                <w:rFonts w:hint="eastAsia" w:ascii="微软雅黑" w:hAnsi="微软雅黑" w:eastAsia="微软雅黑" w:cs="微软雅黑"/>
                <w:color w:val="333333"/>
                <w:sz w:val="24"/>
                <w:szCs w:val="24"/>
                <w:u w:val="none"/>
              </w:rPr>
            </w:pPr>
          </w:p>
        </w:tc>
        <w:tc>
          <w:tcPr>
            <w:tcW w:w="516"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2A22D5F8">
            <w:pPr>
              <w:rPr>
                <w:rFonts w:hint="eastAsia" w:ascii="微软雅黑" w:hAnsi="微软雅黑" w:eastAsia="微软雅黑" w:cs="微软雅黑"/>
                <w:color w:val="333333"/>
                <w:sz w:val="24"/>
                <w:szCs w:val="24"/>
                <w:u w:val="none"/>
              </w:rPr>
            </w:pPr>
          </w:p>
        </w:tc>
        <w:tc>
          <w:tcPr>
            <w:tcW w:w="516"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4D919ECB">
            <w:pPr>
              <w:rPr>
                <w:rFonts w:hint="eastAsia" w:ascii="微软雅黑" w:hAnsi="微软雅黑" w:eastAsia="微软雅黑" w:cs="微软雅黑"/>
                <w:color w:val="333333"/>
                <w:sz w:val="24"/>
                <w:szCs w:val="24"/>
                <w:u w:val="none"/>
              </w:rPr>
            </w:pPr>
          </w:p>
        </w:tc>
        <w:tc>
          <w:tcPr>
            <w:tcW w:w="528"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2037E8A3">
            <w:pPr>
              <w:rPr>
                <w:rFonts w:hint="eastAsia" w:ascii="微软雅黑" w:hAnsi="微软雅黑" w:eastAsia="微软雅黑" w:cs="微软雅黑"/>
                <w:color w:val="333333"/>
                <w:sz w:val="24"/>
                <w:szCs w:val="24"/>
                <w:u w:val="none"/>
              </w:rPr>
            </w:pP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14:paraId="07FE85A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333333"/>
                <w:sz w:val="15"/>
                <w:szCs w:val="15"/>
                <w:u w:val="none"/>
                <w:lang w:eastAsia="zh-CN"/>
              </w:rPr>
            </w:pPr>
            <w:r>
              <w:rPr>
                <w:rFonts w:hint="eastAsia" w:ascii="宋体" w:hAnsi="宋体" w:eastAsia="宋体" w:cs="宋体"/>
                <w:color w:val="333333"/>
                <w:sz w:val="15"/>
                <w:szCs w:val="15"/>
                <w:u w:val="none"/>
              </w:rPr>
              <w:t>结果</w:t>
            </w:r>
          </w:p>
          <w:p w14:paraId="009A776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维持</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14:paraId="5F35449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333333"/>
                <w:sz w:val="15"/>
                <w:szCs w:val="15"/>
                <w:u w:val="none"/>
                <w:lang w:eastAsia="zh-CN"/>
              </w:rPr>
            </w:pPr>
            <w:r>
              <w:rPr>
                <w:rFonts w:hint="eastAsia" w:ascii="宋体" w:hAnsi="宋体" w:eastAsia="宋体" w:cs="宋体"/>
                <w:color w:val="333333"/>
                <w:sz w:val="15"/>
                <w:szCs w:val="15"/>
                <w:u w:val="none"/>
              </w:rPr>
              <w:t>结果</w:t>
            </w:r>
          </w:p>
          <w:p w14:paraId="5A3178D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纠正</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0EB66B0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333333"/>
                <w:sz w:val="15"/>
                <w:szCs w:val="15"/>
                <w:u w:val="none"/>
                <w:lang w:eastAsia="zh-CN"/>
              </w:rPr>
            </w:pPr>
            <w:r>
              <w:rPr>
                <w:rFonts w:hint="eastAsia" w:ascii="宋体" w:hAnsi="宋体" w:eastAsia="宋体" w:cs="宋体"/>
                <w:color w:val="333333"/>
                <w:sz w:val="15"/>
                <w:szCs w:val="15"/>
                <w:u w:val="none"/>
              </w:rPr>
              <w:t>其他</w:t>
            </w:r>
          </w:p>
          <w:p w14:paraId="0D70A0A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4A100B8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333333"/>
                <w:sz w:val="15"/>
                <w:szCs w:val="15"/>
                <w:u w:val="none"/>
                <w:lang w:eastAsia="zh-CN"/>
              </w:rPr>
            </w:pPr>
            <w:r>
              <w:rPr>
                <w:rFonts w:hint="eastAsia" w:ascii="宋体" w:hAnsi="宋体" w:eastAsia="宋体" w:cs="宋体"/>
                <w:color w:val="333333"/>
                <w:sz w:val="15"/>
                <w:szCs w:val="15"/>
                <w:u w:val="none"/>
              </w:rPr>
              <w:t>尚未</w:t>
            </w:r>
          </w:p>
          <w:p w14:paraId="520F5AC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审结</w:t>
            </w:r>
          </w:p>
        </w:tc>
        <w:tc>
          <w:tcPr>
            <w:tcW w:w="540"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76955C0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19B4BA0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333333"/>
                <w:sz w:val="15"/>
                <w:szCs w:val="15"/>
                <w:u w:val="none"/>
                <w:lang w:eastAsia="zh-CN"/>
              </w:rPr>
            </w:pPr>
            <w:r>
              <w:rPr>
                <w:rFonts w:hint="eastAsia" w:ascii="宋体" w:hAnsi="宋体" w:eastAsia="宋体" w:cs="宋体"/>
                <w:color w:val="333333"/>
                <w:sz w:val="15"/>
                <w:szCs w:val="15"/>
                <w:u w:val="none"/>
              </w:rPr>
              <w:t>结果</w:t>
            </w:r>
          </w:p>
          <w:p w14:paraId="257EC2A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维持</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186E021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333333"/>
                <w:sz w:val="15"/>
                <w:szCs w:val="15"/>
                <w:u w:val="none"/>
                <w:lang w:eastAsia="zh-CN"/>
              </w:rPr>
            </w:pPr>
            <w:r>
              <w:rPr>
                <w:rFonts w:hint="eastAsia" w:ascii="宋体" w:hAnsi="宋体" w:eastAsia="宋体" w:cs="宋体"/>
                <w:color w:val="333333"/>
                <w:sz w:val="15"/>
                <w:szCs w:val="15"/>
                <w:u w:val="none"/>
              </w:rPr>
              <w:t>结果</w:t>
            </w:r>
          </w:p>
          <w:p w14:paraId="1F946FD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纠正</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5ECA2A4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333333"/>
                <w:sz w:val="15"/>
                <w:szCs w:val="15"/>
                <w:u w:val="none"/>
                <w:lang w:eastAsia="zh-CN"/>
              </w:rPr>
            </w:pPr>
            <w:r>
              <w:rPr>
                <w:rFonts w:hint="eastAsia" w:ascii="宋体" w:hAnsi="宋体" w:eastAsia="宋体" w:cs="宋体"/>
                <w:color w:val="333333"/>
                <w:sz w:val="15"/>
                <w:szCs w:val="15"/>
                <w:u w:val="none"/>
              </w:rPr>
              <w:t>其他</w:t>
            </w:r>
          </w:p>
          <w:p w14:paraId="424B862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0C08AA0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333333"/>
                <w:sz w:val="15"/>
                <w:szCs w:val="15"/>
                <w:u w:val="none"/>
                <w:lang w:eastAsia="zh-CN"/>
              </w:rPr>
            </w:pPr>
            <w:r>
              <w:rPr>
                <w:rFonts w:hint="eastAsia" w:ascii="宋体" w:hAnsi="宋体" w:eastAsia="宋体" w:cs="宋体"/>
                <w:color w:val="333333"/>
                <w:sz w:val="15"/>
                <w:szCs w:val="15"/>
                <w:u w:val="none"/>
              </w:rPr>
              <w:t>尚未</w:t>
            </w:r>
          </w:p>
          <w:p w14:paraId="0C1F2AF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审结</w:t>
            </w:r>
          </w:p>
        </w:tc>
        <w:tc>
          <w:tcPr>
            <w:tcW w:w="540"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3E93B56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r>
      <w:tr w14:paraId="3E15E77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40" w:hRule="atLeast"/>
          <w:tblCellSpacing w:w="0" w:type="dxa"/>
          <w:jc w:val="center"/>
        </w:trPr>
        <w:tc>
          <w:tcPr>
            <w:tcW w:w="516" w:type="dxa"/>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14:paraId="3B30518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14:paraId="5D946D4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14:paraId="290A831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14:paraId="1CD00F7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28" w:type="dxa"/>
            <w:tcBorders>
              <w:top w:val="nil"/>
              <w:left w:val="nil"/>
              <w:bottom w:val="single" w:color="auto" w:sz="4" w:space="0"/>
              <w:right w:val="single" w:color="auto" w:sz="4" w:space="0"/>
            </w:tcBorders>
            <w:shd w:val="clear" w:color="auto" w:fill="auto"/>
            <w:tcMar>
              <w:left w:w="84" w:type="dxa"/>
              <w:right w:w="84" w:type="dxa"/>
            </w:tcMar>
            <w:vAlign w:val="center"/>
          </w:tcPr>
          <w:p w14:paraId="78AE66E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14:paraId="6FB3431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14:paraId="6D26744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14:paraId="74ECCB4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14:paraId="2A3D6D4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40" w:type="dxa"/>
            <w:tcBorders>
              <w:top w:val="nil"/>
              <w:left w:val="nil"/>
              <w:bottom w:val="single" w:color="auto" w:sz="4" w:space="0"/>
              <w:right w:val="single" w:color="auto" w:sz="4" w:space="0"/>
            </w:tcBorders>
            <w:shd w:val="clear" w:color="auto" w:fill="auto"/>
            <w:tcMar>
              <w:left w:w="84" w:type="dxa"/>
              <w:right w:w="84" w:type="dxa"/>
            </w:tcMar>
            <w:vAlign w:val="center"/>
          </w:tcPr>
          <w:p w14:paraId="37946FA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lang w:val="en-US" w:eastAsia="zh-CN"/>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14:paraId="12E69B9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14:paraId="73C0861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14:paraId="36B5958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14:paraId="018D337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40" w:type="dxa"/>
            <w:tcBorders>
              <w:top w:val="nil"/>
              <w:left w:val="nil"/>
              <w:bottom w:val="single" w:color="auto" w:sz="4" w:space="0"/>
              <w:right w:val="single" w:color="auto" w:sz="4" w:space="0"/>
            </w:tcBorders>
            <w:shd w:val="clear" w:color="auto" w:fill="auto"/>
            <w:tcMar>
              <w:left w:w="84" w:type="dxa"/>
              <w:right w:w="84" w:type="dxa"/>
            </w:tcMar>
            <w:vAlign w:val="center"/>
          </w:tcPr>
          <w:p w14:paraId="51CDDE4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r>
    </w:tbl>
    <w:p w14:paraId="6821B20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rightChars="0" w:firstLine="643" w:firstLineChars="200"/>
        <w:jc w:val="both"/>
        <w:textAlignment w:val="baseline"/>
        <w:rPr>
          <w:rFonts w:hint="eastAsia" w:ascii="仿宋" w:hAnsi="仿宋" w:eastAsia="仿宋" w:cs="仿宋"/>
          <w:b/>
          <w:bCs/>
          <w:i w:val="0"/>
          <w:iCs w:val="0"/>
          <w:caps w:val="0"/>
          <w:color w:val="000000"/>
          <w:spacing w:val="0"/>
          <w:kern w:val="0"/>
          <w:sz w:val="32"/>
          <w:szCs w:val="32"/>
          <w:shd w:val="clear" w:fill="FFFFFF"/>
          <w:vertAlign w:val="baseline"/>
          <w:lang w:val="en-US" w:eastAsia="zh-CN" w:bidi="ar"/>
        </w:rPr>
      </w:pPr>
      <w:r>
        <w:rPr>
          <w:rFonts w:hint="eastAsia" w:ascii="仿宋" w:hAnsi="仿宋" w:eastAsia="仿宋" w:cs="仿宋"/>
          <w:b/>
          <w:bCs/>
          <w:i w:val="0"/>
          <w:iCs w:val="0"/>
          <w:caps w:val="0"/>
          <w:color w:val="000000"/>
          <w:spacing w:val="0"/>
          <w:kern w:val="0"/>
          <w:sz w:val="32"/>
          <w:szCs w:val="32"/>
          <w:shd w:val="clear" w:fill="FFFFFF"/>
          <w:vertAlign w:val="baseline"/>
          <w:lang w:val="en-US" w:eastAsia="zh-CN" w:bidi="ar"/>
        </w:rPr>
        <w:t>五、存在的主要问题及改进情况</w:t>
      </w:r>
    </w:p>
    <w:p w14:paraId="17AE5FF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39"/>
        <w:jc w:val="both"/>
        <w:textAlignment w:val="auto"/>
        <w:rPr>
          <w:rFonts w:hint="eastAsia" w:ascii="宋体" w:hAnsi="宋体" w:eastAsia="宋体" w:cs="宋体"/>
          <w:i w:val="0"/>
          <w:iCs w:val="0"/>
          <w:caps w:val="0"/>
          <w:color w:val="2B2B2B"/>
          <w:spacing w:val="0"/>
          <w:sz w:val="21"/>
          <w:szCs w:val="21"/>
        </w:rPr>
      </w:pPr>
      <w:r>
        <w:rPr>
          <w:rFonts w:ascii="楷体_GB2312" w:hAnsi="宋体" w:eastAsia="楷体_GB2312" w:cs="楷体_GB2312"/>
          <w:b/>
          <w:bCs/>
          <w:i w:val="0"/>
          <w:iCs w:val="0"/>
          <w:caps w:val="0"/>
          <w:color w:val="000000"/>
          <w:spacing w:val="0"/>
          <w:kern w:val="0"/>
          <w:sz w:val="32"/>
          <w:szCs w:val="32"/>
          <w:shd w:val="clear" w:fill="FFFFFF"/>
          <w:lang w:val="en-US" w:eastAsia="zh-CN" w:bidi="ar"/>
        </w:rPr>
        <w:t>（一）存在问题</w:t>
      </w:r>
    </w:p>
    <w:p w14:paraId="3A339FA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39"/>
        <w:jc w:val="both"/>
        <w:textAlignment w:val="auto"/>
        <w:rPr>
          <w:rFonts w:hint="eastAsia" w:ascii="宋体" w:hAnsi="宋体" w:eastAsia="宋体" w:cs="宋体"/>
          <w:i w:val="0"/>
          <w:iCs w:val="0"/>
          <w:caps w:val="0"/>
          <w:color w:val="2B2B2B"/>
          <w:spacing w:val="0"/>
          <w:sz w:val="32"/>
          <w:szCs w:val="32"/>
        </w:rPr>
      </w:pPr>
      <w:r>
        <w:rPr>
          <w:rFonts w:ascii="仿宋_GB2312" w:hAnsi="宋体" w:eastAsia="仿宋_GB2312" w:cs="仿宋_GB2312"/>
          <w:b/>
          <w:bCs/>
          <w:i w:val="0"/>
          <w:iCs w:val="0"/>
          <w:caps w:val="0"/>
          <w:color w:val="000000"/>
          <w:spacing w:val="0"/>
          <w:kern w:val="0"/>
          <w:sz w:val="32"/>
          <w:szCs w:val="32"/>
          <w:shd w:val="clear" w:fill="FFFFFF"/>
          <w:lang w:val="en-US" w:eastAsia="zh-CN" w:bidi="ar"/>
        </w:rPr>
        <w:t>一是</w:t>
      </w:r>
      <w:r>
        <w:rPr>
          <w:rFonts w:hint="eastAsia" w:ascii="仿宋_GB2312" w:hAnsi="宋体" w:eastAsia="仿宋_GB2312" w:cs="仿宋_GB2312"/>
          <w:i w:val="0"/>
          <w:iCs w:val="0"/>
          <w:caps w:val="0"/>
          <w:color w:val="000000"/>
          <w:spacing w:val="0"/>
          <w:kern w:val="0"/>
          <w:sz w:val="32"/>
          <w:szCs w:val="32"/>
          <w:shd w:val="clear" w:fill="FFFFFF"/>
          <w:lang w:val="en-US" w:eastAsia="zh-CN" w:bidi="ar"/>
        </w:rPr>
        <w:t>部分政策解读形式相对单一，多为文字解读，不够通俗易懂，缺乏创新形式。</w:t>
      </w:r>
      <w:r>
        <w:rPr>
          <w:rFonts w:hint="eastAsia" w:ascii="仿宋_GB2312" w:hAnsi="宋体" w:eastAsia="仿宋_GB2312" w:cs="仿宋_GB2312"/>
          <w:b/>
          <w:bCs/>
          <w:i w:val="0"/>
          <w:iCs w:val="0"/>
          <w:caps w:val="0"/>
          <w:color w:val="000000"/>
          <w:spacing w:val="0"/>
          <w:kern w:val="0"/>
          <w:sz w:val="32"/>
          <w:szCs w:val="32"/>
          <w:shd w:val="clear" w:fill="FFFFFF"/>
          <w:lang w:val="en-US" w:eastAsia="zh-CN" w:bidi="ar"/>
        </w:rPr>
        <w:t>二是</w:t>
      </w:r>
      <w:r>
        <w:rPr>
          <w:rFonts w:hint="eastAsia" w:ascii="仿宋_GB2312" w:hAnsi="宋体" w:eastAsia="仿宋_GB2312" w:cs="仿宋_GB2312"/>
          <w:i w:val="0"/>
          <w:iCs w:val="0"/>
          <w:caps w:val="0"/>
          <w:color w:val="000000"/>
          <w:spacing w:val="0"/>
          <w:kern w:val="0"/>
          <w:sz w:val="32"/>
          <w:szCs w:val="32"/>
          <w:shd w:val="clear" w:fill="FFFFFF"/>
          <w:lang w:val="en-US" w:eastAsia="zh-CN" w:bidi="ar"/>
        </w:rPr>
        <w:t>政务信息公开的信息有时发布不够及时，有的应事前公开的内容变成了事后公开。</w:t>
      </w:r>
      <w:r>
        <w:rPr>
          <w:rFonts w:hint="eastAsia" w:ascii="仿宋_GB2312" w:hAnsi="宋体" w:eastAsia="仿宋_GB2312" w:cs="仿宋_GB2312"/>
          <w:b/>
          <w:bCs/>
          <w:i w:val="0"/>
          <w:iCs w:val="0"/>
          <w:caps w:val="0"/>
          <w:color w:val="000000"/>
          <w:spacing w:val="0"/>
          <w:kern w:val="0"/>
          <w:sz w:val="32"/>
          <w:szCs w:val="32"/>
          <w:shd w:val="clear" w:fill="FFFFFF"/>
          <w:lang w:val="en-US" w:eastAsia="zh-CN" w:bidi="ar"/>
        </w:rPr>
        <w:t>三是</w:t>
      </w:r>
      <w:r>
        <w:rPr>
          <w:rFonts w:hint="eastAsia" w:ascii="仿宋_GB2312" w:hAnsi="宋体" w:eastAsia="仿宋_GB2312" w:cs="仿宋_GB2312"/>
          <w:i w:val="0"/>
          <w:iCs w:val="0"/>
          <w:caps w:val="0"/>
          <w:color w:val="000000"/>
          <w:spacing w:val="0"/>
          <w:kern w:val="0"/>
          <w:sz w:val="32"/>
          <w:szCs w:val="32"/>
          <w:shd w:val="clear" w:fill="FFFFFF"/>
          <w:lang w:val="en-US" w:eastAsia="zh-CN" w:bidi="ar"/>
        </w:rPr>
        <w:t>政务公开工作人员非专业出身，且参与系统性的培训不多，间接影响政务公开工作的质量以及时效。</w:t>
      </w:r>
    </w:p>
    <w:p w14:paraId="479DD05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39"/>
        <w:jc w:val="both"/>
        <w:textAlignment w:val="auto"/>
        <w:rPr>
          <w:rFonts w:hint="eastAsia" w:ascii="宋体" w:hAnsi="宋体" w:eastAsia="宋体" w:cs="宋体"/>
          <w:i w:val="0"/>
          <w:iCs w:val="0"/>
          <w:caps w:val="0"/>
          <w:color w:val="2B2B2B"/>
          <w:spacing w:val="0"/>
          <w:sz w:val="21"/>
          <w:szCs w:val="21"/>
        </w:rPr>
      </w:pPr>
      <w:r>
        <w:rPr>
          <w:rFonts w:hint="eastAsia" w:ascii="楷体_GB2312" w:hAnsi="宋体" w:eastAsia="楷体_GB2312" w:cs="楷体_GB2312"/>
          <w:b/>
          <w:bCs/>
          <w:i w:val="0"/>
          <w:iCs w:val="0"/>
          <w:caps w:val="0"/>
          <w:color w:val="000000"/>
          <w:spacing w:val="0"/>
          <w:kern w:val="0"/>
          <w:sz w:val="32"/>
          <w:szCs w:val="32"/>
          <w:shd w:val="clear" w:fill="FFFFFF"/>
          <w:lang w:val="en-US" w:eastAsia="zh-CN" w:bidi="ar"/>
        </w:rPr>
        <w:t>（二）整改措施</w:t>
      </w:r>
    </w:p>
    <w:p w14:paraId="3F0F326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36"/>
        <w:jc w:val="both"/>
        <w:textAlignment w:val="auto"/>
        <w:rPr>
          <w:rFonts w:hint="eastAsia" w:ascii="宋体" w:hAnsi="宋体" w:eastAsia="宋体" w:cs="宋体"/>
          <w:i w:val="0"/>
          <w:iCs w:val="0"/>
          <w:caps w:val="0"/>
          <w:color w:val="2B2B2B"/>
          <w:spacing w:val="0"/>
          <w:sz w:val="32"/>
          <w:szCs w:val="32"/>
        </w:rPr>
      </w:pPr>
      <w:r>
        <w:rPr>
          <w:rFonts w:hint="eastAsia" w:ascii="仿宋_GB2312" w:hAnsi="宋体" w:eastAsia="仿宋_GB2312" w:cs="仿宋_GB2312"/>
          <w:i w:val="0"/>
          <w:iCs w:val="0"/>
          <w:caps w:val="0"/>
          <w:color w:val="000000"/>
          <w:spacing w:val="0"/>
          <w:kern w:val="0"/>
          <w:sz w:val="32"/>
          <w:szCs w:val="32"/>
          <w:shd w:val="clear" w:fill="FFFFFF"/>
          <w:lang w:val="en-US" w:eastAsia="zh-CN" w:bidi="ar"/>
        </w:rPr>
        <w:t>针对存在的问题，下一步将重点抓好以下工作：</w:t>
      </w:r>
      <w:r>
        <w:rPr>
          <w:rFonts w:hint="eastAsia" w:ascii="仿宋_GB2312" w:hAnsi="宋体" w:eastAsia="仿宋_GB2312" w:cs="仿宋_GB2312"/>
          <w:b/>
          <w:bCs/>
          <w:i w:val="0"/>
          <w:iCs w:val="0"/>
          <w:caps w:val="0"/>
          <w:color w:val="000000"/>
          <w:spacing w:val="0"/>
          <w:kern w:val="0"/>
          <w:sz w:val="32"/>
          <w:szCs w:val="32"/>
          <w:shd w:val="clear" w:fill="FFFFFF"/>
          <w:lang w:val="en-US" w:eastAsia="zh-CN" w:bidi="ar"/>
        </w:rPr>
        <w:t>一是</w:t>
      </w:r>
      <w:r>
        <w:rPr>
          <w:rFonts w:hint="eastAsia" w:ascii="仿宋_GB2312" w:hAnsi="宋体" w:eastAsia="仿宋_GB2312" w:cs="仿宋_GB2312"/>
          <w:i w:val="0"/>
          <w:iCs w:val="0"/>
          <w:caps w:val="0"/>
          <w:color w:val="000000"/>
          <w:spacing w:val="0"/>
          <w:kern w:val="0"/>
          <w:sz w:val="32"/>
          <w:szCs w:val="32"/>
          <w:shd w:val="clear" w:fill="FFFFFF"/>
          <w:lang w:val="en-US" w:eastAsia="zh-CN" w:bidi="ar"/>
        </w:rPr>
        <w:t>健全完善解读机制，规范解读程序，将政策解读与公文办理环节有机融合、协同推进。在落实上级政务公开要求的基础上，积极探索政务公开新途径、新方法，探索新媒体信息发布等方式强化政务公开工作，丰富政策解读形式，多采取图片、视频等新颖化、形象化解读形式，增加解读关注度，切实做到更新及时、内容全面。</w:t>
      </w:r>
      <w:r>
        <w:rPr>
          <w:rFonts w:hint="eastAsia" w:ascii="仿宋_GB2312" w:hAnsi="宋体" w:eastAsia="仿宋_GB2312" w:cs="仿宋_GB2312"/>
          <w:b/>
          <w:bCs/>
          <w:i w:val="0"/>
          <w:iCs w:val="0"/>
          <w:caps w:val="0"/>
          <w:color w:val="000000"/>
          <w:spacing w:val="0"/>
          <w:kern w:val="0"/>
          <w:sz w:val="32"/>
          <w:szCs w:val="32"/>
          <w:shd w:val="clear" w:fill="FFFFFF"/>
          <w:lang w:val="en-US" w:eastAsia="zh-CN" w:bidi="ar"/>
        </w:rPr>
        <w:t>二是</w:t>
      </w:r>
      <w:r>
        <w:rPr>
          <w:rFonts w:hint="eastAsia" w:ascii="仿宋_GB2312" w:hAnsi="宋体" w:eastAsia="仿宋_GB2312" w:cs="仿宋_GB2312"/>
          <w:i w:val="0"/>
          <w:iCs w:val="0"/>
          <w:caps w:val="0"/>
          <w:color w:val="000000"/>
          <w:spacing w:val="0"/>
          <w:kern w:val="0"/>
          <w:sz w:val="32"/>
          <w:szCs w:val="32"/>
          <w:shd w:val="clear" w:fill="FFFFFF"/>
          <w:lang w:val="en-US" w:eastAsia="zh-CN" w:bidi="ar"/>
        </w:rPr>
        <w:t>加强向兄弟单位学习宝贵经验，取长补短，提高本单位工作人员对做好政务公开工作的认识，在开展政务公开工作的同时要注重隐私保护，平衡利益诉求，既要保障社会公众依法获取政府信息的权利，也要注重保护国家秘密、个人隐私。</w:t>
      </w:r>
      <w:r>
        <w:rPr>
          <w:rFonts w:hint="eastAsia" w:ascii="仿宋_GB2312" w:hAnsi="宋体" w:eastAsia="仿宋_GB2312" w:cs="仿宋_GB2312"/>
          <w:b/>
          <w:bCs/>
          <w:i w:val="0"/>
          <w:iCs w:val="0"/>
          <w:caps w:val="0"/>
          <w:color w:val="000000"/>
          <w:spacing w:val="0"/>
          <w:kern w:val="0"/>
          <w:sz w:val="32"/>
          <w:szCs w:val="32"/>
          <w:shd w:val="clear" w:fill="FFFFFF"/>
          <w:lang w:val="en-US" w:eastAsia="zh-CN" w:bidi="ar"/>
        </w:rPr>
        <w:t>三是</w:t>
      </w:r>
      <w:r>
        <w:rPr>
          <w:rFonts w:hint="eastAsia" w:ascii="仿宋_GB2312" w:hAnsi="宋体" w:eastAsia="仿宋_GB2312" w:cs="仿宋_GB2312"/>
          <w:i w:val="0"/>
          <w:iCs w:val="0"/>
          <w:caps w:val="0"/>
          <w:color w:val="000000"/>
          <w:spacing w:val="0"/>
          <w:kern w:val="0"/>
          <w:sz w:val="32"/>
          <w:szCs w:val="32"/>
          <w:shd w:val="clear" w:fill="FFFFFF"/>
          <w:lang w:val="en-US" w:eastAsia="zh-CN" w:bidi="ar"/>
        </w:rPr>
        <w:t>强化学习培训。加强对全体干部的政府信息公开工作知晓率，常态化学习《中华人民共和国政府信息公开条例》等政务公开工作相关政策文件，促进广大干部进一步领会和贯彻落实，不断提高政府信息公开工作的质量和水平。</w:t>
      </w:r>
      <w:r>
        <w:rPr>
          <w:rFonts w:hint="eastAsia" w:ascii="仿宋_GB2312" w:hAnsi="宋体" w:eastAsia="仿宋_GB2312" w:cs="仿宋_GB2312"/>
          <w:b/>
          <w:bCs/>
          <w:i w:val="0"/>
          <w:iCs w:val="0"/>
          <w:caps w:val="0"/>
          <w:color w:val="000000"/>
          <w:spacing w:val="0"/>
          <w:kern w:val="0"/>
          <w:sz w:val="32"/>
          <w:szCs w:val="32"/>
          <w:shd w:val="clear" w:fill="FFFFFF"/>
          <w:lang w:val="en-US" w:eastAsia="zh-CN" w:bidi="ar"/>
        </w:rPr>
        <w:t>四是</w:t>
      </w:r>
      <w:r>
        <w:rPr>
          <w:rFonts w:hint="eastAsia" w:ascii="仿宋_GB2312" w:hAnsi="宋体" w:eastAsia="仿宋_GB2312" w:cs="仿宋_GB2312"/>
          <w:i w:val="0"/>
          <w:iCs w:val="0"/>
          <w:caps w:val="0"/>
          <w:color w:val="000000"/>
          <w:spacing w:val="0"/>
          <w:kern w:val="0"/>
          <w:sz w:val="32"/>
          <w:szCs w:val="32"/>
          <w:shd w:val="clear" w:fill="FFFFFF"/>
          <w:lang w:val="en-US" w:eastAsia="zh-CN" w:bidi="ar"/>
        </w:rPr>
        <w:t>推进重点领域信息公开。紧紧围绕我委中心工作，聚焦经济社会高质量发展需要和人民群众密切关注的问题，坚定不移以更大力度推进政务公开，进一步扩大公开范围，细化公开内容，最大限度发挥政务公开保障人民群众知情权、参与权、表达权和监督权，不断提高人民群众的获得感、幸福感。</w:t>
      </w:r>
    </w:p>
    <w:p w14:paraId="16226970">
      <w:pPr>
        <w:pStyle w:val="3"/>
        <w:numPr>
          <w:ilvl w:val="0"/>
          <w:numId w:val="0"/>
        </w:numPr>
        <w:rPr>
          <w:rFonts w:hint="eastAsia"/>
          <w:lang w:val="en-US" w:eastAsia="zh-CN"/>
        </w:rPr>
      </w:pPr>
    </w:p>
    <w:p w14:paraId="7A74B69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 w:hAnsi="仿宋" w:eastAsia="仿宋" w:cs="仿宋"/>
          <w:b/>
          <w:bCs/>
          <w:i w:val="0"/>
          <w:iCs w:val="0"/>
          <w:caps w:val="0"/>
          <w:color w:val="000000"/>
          <w:spacing w:val="0"/>
          <w:kern w:val="0"/>
          <w:sz w:val="32"/>
          <w:szCs w:val="32"/>
          <w:shd w:val="clear" w:fill="FFFFFF"/>
          <w:lang w:val="en-US" w:eastAsia="zh-CN" w:bidi="ar"/>
        </w:rPr>
      </w:pPr>
      <w:r>
        <w:rPr>
          <w:rFonts w:hint="eastAsia" w:ascii="仿宋" w:hAnsi="仿宋" w:eastAsia="仿宋" w:cs="仿宋"/>
          <w:b/>
          <w:bCs/>
          <w:i w:val="0"/>
          <w:iCs w:val="0"/>
          <w:caps w:val="0"/>
          <w:color w:val="000000"/>
          <w:spacing w:val="0"/>
          <w:kern w:val="0"/>
          <w:sz w:val="32"/>
          <w:szCs w:val="32"/>
          <w:shd w:val="clear" w:fill="FFFFFF"/>
          <w:lang w:val="en-US" w:eastAsia="zh-CN" w:bidi="ar"/>
        </w:rPr>
        <w:t>六、其他需要报告的事项</w:t>
      </w:r>
    </w:p>
    <w:p w14:paraId="05807D3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根据</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《政府信息公开信息处理费管理办法》</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规定，本年度未收取任何信息处理费。无其他报告事项。</w:t>
      </w:r>
    </w:p>
    <w:p w14:paraId="123D48CD">
      <w:pPr>
        <w:pStyle w:val="4"/>
        <w:rPr>
          <w:sz w:val="32"/>
          <w:szCs w:val="32"/>
        </w:rPr>
      </w:pPr>
    </w:p>
    <w:p w14:paraId="7FD898DF"/>
    <w:p w14:paraId="20048E97">
      <w:pPr>
        <w:ind w:firstLine="3840" w:firstLineChars="1200"/>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乌拉特前旗</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卫生健康委员会</w:t>
      </w:r>
    </w:p>
    <w:p w14:paraId="6E8DDB20">
      <w:pPr>
        <w:pStyle w:val="4"/>
        <w:ind w:firstLine="4480" w:firstLineChars="1400"/>
        <w:rPr>
          <w:rFonts w:hint="default" w:eastAsia="仿宋"/>
          <w:sz w:val="32"/>
          <w:szCs w:val="32"/>
          <w:lang w:val="en-US" w:eastAsia="zh-CN"/>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2024年1月12日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001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1A54E4"/>
    <w:multiLevelType w:val="singleLevel"/>
    <w:tmpl w:val="841A54E4"/>
    <w:lvl w:ilvl="0" w:tentative="0">
      <w:start w:val="1"/>
      <w:numFmt w:val="chineseCounting"/>
      <w:suff w:val="nothing"/>
      <w:lvlText w:val="（%1）"/>
      <w:lvlJc w:val="left"/>
      <w:rPr>
        <w:rFonts w:hint="eastAsia"/>
      </w:rPr>
    </w:lvl>
  </w:abstractNum>
  <w:abstractNum w:abstractNumId="1">
    <w:nsid w:val="92CABB50"/>
    <w:multiLevelType w:val="singleLevel"/>
    <w:tmpl w:val="92CABB50"/>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0NzUzNWVmOTg1YjM4MmY3MzVlOTEzYzlmYTU5Y2MifQ=="/>
  </w:docVars>
  <w:rsids>
    <w:rsidRoot w:val="2AF17B93"/>
    <w:rsid w:val="005469B7"/>
    <w:rsid w:val="00973FB8"/>
    <w:rsid w:val="01A050EF"/>
    <w:rsid w:val="034675D0"/>
    <w:rsid w:val="040F3E66"/>
    <w:rsid w:val="04842AA6"/>
    <w:rsid w:val="05095936"/>
    <w:rsid w:val="06C4362D"/>
    <w:rsid w:val="0768045D"/>
    <w:rsid w:val="0869448C"/>
    <w:rsid w:val="093E76C7"/>
    <w:rsid w:val="0AB435D3"/>
    <w:rsid w:val="0E3529A8"/>
    <w:rsid w:val="0E3814DF"/>
    <w:rsid w:val="0E625C06"/>
    <w:rsid w:val="0F0C3DC3"/>
    <w:rsid w:val="113F222E"/>
    <w:rsid w:val="117143B2"/>
    <w:rsid w:val="11D706B9"/>
    <w:rsid w:val="14681A9C"/>
    <w:rsid w:val="15A9236C"/>
    <w:rsid w:val="16493207"/>
    <w:rsid w:val="17DD454F"/>
    <w:rsid w:val="192D6E10"/>
    <w:rsid w:val="19597C05"/>
    <w:rsid w:val="197B401F"/>
    <w:rsid w:val="1A3903DE"/>
    <w:rsid w:val="1ACD08AB"/>
    <w:rsid w:val="25493224"/>
    <w:rsid w:val="268A3AF4"/>
    <w:rsid w:val="27455C6D"/>
    <w:rsid w:val="2A24600D"/>
    <w:rsid w:val="2ABE5B1A"/>
    <w:rsid w:val="2AF17B93"/>
    <w:rsid w:val="2CCF04B2"/>
    <w:rsid w:val="2CED26E7"/>
    <w:rsid w:val="2F6F7D2B"/>
    <w:rsid w:val="2FAD0853"/>
    <w:rsid w:val="30A12166"/>
    <w:rsid w:val="31E83DC4"/>
    <w:rsid w:val="32791381"/>
    <w:rsid w:val="34164C19"/>
    <w:rsid w:val="357A4D33"/>
    <w:rsid w:val="370F3C38"/>
    <w:rsid w:val="3B07350D"/>
    <w:rsid w:val="3CB11983"/>
    <w:rsid w:val="3D69571D"/>
    <w:rsid w:val="3E4D56DB"/>
    <w:rsid w:val="3E990920"/>
    <w:rsid w:val="439E7553"/>
    <w:rsid w:val="47F72214"/>
    <w:rsid w:val="481105CB"/>
    <w:rsid w:val="4ABF170F"/>
    <w:rsid w:val="4AD351BA"/>
    <w:rsid w:val="4AFD2237"/>
    <w:rsid w:val="4C3D6D8F"/>
    <w:rsid w:val="4D1D3CC9"/>
    <w:rsid w:val="516923D4"/>
    <w:rsid w:val="52911BE2"/>
    <w:rsid w:val="55B1434A"/>
    <w:rsid w:val="55D17AFB"/>
    <w:rsid w:val="56BE2A64"/>
    <w:rsid w:val="56F3629C"/>
    <w:rsid w:val="571132F2"/>
    <w:rsid w:val="599B6EA3"/>
    <w:rsid w:val="5A272E2C"/>
    <w:rsid w:val="5A89319F"/>
    <w:rsid w:val="5D3E2967"/>
    <w:rsid w:val="60EE1FAE"/>
    <w:rsid w:val="63B37E5A"/>
    <w:rsid w:val="63D062E3"/>
    <w:rsid w:val="65102E3B"/>
    <w:rsid w:val="65BF660F"/>
    <w:rsid w:val="661701F9"/>
    <w:rsid w:val="670C5884"/>
    <w:rsid w:val="67FA1B80"/>
    <w:rsid w:val="68F16ADF"/>
    <w:rsid w:val="6C027255"/>
    <w:rsid w:val="6EFA06B8"/>
    <w:rsid w:val="6FAF7B52"/>
    <w:rsid w:val="723839D1"/>
    <w:rsid w:val="756845CD"/>
    <w:rsid w:val="78570929"/>
    <w:rsid w:val="7A5275FA"/>
    <w:rsid w:val="7BE349AD"/>
    <w:rsid w:val="7C5C4760"/>
    <w:rsid w:val="7DF45DB4"/>
    <w:rsid w:val="7F6C2F0C"/>
    <w:rsid w:val="7FBB79EF"/>
    <w:rsid w:val="7FD953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1"/>
    <w:basedOn w:val="1"/>
    <w:next w:val="1"/>
    <w:autoRedefine/>
    <w:qFormat/>
    <w:uiPriority w:val="0"/>
  </w:style>
  <w:style w:type="paragraph" w:styleId="4">
    <w:name w:val="toc 2"/>
    <w:basedOn w:val="1"/>
    <w:next w:val="1"/>
    <w:qFormat/>
    <w:uiPriority w:val="0"/>
    <w:pPr>
      <w:spacing w:line="306" w:lineRule="auto"/>
      <w:ind w:left="419"/>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1254</Words>
  <Characters>1325</Characters>
  <Lines>0</Lines>
  <Paragraphs>0</Paragraphs>
  <TotalTime>1</TotalTime>
  <ScaleCrop>false</ScaleCrop>
  <LinksUpToDate>false</LinksUpToDate>
  <CharactersWithSpaces>1328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2022-01-06T02:12:00Z</dcterms:created>
  <dc:creator>付洋</dc:creator>
  <cp:lastModifiedBy>夜轩</cp:lastModifiedBy>
  <dcterms:modified xsi:type="dcterms:W3CDTF">2025-12-26T07:20:41Z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0F77DF5C50B246298C18A1D16DBCBECD_13</vt:lpwstr>
  </property>
  <property fmtid="{D5CDD505-2E9C-101B-9397-08002B2CF9AE}" pid="4" name="KSOTemplateDocerSaveRecord">
    <vt:lpwstr>eyJoZGlkIjoiMDlmZDc5YzA5YzU5NWY4MzQzYzU4YmRlOGM4MTI4MDIiLCJ1c2VySWQiOiIzNzQ1ODQzOTMifQ==</vt:lpwstr>
  </property>
</Properties>
</file>