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themeColor="text1"/>
          <w:spacing w:val="0"/>
          <w:sz w:val="48"/>
          <w:szCs w:val="48"/>
          <w:highlight w:val="none"/>
          <w:shd w:val="clear" w:fill="FFFFFF"/>
          <w14:textFill>
            <w14:solidFill>
              <w14:schemeClr w14:val="tx1"/>
            </w14:solidFill>
          </w14:textFill>
        </w:rPr>
      </w:pPr>
    </w:p>
    <w:p>
      <w:pPr>
        <w:rPr>
          <w:rFonts w:hint="eastAsia" w:ascii="微软雅黑" w:hAnsi="微软雅黑" w:eastAsia="微软雅黑" w:cs="微软雅黑"/>
          <w:i w:val="0"/>
          <w:iCs w:val="0"/>
          <w:caps w:val="0"/>
          <w:color w:val="000000" w:themeColor="text1"/>
          <w:spacing w:val="0"/>
          <w:sz w:val="48"/>
          <w:szCs w:val="48"/>
          <w:highlight w:val="none"/>
          <w:shd w:val="clear" w:fill="FFFFFF"/>
          <w14:textFill>
            <w14:solidFill>
              <w14:schemeClr w14:val="tx1"/>
            </w14:solidFill>
          </w14:textFill>
        </w:rPr>
      </w:pPr>
    </w:p>
    <w:p>
      <w:pPr>
        <w:rPr>
          <w:rFonts w:hint="eastAsia" w:ascii="微软雅黑" w:hAnsi="微软雅黑" w:eastAsia="微软雅黑" w:cs="微软雅黑"/>
          <w:i w:val="0"/>
          <w:iCs w:val="0"/>
          <w:caps w:val="0"/>
          <w:color w:val="000000" w:themeColor="text1"/>
          <w:spacing w:val="0"/>
          <w:sz w:val="48"/>
          <w:szCs w:val="48"/>
          <w:highlight w:val="none"/>
          <w:shd w:val="clear" w:fill="FFFFFF"/>
          <w14:textFill>
            <w14:solidFill>
              <w14:schemeClr w14:val="tx1"/>
            </w14:solidFill>
          </w14:textFill>
        </w:rPr>
      </w:pPr>
    </w:p>
    <w:p>
      <w:pPr>
        <w:rPr>
          <w:rFonts w:hint="eastAsia" w:ascii="微软雅黑" w:hAnsi="微软雅黑" w:eastAsia="微软雅黑" w:cs="微软雅黑"/>
          <w:i w:val="0"/>
          <w:iCs w:val="0"/>
          <w:caps w:val="0"/>
          <w:color w:val="000000" w:themeColor="text1"/>
          <w:spacing w:val="0"/>
          <w:sz w:val="20"/>
          <w:szCs w:val="20"/>
          <w:highlight w:val="none"/>
          <w:shd w:val="clear" w:fill="FFFFFF"/>
          <w14:textFill>
            <w14:solidFill>
              <w14:schemeClr w14:val="tx1"/>
            </w14:solidFill>
          </w14:textFill>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bCs w:val="0"/>
          <w:i w:val="0"/>
          <w:iCs w:val="0"/>
          <w:caps w:val="0"/>
          <w:color w:val="000000" w:themeColor="text1"/>
          <w:spacing w:val="0"/>
          <w:sz w:val="44"/>
          <w:szCs w:val="44"/>
          <w:highlight w:val="none"/>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4"/>
          <w:szCs w:val="44"/>
          <w:highlight w:val="none"/>
          <w:shd w:val="clear" w:fill="FFFFFF"/>
          <w14:textFill>
            <w14:solidFill>
              <w14:schemeClr w14:val="tx1"/>
            </w14:solidFill>
          </w14:textFill>
        </w:rPr>
        <w:t>乌拉特前旗</w:t>
      </w:r>
      <w:r>
        <w:rPr>
          <w:rFonts w:hint="eastAsia" w:ascii="方正小标宋简体" w:hAnsi="方正小标宋简体" w:eastAsia="方正小标宋简体" w:cs="方正小标宋简体"/>
          <w:b w:val="0"/>
          <w:bCs w:val="0"/>
          <w:i w:val="0"/>
          <w:iCs w:val="0"/>
          <w:caps w:val="0"/>
          <w:color w:val="000000" w:themeColor="text1"/>
          <w:spacing w:val="0"/>
          <w:sz w:val="44"/>
          <w:szCs w:val="44"/>
          <w:highlight w:val="none"/>
          <w:shd w:val="clear" w:fill="FFFFFF"/>
          <w:lang w:val="en-US" w:eastAsia="zh-CN"/>
          <w14:textFill>
            <w14:solidFill>
              <w14:schemeClr w14:val="tx1"/>
            </w14:solidFill>
          </w14:textFill>
        </w:rPr>
        <w:t>林业和草原局</w:t>
      </w:r>
      <w:r>
        <w:rPr>
          <w:rFonts w:hint="eastAsia" w:ascii="方正小标宋简体" w:hAnsi="方正小标宋简体" w:eastAsia="方正小标宋简体" w:cs="方正小标宋简体"/>
          <w:b w:val="0"/>
          <w:bCs w:val="0"/>
          <w:i w:val="0"/>
          <w:iCs w:val="0"/>
          <w:caps w:val="0"/>
          <w:color w:val="000000" w:themeColor="text1"/>
          <w:spacing w:val="0"/>
          <w:sz w:val="44"/>
          <w:szCs w:val="44"/>
          <w:highlight w:val="none"/>
          <w:shd w:val="clear" w:fill="FFFFFF"/>
          <w14:textFill>
            <w14:solidFill>
              <w14:schemeClr w14:val="tx1"/>
            </w14:solidFill>
          </w14:textFill>
        </w:rPr>
        <w:t>20</w:t>
      </w:r>
      <w:r>
        <w:rPr>
          <w:rFonts w:hint="eastAsia" w:ascii="方正小标宋简体" w:hAnsi="方正小标宋简体" w:eastAsia="方正小标宋简体" w:cs="方正小标宋简体"/>
          <w:b w:val="0"/>
          <w:bCs w:val="0"/>
          <w:i w:val="0"/>
          <w:iCs w:val="0"/>
          <w:caps w:val="0"/>
          <w:color w:val="000000" w:themeColor="text1"/>
          <w:spacing w:val="0"/>
          <w:sz w:val="44"/>
          <w:szCs w:val="44"/>
          <w:highlight w:val="none"/>
          <w:shd w:val="clear" w:fill="FFFFFF"/>
          <w:lang w:val="en-US" w:eastAsia="zh-CN"/>
          <w14:textFill>
            <w14:solidFill>
              <w14:schemeClr w14:val="tx1"/>
            </w14:solidFill>
          </w14:textFill>
        </w:rPr>
        <w:t>23</w:t>
      </w:r>
      <w:r>
        <w:rPr>
          <w:rFonts w:hint="eastAsia" w:ascii="方正小标宋简体" w:hAnsi="方正小标宋简体" w:eastAsia="方正小标宋简体" w:cs="方正小标宋简体"/>
          <w:b w:val="0"/>
          <w:bCs w:val="0"/>
          <w:i w:val="0"/>
          <w:iCs w:val="0"/>
          <w:caps w:val="0"/>
          <w:color w:val="000000" w:themeColor="text1"/>
          <w:spacing w:val="0"/>
          <w:sz w:val="44"/>
          <w:szCs w:val="44"/>
          <w:highlight w:val="none"/>
          <w:shd w:val="clear" w:fill="FFFFFF"/>
          <w14:textFill>
            <w14:solidFill>
              <w14:schemeClr w14:val="tx1"/>
            </w14:solidFill>
          </w14:textFill>
        </w:rPr>
        <w:t>年政府信息公开</w:t>
      </w:r>
      <w:r>
        <w:rPr>
          <w:rFonts w:hint="eastAsia" w:ascii="方正小标宋简体" w:hAnsi="方正小标宋简体" w:eastAsia="方正小标宋简体" w:cs="方正小标宋简体"/>
          <w:b w:val="0"/>
          <w:bCs w:val="0"/>
          <w:i w:val="0"/>
          <w:iCs w:val="0"/>
          <w:caps w:val="0"/>
          <w:color w:val="000000" w:themeColor="text1"/>
          <w:spacing w:val="0"/>
          <w:sz w:val="44"/>
          <w:szCs w:val="44"/>
          <w:highlight w:val="none"/>
          <w:shd w:val="clear" w:fill="FFFFFF"/>
          <w:lang w:val="en-US" w:eastAsia="zh-CN"/>
          <w14:textFill>
            <w14:solidFill>
              <w14:schemeClr w14:val="tx1"/>
            </w14:solidFill>
          </w14:textFill>
        </w:rPr>
        <w:t>工作</w:t>
      </w:r>
      <w:r>
        <w:rPr>
          <w:rFonts w:hint="eastAsia" w:ascii="方正小标宋简体" w:hAnsi="方正小标宋简体" w:eastAsia="方正小标宋简体" w:cs="方正小标宋简体"/>
          <w:b w:val="0"/>
          <w:bCs w:val="0"/>
          <w:i w:val="0"/>
          <w:iCs w:val="0"/>
          <w:caps w:val="0"/>
          <w:color w:val="000000" w:themeColor="text1"/>
          <w:spacing w:val="0"/>
          <w:sz w:val="44"/>
          <w:szCs w:val="44"/>
          <w:highlight w:val="none"/>
          <w:shd w:val="clear" w:fill="FFFFFF"/>
          <w14:textFill>
            <w14:solidFill>
              <w14:schemeClr w14:val="tx1"/>
            </w14:solidFill>
          </w14:textFill>
        </w:rPr>
        <w:t>年度报告</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3" w:firstLineChars="200"/>
        <w:jc w:val="both"/>
        <w:rPr>
          <w:rFonts w:hint="eastAsia" w:ascii="仿宋" w:hAnsi="仿宋" w:eastAsia="仿宋" w:cs="仿宋"/>
          <w:b/>
          <w:bCs/>
          <w:sz w:val="32"/>
          <w:szCs w:val="32"/>
          <w:highlight w:val="none"/>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640" w:firstLineChars="200"/>
        <w:rPr>
          <w:rFonts w:hint="default" w:ascii="方正仿宋_GB2312" w:hAnsi="方正仿宋_GB2312" w:eastAsia="方正仿宋_GB2312" w:cs="方正仿宋_GB2312"/>
          <w:i w:val="0"/>
          <w:iCs w:val="0"/>
          <w:caps w:val="0"/>
          <w:color w:val="000000"/>
          <w:spacing w:val="0"/>
          <w:sz w:val="32"/>
          <w:szCs w:val="32"/>
          <w:highlight w:val="none"/>
          <w:shd w:val="clear" w:color="auto" w:fill="FFFFFF"/>
          <w:lang w:val="en-US" w:eastAsia="zh-CN"/>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本年度报告根据《中华人民共和国政府信息公开条例》（以下简称《条例》） </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《国务院办公厅政府信息与政务公开办公室关于印发&lt;中华人民共和国政府信息公开工作年度报告格式&gt;的通知》（国办公开办函〔2021〕30号）要求制作。</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本报告由总体情况，主动公开政府信息情况，收到和处理政府信息公开申请情况，政府信息公开行政复议、行政诉讼情况，存在的主要问题及改进情况以及其他需要报告的事项等部分组成。</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本年度报告中所列数据的统计期限为</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月</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日起至</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12</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月</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31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日止</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lang w:val="en-US" w:eastAsia="zh-CN"/>
        </w:rPr>
        <w:t>乌拉特前旗林业和草原局本年度报告电子版可以从乌拉特前旗人民政府门户网站（http://www.wltqq.gov.cn）下载，如对本年度报告有疑问，请与乌拉特前旗林业和草原局联系（电话：0478-3606288）。</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3" w:firstLineChars="200"/>
        <w:jc w:val="both"/>
        <w:rPr>
          <w:rFonts w:hint="eastAsia" w:ascii="仿宋" w:hAnsi="仿宋" w:eastAsia="仿宋" w:cs="仿宋"/>
          <w:b/>
          <w:bCs/>
          <w:sz w:val="32"/>
          <w:szCs w:val="32"/>
          <w:highlight w:val="none"/>
          <w:lang w:eastAsia="zh-CN"/>
        </w:rPr>
      </w:pPr>
      <w:r>
        <w:rPr>
          <w:rFonts w:hint="eastAsia" w:ascii="仿宋" w:hAnsi="仿宋" w:eastAsia="仿宋" w:cs="仿宋"/>
          <w:b/>
          <w:bCs/>
          <w:sz w:val="32"/>
          <w:szCs w:val="32"/>
          <w:highlight w:val="none"/>
          <w:lang w:val="en-US" w:eastAsia="zh-CN"/>
        </w:rPr>
        <w:t>一、</w:t>
      </w:r>
      <w:r>
        <w:rPr>
          <w:rFonts w:hint="eastAsia" w:ascii="仿宋" w:hAnsi="仿宋" w:eastAsia="仿宋" w:cs="仿宋"/>
          <w:b/>
          <w:bCs/>
          <w:sz w:val="32"/>
          <w:szCs w:val="32"/>
          <w:highlight w:val="none"/>
        </w:rPr>
        <w:t>总体情况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640" w:firstLineChars="200"/>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lang w:eastAsia="zh-CN"/>
        </w:rPr>
      </w:pP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rPr>
        <w:t>202</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lang w:val="en-US" w:eastAsia="zh-CN"/>
        </w:rPr>
        <w:t>3</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rPr>
        <w:t>年，乌拉特前旗林业和草原局严格按照旗委、旗政府部署要求，主动公开政府信息情况、落实行政许可事项、改进存在的主要问题，不断健全完善政务信息公开工作机制，积极落实各项工作任务。现将我局202</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lang w:val="en-US" w:eastAsia="zh-CN"/>
        </w:rPr>
        <w:t>3</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rPr>
        <w:t>年度政府信息公开工作情况汇报如下：</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321" w:firstLineChars="100"/>
        <w:jc w:val="both"/>
        <w:rPr>
          <w:rFonts w:hint="eastAsia" w:ascii="仿宋" w:hAnsi="仿宋" w:eastAsia="仿宋" w:cs="仿宋"/>
          <w:b/>
          <w:bCs/>
          <w:i w:val="0"/>
          <w:iCs w:val="0"/>
          <w:caps w:val="0"/>
          <w:color w:val="000000"/>
          <w:spacing w:val="0"/>
          <w:sz w:val="32"/>
          <w:szCs w:val="32"/>
          <w:highlight w:val="none"/>
          <w:shd w:val="clear" w:fill="FFFFFF"/>
        </w:rPr>
      </w:pPr>
      <w:r>
        <w:rPr>
          <w:rFonts w:hint="eastAsia" w:ascii="仿宋" w:hAnsi="仿宋" w:eastAsia="仿宋" w:cs="仿宋"/>
          <w:b/>
          <w:bCs/>
          <w:i w:val="0"/>
          <w:iCs w:val="0"/>
          <w:caps w:val="0"/>
          <w:color w:val="000000"/>
          <w:spacing w:val="0"/>
          <w:sz w:val="32"/>
          <w:szCs w:val="32"/>
          <w:highlight w:val="none"/>
          <w:shd w:val="clear" w:fill="FFFFFF"/>
          <w:lang w:eastAsia="zh-CN"/>
        </w:rPr>
        <w:t>（</w:t>
      </w:r>
      <w:r>
        <w:rPr>
          <w:rFonts w:hint="eastAsia" w:ascii="仿宋" w:hAnsi="仿宋" w:eastAsia="仿宋" w:cs="仿宋"/>
          <w:b/>
          <w:bCs/>
          <w:i w:val="0"/>
          <w:iCs w:val="0"/>
          <w:caps w:val="0"/>
          <w:color w:val="000000"/>
          <w:spacing w:val="0"/>
          <w:sz w:val="32"/>
          <w:szCs w:val="32"/>
          <w:highlight w:val="none"/>
          <w:shd w:val="clear" w:fill="FFFFFF"/>
          <w:lang w:val="en-US" w:eastAsia="zh-CN"/>
        </w:rPr>
        <w:t>一</w:t>
      </w:r>
      <w:r>
        <w:rPr>
          <w:rFonts w:hint="eastAsia" w:ascii="仿宋" w:hAnsi="仿宋" w:eastAsia="仿宋" w:cs="仿宋"/>
          <w:b/>
          <w:bCs/>
          <w:i w:val="0"/>
          <w:iCs w:val="0"/>
          <w:caps w:val="0"/>
          <w:color w:val="000000"/>
          <w:spacing w:val="0"/>
          <w:sz w:val="32"/>
          <w:szCs w:val="32"/>
          <w:highlight w:val="none"/>
          <w:shd w:val="clear" w:fill="FFFFFF"/>
          <w:lang w:eastAsia="zh-CN"/>
        </w:rPr>
        <w:t>）</w:t>
      </w:r>
      <w:r>
        <w:rPr>
          <w:rFonts w:hint="eastAsia" w:ascii="仿宋" w:hAnsi="仿宋" w:eastAsia="仿宋" w:cs="仿宋"/>
          <w:b/>
          <w:bCs/>
          <w:i w:val="0"/>
          <w:iCs w:val="0"/>
          <w:caps w:val="0"/>
          <w:color w:val="000000"/>
          <w:spacing w:val="0"/>
          <w:sz w:val="32"/>
          <w:szCs w:val="32"/>
          <w:highlight w:val="none"/>
          <w:shd w:val="clear" w:fill="FFFFFF"/>
        </w:rPr>
        <w:t>主动公开情况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640" w:firstLineChars="200"/>
        <w:rPr>
          <w:rFonts w:hint="eastAsia" w:ascii="方正仿宋_GB2312" w:hAnsi="方正仿宋_GB2312" w:eastAsia="方正仿宋_GB2312" w:cs="方正仿宋_GB2312"/>
          <w:i w:val="0"/>
          <w:iCs w:val="0"/>
          <w:caps w:val="0"/>
          <w:color w:val="0000FF"/>
          <w:spacing w:val="0"/>
          <w:sz w:val="32"/>
          <w:szCs w:val="32"/>
          <w:highlight w:val="none"/>
          <w:shd w:val="clear" w:color="auto" w:fill="FFFFFF"/>
        </w:rPr>
      </w:pP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rPr>
        <w:t>202</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lang w:val="en-US" w:eastAsia="zh-CN"/>
        </w:rPr>
        <w:t>3</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rPr>
        <w:t>年，按照《中华人民共和国政府信息公开条例》要求，我局认真落实政府信息工作及政务公开，发布政策文件、工作完成情况信息、日常工作动态。全年我局通过巴彦淖尔市政务公开平台发布信息24条</w:t>
      </w:r>
      <w:r>
        <w:rPr>
          <w:rFonts w:hint="eastAsia" w:ascii="方正仿宋_GB2312" w:hAnsi="方正仿宋_GB2312" w:eastAsia="方正仿宋_GB2312" w:cs="方正仿宋_GB2312"/>
          <w:i w:val="0"/>
          <w:iCs w:val="0"/>
          <w:caps w:val="0"/>
          <w:color w:val="0000FF"/>
          <w:spacing w:val="0"/>
          <w:sz w:val="32"/>
          <w:szCs w:val="32"/>
          <w:highlight w:val="none"/>
          <w:shd w:val="clear" w:color="auto" w:fill="FFFFFF"/>
        </w:rPr>
        <w:t>。</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321" w:firstLineChars="100"/>
        <w:jc w:val="both"/>
        <w:rPr>
          <w:rFonts w:hint="eastAsia" w:ascii="仿宋" w:hAnsi="仿宋" w:eastAsia="仿宋" w:cs="仿宋"/>
          <w:b/>
          <w:bCs/>
          <w:i w:val="0"/>
          <w:iCs w:val="0"/>
          <w:caps w:val="0"/>
          <w:color w:val="000000"/>
          <w:spacing w:val="0"/>
          <w:sz w:val="32"/>
          <w:szCs w:val="32"/>
          <w:highlight w:val="none"/>
          <w:shd w:val="clear" w:fill="FFFFFF"/>
        </w:rPr>
      </w:pPr>
      <w:r>
        <w:rPr>
          <w:rFonts w:hint="eastAsia" w:ascii="仿宋" w:hAnsi="仿宋" w:eastAsia="仿宋" w:cs="仿宋"/>
          <w:b/>
          <w:bCs/>
          <w:i w:val="0"/>
          <w:iCs w:val="0"/>
          <w:caps w:val="0"/>
          <w:color w:val="000000"/>
          <w:spacing w:val="0"/>
          <w:sz w:val="32"/>
          <w:szCs w:val="32"/>
          <w:highlight w:val="none"/>
          <w:shd w:val="clear" w:fill="FFFFFF"/>
          <w:lang w:eastAsia="zh-CN"/>
        </w:rPr>
        <w:t>（</w:t>
      </w:r>
      <w:r>
        <w:rPr>
          <w:rFonts w:hint="eastAsia" w:ascii="仿宋" w:hAnsi="仿宋" w:eastAsia="仿宋" w:cs="仿宋"/>
          <w:b/>
          <w:bCs/>
          <w:i w:val="0"/>
          <w:iCs w:val="0"/>
          <w:caps w:val="0"/>
          <w:color w:val="000000"/>
          <w:spacing w:val="0"/>
          <w:sz w:val="32"/>
          <w:szCs w:val="32"/>
          <w:highlight w:val="none"/>
          <w:shd w:val="clear" w:fill="FFFFFF"/>
          <w:lang w:val="en-US" w:eastAsia="zh-CN"/>
        </w:rPr>
        <w:t>二</w:t>
      </w:r>
      <w:r>
        <w:rPr>
          <w:rFonts w:hint="eastAsia" w:ascii="仿宋" w:hAnsi="仿宋" w:eastAsia="仿宋" w:cs="仿宋"/>
          <w:b/>
          <w:bCs/>
          <w:i w:val="0"/>
          <w:iCs w:val="0"/>
          <w:caps w:val="0"/>
          <w:color w:val="000000"/>
          <w:spacing w:val="0"/>
          <w:sz w:val="32"/>
          <w:szCs w:val="32"/>
          <w:highlight w:val="none"/>
          <w:shd w:val="clear" w:fill="FFFFFF"/>
          <w:lang w:eastAsia="zh-CN"/>
        </w:rPr>
        <w:t>）</w:t>
      </w:r>
      <w:r>
        <w:rPr>
          <w:rFonts w:hint="eastAsia" w:ascii="仿宋" w:hAnsi="仿宋" w:eastAsia="仿宋" w:cs="仿宋"/>
          <w:b/>
          <w:bCs/>
          <w:i w:val="0"/>
          <w:iCs w:val="0"/>
          <w:caps w:val="0"/>
          <w:color w:val="000000"/>
          <w:spacing w:val="0"/>
          <w:sz w:val="32"/>
          <w:szCs w:val="32"/>
          <w:highlight w:val="none"/>
          <w:shd w:val="clear" w:fill="FFFFFF"/>
        </w:rPr>
        <w:t>依申请公开情况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640" w:firstLineChars="200"/>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lang w:val="en-US" w:eastAsia="zh-CN"/>
        </w:rPr>
      </w:pP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rPr>
        <w:t>202</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lang w:val="en-US" w:eastAsia="zh-CN"/>
        </w:rPr>
        <w:t>3</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rPr>
        <w:t>年，我局上年结转政府信息公开申请</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lang w:val="en-US" w:eastAsia="zh-CN"/>
        </w:rPr>
        <w:t>0</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rPr>
        <w:t>件，收到政府信息公开申请</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lang w:val="en-US" w:eastAsia="zh-CN"/>
        </w:rPr>
        <w:t>1</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rPr>
        <w:t>件</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lang w:eastAsia="zh-CN"/>
        </w:rPr>
        <w:t>，</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lang w:val="en-US" w:eastAsia="zh-CN"/>
        </w:rPr>
        <w:t>已办结</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rPr>
        <w:t>。</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321" w:firstLineChars="100"/>
        <w:jc w:val="both"/>
        <w:rPr>
          <w:rFonts w:hint="eastAsia" w:ascii="仿宋" w:hAnsi="仿宋" w:eastAsia="仿宋" w:cs="仿宋"/>
          <w:b/>
          <w:bCs/>
          <w:i w:val="0"/>
          <w:iCs w:val="0"/>
          <w:caps w:val="0"/>
          <w:color w:val="000000"/>
          <w:spacing w:val="0"/>
          <w:sz w:val="32"/>
          <w:szCs w:val="32"/>
          <w:highlight w:val="none"/>
          <w:shd w:val="clear" w:fill="FFFFFF"/>
        </w:rPr>
      </w:pPr>
      <w:r>
        <w:rPr>
          <w:rFonts w:hint="eastAsia" w:ascii="仿宋" w:hAnsi="仿宋" w:eastAsia="仿宋" w:cs="仿宋"/>
          <w:b/>
          <w:bCs/>
          <w:i w:val="0"/>
          <w:iCs w:val="0"/>
          <w:caps w:val="0"/>
          <w:color w:val="000000"/>
          <w:spacing w:val="0"/>
          <w:sz w:val="32"/>
          <w:szCs w:val="32"/>
          <w:highlight w:val="none"/>
          <w:shd w:val="clear" w:fill="FFFFFF"/>
          <w:lang w:eastAsia="zh-CN"/>
        </w:rPr>
        <w:t>（</w:t>
      </w:r>
      <w:r>
        <w:rPr>
          <w:rFonts w:hint="eastAsia" w:ascii="仿宋" w:hAnsi="仿宋" w:eastAsia="仿宋" w:cs="仿宋"/>
          <w:b/>
          <w:bCs/>
          <w:i w:val="0"/>
          <w:iCs w:val="0"/>
          <w:caps w:val="0"/>
          <w:color w:val="000000"/>
          <w:spacing w:val="0"/>
          <w:sz w:val="32"/>
          <w:szCs w:val="32"/>
          <w:highlight w:val="none"/>
          <w:shd w:val="clear" w:fill="FFFFFF"/>
          <w:lang w:val="en-US" w:eastAsia="zh-CN"/>
        </w:rPr>
        <w:t>三</w:t>
      </w:r>
      <w:r>
        <w:rPr>
          <w:rFonts w:hint="eastAsia" w:ascii="仿宋" w:hAnsi="仿宋" w:eastAsia="仿宋" w:cs="仿宋"/>
          <w:b/>
          <w:bCs/>
          <w:i w:val="0"/>
          <w:iCs w:val="0"/>
          <w:caps w:val="0"/>
          <w:color w:val="000000"/>
          <w:spacing w:val="0"/>
          <w:sz w:val="32"/>
          <w:szCs w:val="32"/>
          <w:highlight w:val="none"/>
          <w:shd w:val="clear" w:fill="FFFFFF"/>
          <w:lang w:eastAsia="zh-CN"/>
        </w:rPr>
        <w:t>）</w:t>
      </w:r>
      <w:r>
        <w:rPr>
          <w:rFonts w:hint="eastAsia" w:ascii="仿宋" w:hAnsi="仿宋" w:eastAsia="仿宋" w:cs="仿宋"/>
          <w:b/>
          <w:bCs/>
          <w:i w:val="0"/>
          <w:iCs w:val="0"/>
          <w:caps w:val="0"/>
          <w:color w:val="000000"/>
          <w:spacing w:val="0"/>
          <w:sz w:val="32"/>
          <w:szCs w:val="32"/>
          <w:highlight w:val="none"/>
          <w:shd w:val="clear" w:fill="FFFFFF"/>
        </w:rPr>
        <w:t>政府信息管理情况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640" w:firstLineChars="200"/>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lang w:val="en-US" w:eastAsia="zh-CN"/>
        </w:rPr>
      </w:pP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rPr>
        <w:t>202</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lang w:val="en-US" w:eastAsia="zh-CN"/>
        </w:rPr>
        <w:t>3</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rPr>
        <w:t>年我单位未接收到新收政府信息公开申请以及上年结转政府信息公开申请。</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321" w:firstLineChars="100"/>
        <w:jc w:val="both"/>
        <w:rPr>
          <w:rFonts w:hint="eastAsia" w:ascii="仿宋" w:hAnsi="仿宋" w:eastAsia="仿宋" w:cs="仿宋"/>
          <w:b/>
          <w:bCs/>
          <w:i w:val="0"/>
          <w:iCs w:val="0"/>
          <w:caps w:val="0"/>
          <w:color w:val="000000"/>
          <w:spacing w:val="0"/>
          <w:sz w:val="32"/>
          <w:szCs w:val="32"/>
          <w:highlight w:val="none"/>
          <w:shd w:val="clear" w:fill="FFFFFF"/>
        </w:rPr>
      </w:pPr>
      <w:r>
        <w:rPr>
          <w:rFonts w:hint="eastAsia" w:ascii="仿宋" w:hAnsi="仿宋" w:eastAsia="仿宋" w:cs="仿宋"/>
          <w:b/>
          <w:bCs/>
          <w:i w:val="0"/>
          <w:iCs w:val="0"/>
          <w:caps w:val="0"/>
          <w:color w:val="000000"/>
          <w:spacing w:val="0"/>
          <w:sz w:val="32"/>
          <w:szCs w:val="32"/>
          <w:highlight w:val="none"/>
          <w:shd w:val="clear" w:fill="FFFFFF"/>
          <w:lang w:eastAsia="zh-CN"/>
        </w:rPr>
        <w:t>（</w:t>
      </w:r>
      <w:r>
        <w:rPr>
          <w:rFonts w:hint="eastAsia" w:ascii="仿宋" w:hAnsi="仿宋" w:eastAsia="仿宋" w:cs="仿宋"/>
          <w:b/>
          <w:bCs/>
          <w:i w:val="0"/>
          <w:iCs w:val="0"/>
          <w:caps w:val="0"/>
          <w:color w:val="000000"/>
          <w:spacing w:val="0"/>
          <w:sz w:val="32"/>
          <w:szCs w:val="32"/>
          <w:highlight w:val="none"/>
          <w:shd w:val="clear" w:fill="FFFFFF"/>
          <w:lang w:val="en-US" w:eastAsia="zh-CN"/>
        </w:rPr>
        <w:t>四</w:t>
      </w:r>
      <w:r>
        <w:rPr>
          <w:rFonts w:hint="eastAsia" w:ascii="仿宋" w:hAnsi="仿宋" w:eastAsia="仿宋" w:cs="仿宋"/>
          <w:b/>
          <w:bCs/>
          <w:i w:val="0"/>
          <w:iCs w:val="0"/>
          <w:caps w:val="0"/>
          <w:color w:val="000000"/>
          <w:spacing w:val="0"/>
          <w:sz w:val="32"/>
          <w:szCs w:val="32"/>
          <w:highlight w:val="none"/>
          <w:shd w:val="clear" w:fill="FFFFFF"/>
          <w:lang w:eastAsia="zh-CN"/>
        </w:rPr>
        <w:t>）</w:t>
      </w:r>
      <w:r>
        <w:rPr>
          <w:rFonts w:hint="eastAsia" w:ascii="仿宋" w:hAnsi="仿宋" w:eastAsia="仿宋" w:cs="仿宋"/>
          <w:b/>
          <w:bCs/>
          <w:i w:val="0"/>
          <w:iCs w:val="0"/>
          <w:caps w:val="0"/>
          <w:color w:val="000000"/>
          <w:spacing w:val="0"/>
          <w:sz w:val="32"/>
          <w:szCs w:val="32"/>
          <w:highlight w:val="none"/>
          <w:shd w:val="clear" w:fill="FFFFFF"/>
        </w:rPr>
        <w:t>政府信息公开平台建设情况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640" w:firstLineChars="200"/>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lang w:val="en-US" w:eastAsia="zh-CN"/>
        </w:rPr>
      </w:pP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rPr>
        <w:t>为认真做好平台信息发布工作，我局加强主动公开平台的集中管理，将网站主动公开信息的承接、分类、加载、维护集中由专人负责，提高了公开时效和加载质量，做到信息内容及时更新。</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321" w:firstLineChars="100"/>
        <w:jc w:val="both"/>
        <w:rPr>
          <w:rFonts w:hint="eastAsia" w:ascii="仿宋" w:hAnsi="仿宋" w:eastAsia="仿宋" w:cs="仿宋"/>
          <w:b/>
          <w:bCs/>
          <w:i w:val="0"/>
          <w:iCs w:val="0"/>
          <w:caps w:val="0"/>
          <w:color w:val="000000"/>
          <w:spacing w:val="0"/>
          <w:sz w:val="32"/>
          <w:szCs w:val="32"/>
          <w:highlight w:val="none"/>
          <w:shd w:val="clear" w:fill="FFFFFF"/>
        </w:rPr>
      </w:pPr>
      <w:r>
        <w:rPr>
          <w:rFonts w:hint="eastAsia" w:ascii="仿宋" w:hAnsi="仿宋" w:eastAsia="仿宋" w:cs="仿宋"/>
          <w:b/>
          <w:bCs/>
          <w:i w:val="0"/>
          <w:iCs w:val="0"/>
          <w:caps w:val="0"/>
          <w:color w:val="000000"/>
          <w:spacing w:val="0"/>
          <w:sz w:val="32"/>
          <w:szCs w:val="32"/>
          <w:highlight w:val="none"/>
          <w:shd w:val="clear" w:fill="FFFFFF"/>
          <w:lang w:eastAsia="zh-CN"/>
        </w:rPr>
        <w:t>（</w:t>
      </w:r>
      <w:r>
        <w:rPr>
          <w:rFonts w:hint="eastAsia" w:ascii="仿宋" w:hAnsi="仿宋" w:eastAsia="仿宋" w:cs="仿宋"/>
          <w:b/>
          <w:bCs/>
          <w:i w:val="0"/>
          <w:iCs w:val="0"/>
          <w:caps w:val="0"/>
          <w:color w:val="000000"/>
          <w:spacing w:val="0"/>
          <w:sz w:val="32"/>
          <w:szCs w:val="32"/>
          <w:highlight w:val="none"/>
          <w:shd w:val="clear" w:fill="FFFFFF"/>
          <w:lang w:val="en-US" w:eastAsia="zh-CN"/>
        </w:rPr>
        <w:t>五</w:t>
      </w:r>
      <w:r>
        <w:rPr>
          <w:rFonts w:hint="eastAsia" w:ascii="仿宋" w:hAnsi="仿宋" w:eastAsia="仿宋" w:cs="仿宋"/>
          <w:b/>
          <w:bCs/>
          <w:i w:val="0"/>
          <w:iCs w:val="0"/>
          <w:caps w:val="0"/>
          <w:color w:val="000000"/>
          <w:spacing w:val="0"/>
          <w:sz w:val="32"/>
          <w:szCs w:val="32"/>
          <w:highlight w:val="none"/>
          <w:shd w:val="clear" w:fill="FFFFFF"/>
          <w:lang w:eastAsia="zh-CN"/>
        </w:rPr>
        <w:t>）</w:t>
      </w:r>
      <w:r>
        <w:rPr>
          <w:rFonts w:hint="eastAsia" w:ascii="仿宋" w:hAnsi="仿宋" w:eastAsia="仿宋" w:cs="仿宋"/>
          <w:b/>
          <w:bCs/>
          <w:i w:val="0"/>
          <w:iCs w:val="0"/>
          <w:caps w:val="0"/>
          <w:color w:val="000000"/>
          <w:spacing w:val="0"/>
          <w:sz w:val="32"/>
          <w:szCs w:val="32"/>
          <w:highlight w:val="none"/>
          <w:shd w:val="clear" w:fill="FFFFFF"/>
        </w:rPr>
        <w:t>监督保障情况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640" w:firstLineChars="200"/>
        <w:rPr>
          <w:rFonts w:hint="eastAsia" w:ascii="方正仿宋_GB2312" w:hAnsi="方正仿宋_GB2312" w:eastAsia="方正仿宋_GB2312" w:cs="方正仿宋_GB2312"/>
          <w:b/>
          <w:bCs/>
          <w:i w:val="0"/>
          <w:iCs w:val="0"/>
          <w:caps w:val="0"/>
          <w:color w:val="000000"/>
          <w:spacing w:val="0"/>
          <w:sz w:val="32"/>
          <w:szCs w:val="32"/>
          <w:highlight w:val="none"/>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rPr>
        <w:t>202</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lang w:val="en-US" w:eastAsia="zh-CN"/>
        </w:rPr>
        <w:t>3</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rPr>
        <w:t>年，我局认真贯彻落实《中华人民共和国政府信息公开条例》，对政府信息公开工作进行专题研究部署，在政府信息公开工作中主动接受社会各界监督，严格依法依规开展工作，虚心听取有关意见建议并及时改进。全年没有收到相关投诉和举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highlight w:val="none"/>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highlight w:val="none"/>
          <w:shd w:val="clear" w:color="auto" w:fill="auto"/>
          <w:lang w:val="en-US" w:eastAsia="zh-CN" w:bidi="en-US"/>
        </w:rPr>
        <w:t>二、主动公开政府信息情况</w:t>
      </w:r>
    </w:p>
    <w:tbl>
      <w:tblPr>
        <w:tblStyle w:val="6"/>
        <w:tblW w:w="7788"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944"/>
        <w:gridCol w:w="1944"/>
        <w:gridCol w:w="1944"/>
        <w:gridCol w:w="19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7788" w:type="dxa"/>
            <w:gridSpan w:val="4"/>
            <w:tcBorders>
              <w:top w:val="single" w:color="auto" w:sz="4" w:space="0"/>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信息内容</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本年制发件数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本年废止件数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规章</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ascii="Calibri" w:hAnsi="Calibri" w:eastAsia="宋体" w:cs="Calibri"/>
                <w:color w:val="333333"/>
                <w:sz w:val="16"/>
                <w:szCs w:val="16"/>
                <w:highlight w:val="none"/>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行政规范性文件</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Calibri" w:hAnsi="Calibri" w:eastAsia="宋体" w:cs="Calibri"/>
                <w:color w:val="333333"/>
                <w:sz w:val="16"/>
                <w:szCs w:val="16"/>
                <w:highlight w:val="none"/>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信息内容</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行政许可</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微软雅黑" w:hAnsi="微软雅黑" w:eastAsia="微软雅黑" w:cs="微软雅黑"/>
                <w:color w:val="333333"/>
                <w:sz w:val="16"/>
                <w:szCs w:val="16"/>
                <w:highlight w:val="none"/>
                <w:u w:val="none"/>
                <w:lang w:val="en-US" w:eastAsia="zh-CN"/>
              </w:rPr>
            </w:pPr>
            <w:r>
              <w:rPr>
                <w:rFonts w:hint="eastAsia" w:ascii="Calibri" w:hAnsi="Calibri" w:cs="Calibri"/>
                <w:color w:val="333333"/>
                <w:sz w:val="16"/>
                <w:szCs w:val="16"/>
                <w:highlight w:val="none"/>
                <w:u w:val="none"/>
                <w:lang w:val="en-US" w:eastAsia="zh-CN"/>
              </w:rPr>
              <w:t>208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信息内容</w:t>
            </w:r>
          </w:p>
        </w:tc>
        <w:tc>
          <w:tcPr>
            <w:tcW w:w="5844" w:type="dxa"/>
            <w:gridSpan w:val="3"/>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行政处罚</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行政强制</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信息内容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行政事业性收费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16"/>
          <w:szCs w:val="16"/>
          <w:highlight w:val="none"/>
          <w:u w:val="none"/>
        </w:rPr>
      </w:pPr>
      <w:r>
        <w:rPr>
          <w:rFonts w:hint="default" w:ascii="Times New Roman" w:hAnsi="Times New Roman" w:eastAsia="微软雅黑" w:cs="Times New Roman"/>
          <w:i w:val="0"/>
          <w:iCs w:val="0"/>
          <w:caps w:val="0"/>
          <w:color w:val="333333"/>
          <w:spacing w:val="0"/>
          <w:sz w:val="16"/>
          <w:szCs w:val="16"/>
          <w:highlight w:val="none"/>
          <w:u w:val="none"/>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highlight w:val="none"/>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highlight w:val="none"/>
          <w:shd w:val="clear" w:color="auto" w:fill="auto"/>
          <w:lang w:val="en-US" w:eastAsia="zh-CN" w:bidi="en-US"/>
        </w:rPr>
        <w:t>三、收到和处理政府信息公开申请情况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333333"/>
          <w:spacing w:val="0"/>
          <w:sz w:val="18"/>
          <w:szCs w:val="18"/>
          <w:highlight w:val="none"/>
          <w:u w:val="none"/>
        </w:rPr>
      </w:pPr>
      <w:r>
        <w:rPr>
          <w:rFonts w:hint="eastAsia" w:ascii="宋体" w:hAnsi="宋体" w:eastAsia="宋体" w:cs="宋体"/>
          <w:i w:val="0"/>
          <w:iCs w:val="0"/>
          <w:caps w:val="0"/>
          <w:color w:val="333333"/>
          <w:spacing w:val="0"/>
          <w:sz w:val="19"/>
          <w:szCs w:val="19"/>
          <w:highlight w:val="none"/>
          <w:u w:val="none"/>
          <w:shd w:val="clear" w:fill="FFFFFF"/>
        </w:rPr>
        <w:t> </w:t>
      </w:r>
    </w:p>
    <w:tbl>
      <w:tblPr>
        <w:tblStyle w:val="6"/>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1"/>
        <w:gridCol w:w="755"/>
        <w:gridCol w:w="2574"/>
        <w:gridCol w:w="551"/>
        <w:gridCol w:w="551"/>
        <w:gridCol w:w="551"/>
        <w:gridCol w:w="551"/>
        <w:gridCol w:w="552"/>
        <w:gridCol w:w="552"/>
        <w:gridCol w:w="55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restart"/>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ascii="楷体" w:hAnsi="楷体" w:eastAsia="楷体" w:cs="楷体"/>
                <w:color w:val="333333"/>
                <w:sz w:val="15"/>
                <w:szCs w:val="15"/>
                <w:highlight w:val="none"/>
                <w:u w:val="none"/>
              </w:rPr>
              <w:t>（本列数据的勾稽关系为：第一项加第二项之和，等于第三项加第四项之和）</w:t>
            </w:r>
          </w:p>
        </w:tc>
        <w:tc>
          <w:tcPr>
            <w:tcW w:w="3852" w:type="dxa"/>
            <w:gridSpan w:val="7"/>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highlight w:val="none"/>
                <w:u w:val="none"/>
              </w:rPr>
            </w:pPr>
          </w:p>
        </w:tc>
        <w:tc>
          <w:tcPr>
            <w:tcW w:w="55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自然人</w:t>
            </w:r>
          </w:p>
        </w:tc>
        <w:tc>
          <w:tcPr>
            <w:tcW w:w="2748" w:type="dxa"/>
            <w:gridSpan w:val="5"/>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法人或其他组织</w:t>
            </w:r>
          </w:p>
        </w:tc>
        <w:tc>
          <w:tcPr>
            <w:tcW w:w="55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highlight w:val="none"/>
                <w:u w:val="none"/>
              </w:rPr>
            </w:pPr>
          </w:p>
        </w:tc>
        <w:tc>
          <w:tcPr>
            <w:tcW w:w="55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jc w:val="center"/>
              <w:rPr>
                <w:rFonts w:hint="eastAsia" w:ascii="微软雅黑" w:hAnsi="微软雅黑" w:eastAsia="微软雅黑" w:cs="微软雅黑"/>
                <w:color w:val="333333"/>
                <w:sz w:val="24"/>
                <w:szCs w:val="24"/>
                <w:highlight w:val="none"/>
                <w:u w:val="none"/>
              </w:rPr>
            </w:pP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商业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企业</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科研</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机构</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社会公益组织</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法律服务机构</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其他</w:t>
            </w:r>
          </w:p>
        </w:tc>
        <w:tc>
          <w:tcPr>
            <w:tcW w:w="55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jc w:val="center"/>
              <w:rPr>
                <w:rFonts w:hint="eastAsia" w:ascii="微软雅黑" w:hAnsi="微软雅黑" w:eastAsia="微软雅黑" w:cs="微软雅黑"/>
                <w:color w:val="333333"/>
                <w:sz w:val="24"/>
                <w:szCs w:val="24"/>
                <w:highlight w:val="none"/>
                <w:u w:val="no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一、本年新收政府信息公开申请数量</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lang w:eastAsia="zh-CN"/>
              </w:rPr>
            </w:pPr>
            <w:r>
              <w:rPr>
                <w:rFonts w:hint="eastAsia" w:ascii="Times New Roman" w:hAnsi="Times New Roman" w:cs="Times New Roman"/>
                <w:color w:val="333333"/>
                <w:sz w:val="16"/>
                <w:szCs w:val="16"/>
                <w:highlight w:val="none"/>
                <w:u w:val="none"/>
                <w:lang w:val="en-US" w:eastAsia="zh-CN"/>
              </w:rPr>
              <w:t>1</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lang w:eastAsia="zh-CN"/>
              </w:rPr>
            </w:pPr>
            <w:r>
              <w:rPr>
                <w:rFonts w:hint="eastAsia" w:ascii="Times New Roman" w:hAnsi="Times New Roman" w:cs="Times New Roman"/>
                <w:color w:val="333333"/>
                <w:sz w:val="16"/>
                <w:szCs w:val="16"/>
                <w:highlight w:val="none"/>
                <w:u w:val="none"/>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二、上年结转政府信息公开申请数量</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三、本年度办理结果</w:t>
            </w: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（一）予以公开</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lang w:eastAsia="zh-CN"/>
              </w:rPr>
            </w:pPr>
            <w:r>
              <w:rPr>
                <w:rFonts w:hint="eastAsia" w:ascii="Times New Roman" w:hAnsi="Times New Roman" w:cs="Times New Roman"/>
                <w:color w:val="333333"/>
                <w:sz w:val="16"/>
                <w:szCs w:val="16"/>
                <w:highlight w:val="none"/>
                <w:u w:val="none"/>
                <w:lang w:val="en-US" w:eastAsia="zh-CN"/>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lang w:eastAsia="zh-CN"/>
              </w:rPr>
            </w:pPr>
            <w:r>
              <w:rPr>
                <w:rFonts w:hint="eastAsia" w:ascii="Times New Roman" w:hAnsi="Times New Roman" w:cs="Times New Roman"/>
                <w:color w:val="333333"/>
                <w:sz w:val="16"/>
                <w:szCs w:val="16"/>
                <w:highlight w:val="none"/>
                <w:u w:val="none"/>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（二）部分公开</w:t>
            </w:r>
            <w:r>
              <w:rPr>
                <w:rFonts w:hint="eastAsia" w:ascii="楷体" w:hAnsi="楷体" w:eastAsia="楷体" w:cs="楷体"/>
                <w:color w:val="333333"/>
                <w:sz w:val="15"/>
                <w:szCs w:val="15"/>
                <w:highlight w:val="none"/>
                <w:u w:val="none"/>
              </w:rPr>
              <w:t>（区分处理的，只计这一情形，不计其他情形）</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（三）不予公开</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1.属于国家秘密</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2.其他法律行政法规禁止公开</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3.危及“三安全一稳定”</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lang w:eastAsia="zh-CN"/>
              </w:rPr>
            </w:pPr>
            <w:r>
              <w:rPr>
                <w:rFonts w:hint="eastAsia" w:ascii="Times New Roman" w:hAnsi="Times New Roman" w:cs="Times New Roman"/>
                <w:color w:val="333333"/>
                <w:sz w:val="16"/>
                <w:szCs w:val="16"/>
                <w:highlight w:val="none"/>
                <w:u w:val="none"/>
                <w:lang w:val="en-US" w:eastAsia="zh-CN"/>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lang w:eastAsia="zh-CN"/>
              </w:rPr>
            </w:pPr>
            <w:r>
              <w:rPr>
                <w:rFonts w:hint="eastAsia" w:ascii="Times New Roman" w:hAnsi="Times New Roman" w:cs="Times New Roman"/>
                <w:color w:val="333333"/>
                <w:sz w:val="16"/>
                <w:szCs w:val="16"/>
                <w:highlight w:val="none"/>
                <w:u w:val="none"/>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4.保护第三方合法权益</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5.属于三类内部事务信息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6.属于四类过程性信息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7.属于行政执法案卷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8.属于行政查询事项</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（四）无法提供</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1.本机关不掌握相关政府信息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lang w:eastAsia="zh-CN"/>
              </w:rPr>
            </w:pPr>
            <w:r>
              <w:rPr>
                <w:rFonts w:hint="eastAsia" w:ascii="Times New Roman" w:hAnsi="Times New Roman" w:cs="Times New Roman"/>
                <w:color w:val="333333"/>
                <w:sz w:val="16"/>
                <w:szCs w:val="16"/>
                <w:highlight w:val="none"/>
                <w:u w:val="none"/>
                <w:lang w:val="en-US" w:eastAsia="zh-CN"/>
              </w:rPr>
              <w:t>1</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lang w:eastAsia="zh-CN"/>
              </w:rPr>
            </w:pPr>
            <w:r>
              <w:rPr>
                <w:rFonts w:hint="eastAsia" w:ascii="Times New Roman" w:hAnsi="Times New Roman" w:cs="Times New Roman"/>
                <w:color w:val="333333"/>
                <w:sz w:val="16"/>
                <w:szCs w:val="16"/>
                <w:highlight w:val="none"/>
                <w:u w:val="none"/>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2.没有现成信息需要另行制作</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3.补正后申请内容仍不明确</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（五）不予处理</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1.信访举报投诉类申请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2.重复申请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3.要求提供公开出版物</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4.无正当理由大量反复申请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24" w:hRule="atLeast"/>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5.要求行政机关确认或重新出具已获取信息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（六）其他处理</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1.申请人无正当理由逾期不补正、行政机关不再处理其政府信息公开申请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2.申请人逾期未按收费通知要求缴纳费用、行政机关不再处理其政府信息公开申请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3.其他</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highlight w:val="none"/>
                <w:u w:val="none"/>
              </w:rPr>
            </w:pP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（七）总计</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lang w:eastAsia="zh-CN"/>
              </w:rPr>
            </w:pPr>
            <w:r>
              <w:rPr>
                <w:rFonts w:hint="eastAsia" w:ascii="Times New Roman" w:hAnsi="Times New Roman" w:cs="Times New Roman"/>
                <w:color w:val="333333"/>
                <w:sz w:val="16"/>
                <w:szCs w:val="16"/>
                <w:highlight w:val="none"/>
                <w:u w:val="none"/>
                <w:lang w:val="en-US" w:eastAsia="zh-CN"/>
              </w:rPr>
              <w:t>1</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lang w:eastAsia="zh-CN"/>
              </w:rPr>
            </w:pPr>
            <w:r>
              <w:rPr>
                <w:rFonts w:hint="eastAsia" w:ascii="Times New Roman" w:hAnsi="Times New Roman" w:cs="Times New Roman"/>
                <w:color w:val="333333"/>
                <w:sz w:val="16"/>
                <w:szCs w:val="16"/>
                <w:highlight w:val="none"/>
                <w:u w:val="none"/>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四、结转下年度继续办理</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default" w:ascii="Times New Roman" w:hAnsi="Times New Roman" w:eastAsia="宋体" w:cs="Times New Roman"/>
                <w:color w:val="333333"/>
                <w:sz w:val="16"/>
                <w:szCs w:val="16"/>
                <w:highlight w:val="none"/>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9"/>
                <w:szCs w:val="19"/>
                <w:highlight w:val="none"/>
                <w:u w:val="none"/>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18"/>
          <w:szCs w:val="18"/>
          <w:highlight w:val="none"/>
          <w:u w:val="none"/>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微软雅黑" w:hAnsi="微软雅黑" w:eastAsia="微软雅黑" w:cs="微软雅黑"/>
          <w:i w:val="0"/>
          <w:iCs w:val="0"/>
          <w:caps w:val="0"/>
          <w:color w:val="333333"/>
          <w:spacing w:val="0"/>
          <w:sz w:val="18"/>
          <w:szCs w:val="18"/>
          <w:highlight w:val="none"/>
          <w:u w:val="none"/>
        </w:rPr>
      </w:pPr>
      <w:r>
        <w:rPr>
          <w:rFonts w:hint="eastAsia" w:ascii="仿宋_GB2312" w:hAnsi="仿宋_GB2312" w:eastAsia="仿宋_GB2312" w:cs="仿宋_GB2312"/>
          <w:b/>
          <w:bCs/>
          <w:color w:val="000000"/>
          <w:spacing w:val="0"/>
          <w:w w:val="100"/>
          <w:kern w:val="0"/>
          <w:position w:val="0"/>
          <w:sz w:val="32"/>
          <w:szCs w:val="32"/>
          <w:highlight w:val="none"/>
          <w:shd w:val="clear" w:color="auto" w:fill="auto"/>
          <w:lang w:val="en-US" w:eastAsia="zh-CN" w:bidi="en-US"/>
        </w:rPr>
        <w:t>四、政府信息公开行政复议、行政诉讼情况</w:t>
      </w:r>
    </w:p>
    <w:tbl>
      <w:tblPr>
        <w:tblStyle w:val="6"/>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16"/>
        <w:gridCol w:w="516"/>
        <w:gridCol w:w="516"/>
        <w:gridCol w:w="516"/>
        <w:gridCol w:w="528"/>
        <w:gridCol w:w="516"/>
        <w:gridCol w:w="516"/>
        <w:gridCol w:w="516"/>
        <w:gridCol w:w="516"/>
        <w:gridCol w:w="540"/>
        <w:gridCol w:w="516"/>
        <w:gridCol w:w="516"/>
        <w:gridCol w:w="516"/>
        <w:gridCol w:w="516"/>
        <w:gridCol w:w="5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2592" w:type="dxa"/>
            <w:gridSpan w:val="5"/>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行政复议</w:t>
            </w:r>
          </w:p>
        </w:tc>
        <w:tc>
          <w:tcPr>
            <w:tcW w:w="5208" w:type="dxa"/>
            <w:gridSpan w:val="10"/>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16" w:type="dxa"/>
            <w:vMerge w:val="restar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结果维持</w:t>
            </w:r>
          </w:p>
        </w:tc>
        <w:tc>
          <w:tcPr>
            <w:tcW w:w="516" w:type="dxa"/>
            <w:vMerge w:val="restart"/>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结果</w:t>
            </w:r>
            <w:r>
              <w:rPr>
                <w:rFonts w:hint="eastAsia" w:ascii="微软雅黑" w:hAnsi="微软雅黑" w:eastAsia="微软雅黑" w:cs="微软雅黑"/>
                <w:color w:val="333333"/>
                <w:sz w:val="15"/>
                <w:szCs w:val="15"/>
                <w:highlight w:val="none"/>
                <w:u w:val="none"/>
              </w:rPr>
              <w:br w:type="textWrapping"/>
            </w:r>
            <w:r>
              <w:rPr>
                <w:rFonts w:hint="eastAsia" w:ascii="宋体" w:hAnsi="宋体" w:eastAsia="宋体" w:cs="宋体"/>
                <w:color w:val="333333"/>
                <w:sz w:val="15"/>
                <w:szCs w:val="15"/>
                <w:highlight w:val="none"/>
                <w:u w:val="none"/>
              </w:rPr>
              <w:t>纠正</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其他</w:t>
            </w:r>
            <w:r>
              <w:rPr>
                <w:rFonts w:hint="eastAsia" w:ascii="微软雅黑" w:hAnsi="微软雅黑" w:eastAsia="微软雅黑" w:cs="微软雅黑"/>
                <w:color w:val="333333"/>
                <w:sz w:val="15"/>
                <w:szCs w:val="15"/>
                <w:highlight w:val="none"/>
                <w:u w:val="none"/>
              </w:rPr>
              <w:br w:type="textWrapping"/>
            </w:r>
            <w:r>
              <w:rPr>
                <w:rFonts w:hint="eastAsia" w:ascii="宋体" w:hAnsi="宋体" w:eastAsia="宋体" w:cs="宋体"/>
                <w:color w:val="333333"/>
                <w:sz w:val="15"/>
                <w:szCs w:val="15"/>
                <w:highlight w:val="none"/>
                <w:u w:val="none"/>
              </w:rPr>
              <w:t>结果</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尚未</w:t>
            </w:r>
            <w:r>
              <w:rPr>
                <w:rFonts w:hint="eastAsia" w:ascii="微软雅黑" w:hAnsi="微软雅黑" w:eastAsia="微软雅黑" w:cs="微软雅黑"/>
                <w:color w:val="333333"/>
                <w:sz w:val="15"/>
                <w:szCs w:val="15"/>
                <w:highlight w:val="none"/>
                <w:u w:val="none"/>
              </w:rPr>
              <w:br w:type="textWrapping"/>
            </w:r>
            <w:r>
              <w:rPr>
                <w:rFonts w:hint="eastAsia" w:ascii="宋体" w:hAnsi="宋体" w:eastAsia="宋体" w:cs="宋体"/>
                <w:color w:val="333333"/>
                <w:sz w:val="15"/>
                <w:szCs w:val="15"/>
                <w:highlight w:val="none"/>
                <w:u w:val="none"/>
              </w:rPr>
              <w:t>审结</w:t>
            </w:r>
          </w:p>
        </w:tc>
        <w:tc>
          <w:tcPr>
            <w:tcW w:w="528"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总计</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未经复议直接起诉</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16" w:type="dxa"/>
            <w:vMerge w:val="continue"/>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highlight w:val="none"/>
                <w:u w:val="none"/>
              </w:rPr>
            </w:pPr>
          </w:p>
        </w:tc>
        <w:tc>
          <w:tcPr>
            <w:tcW w:w="516" w:type="dxa"/>
            <w:vMerge w:val="continue"/>
            <w:tcBorders>
              <w:top w:val="nil"/>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highlight w:val="none"/>
                <w:u w:val="none"/>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highlight w:val="none"/>
                <w:u w:val="none"/>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highlight w:val="none"/>
                <w:u w:val="none"/>
              </w:rPr>
            </w:pPr>
          </w:p>
        </w:tc>
        <w:tc>
          <w:tcPr>
            <w:tcW w:w="528"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highlight w:val="none"/>
                <w:u w:val="none"/>
              </w:rPr>
            </w:pP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结果</w:t>
            </w:r>
            <w:r>
              <w:rPr>
                <w:rFonts w:hint="eastAsia" w:ascii="微软雅黑" w:hAnsi="微软雅黑" w:eastAsia="微软雅黑" w:cs="微软雅黑"/>
                <w:color w:val="333333"/>
                <w:sz w:val="15"/>
                <w:szCs w:val="15"/>
                <w:highlight w:val="none"/>
                <w:u w:val="none"/>
              </w:rPr>
              <w:br w:type="textWrapping"/>
            </w:r>
            <w:r>
              <w:rPr>
                <w:rFonts w:hint="eastAsia" w:ascii="宋体" w:hAnsi="宋体" w:eastAsia="宋体" w:cs="宋体"/>
                <w:color w:val="333333"/>
                <w:sz w:val="15"/>
                <w:szCs w:val="15"/>
                <w:highlight w:val="none"/>
                <w:u w:val="none"/>
              </w:rPr>
              <w:t>维持</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结果</w:t>
            </w:r>
            <w:r>
              <w:rPr>
                <w:rFonts w:hint="eastAsia" w:ascii="微软雅黑" w:hAnsi="微软雅黑" w:eastAsia="微软雅黑" w:cs="微软雅黑"/>
                <w:color w:val="333333"/>
                <w:sz w:val="15"/>
                <w:szCs w:val="15"/>
                <w:highlight w:val="none"/>
                <w:u w:val="none"/>
              </w:rPr>
              <w:br w:type="textWrapping"/>
            </w:r>
            <w:r>
              <w:rPr>
                <w:rFonts w:hint="eastAsia" w:ascii="宋体" w:hAnsi="宋体" w:eastAsia="宋体" w:cs="宋体"/>
                <w:color w:val="333333"/>
                <w:sz w:val="15"/>
                <w:szCs w:val="15"/>
                <w:highlight w:val="none"/>
                <w:u w:val="none"/>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其他</w:t>
            </w:r>
            <w:r>
              <w:rPr>
                <w:rFonts w:hint="eastAsia" w:ascii="微软雅黑" w:hAnsi="微软雅黑" w:eastAsia="微软雅黑" w:cs="微软雅黑"/>
                <w:color w:val="333333"/>
                <w:sz w:val="15"/>
                <w:szCs w:val="15"/>
                <w:highlight w:val="none"/>
                <w:u w:val="none"/>
              </w:rPr>
              <w:br w:type="textWrapping"/>
            </w:r>
            <w:r>
              <w:rPr>
                <w:rFonts w:hint="eastAsia" w:ascii="宋体" w:hAnsi="宋体" w:eastAsia="宋体" w:cs="宋体"/>
                <w:color w:val="333333"/>
                <w:sz w:val="15"/>
                <w:szCs w:val="15"/>
                <w:highlight w:val="none"/>
                <w:u w:val="none"/>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尚未</w:t>
            </w:r>
            <w:r>
              <w:rPr>
                <w:rFonts w:hint="eastAsia" w:ascii="微软雅黑" w:hAnsi="微软雅黑" w:eastAsia="微软雅黑" w:cs="微软雅黑"/>
                <w:color w:val="333333"/>
                <w:sz w:val="15"/>
                <w:szCs w:val="15"/>
                <w:highlight w:val="none"/>
                <w:u w:val="none"/>
              </w:rPr>
              <w:br w:type="textWrapping"/>
            </w:r>
            <w:r>
              <w:rPr>
                <w:rFonts w:hint="eastAsia" w:ascii="宋体" w:hAnsi="宋体" w:eastAsia="宋体" w:cs="宋体"/>
                <w:color w:val="333333"/>
                <w:sz w:val="15"/>
                <w:szCs w:val="15"/>
                <w:highlight w:val="none"/>
                <w:u w:val="none"/>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总计</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结果</w:t>
            </w:r>
            <w:r>
              <w:rPr>
                <w:rFonts w:hint="eastAsia" w:ascii="微软雅黑" w:hAnsi="微软雅黑" w:eastAsia="微软雅黑" w:cs="微软雅黑"/>
                <w:color w:val="333333"/>
                <w:sz w:val="15"/>
                <w:szCs w:val="15"/>
                <w:highlight w:val="none"/>
                <w:u w:val="none"/>
              </w:rPr>
              <w:br w:type="textWrapping"/>
            </w:r>
            <w:r>
              <w:rPr>
                <w:rFonts w:hint="eastAsia" w:ascii="宋体" w:hAnsi="宋体" w:eastAsia="宋体" w:cs="宋体"/>
                <w:color w:val="333333"/>
                <w:sz w:val="15"/>
                <w:szCs w:val="15"/>
                <w:highlight w:val="none"/>
                <w:u w:val="none"/>
              </w:rPr>
              <w:t>维持</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结果</w:t>
            </w:r>
            <w:r>
              <w:rPr>
                <w:rFonts w:hint="eastAsia" w:ascii="微软雅黑" w:hAnsi="微软雅黑" w:eastAsia="微软雅黑" w:cs="微软雅黑"/>
                <w:color w:val="333333"/>
                <w:sz w:val="15"/>
                <w:szCs w:val="15"/>
                <w:highlight w:val="none"/>
                <w:u w:val="none"/>
              </w:rPr>
              <w:br w:type="textWrapping"/>
            </w:r>
            <w:r>
              <w:rPr>
                <w:rFonts w:hint="eastAsia" w:ascii="宋体" w:hAnsi="宋体" w:eastAsia="宋体" w:cs="宋体"/>
                <w:color w:val="333333"/>
                <w:sz w:val="15"/>
                <w:szCs w:val="15"/>
                <w:highlight w:val="none"/>
                <w:u w:val="none"/>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其他</w:t>
            </w:r>
            <w:r>
              <w:rPr>
                <w:rFonts w:hint="eastAsia" w:ascii="微软雅黑" w:hAnsi="微软雅黑" w:eastAsia="微软雅黑" w:cs="微软雅黑"/>
                <w:color w:val="333333"/>
                <w:sz w:val="15"/>
                <w:szCs w:val="15"/>
                <w:highlight w:val="none"/>
                <w:u w:val="none"/>
              </w:rPr>
              <w:br w:type="textWrapping"/>
            </w:r>
            <w:r>
              <w:rPr>
                <w:rFonts w:hint="eastAsia" w:ascii="宋体" w:hAnsi="宋体" w:eastAsia="宋体" w:cs="宋体"/>
                <w:color w:val="333333"/>
                <w:sz w:val="15"/>
                <w:szCs w:val="15"/>
                <w:highlight w:val="none"/>
                <w:u w:val="none"/>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尚未</w:t>
            </w:r>
            <w:r>
              <w:rPr>
                <w:rFonts w:hint="eastAsia" w:ascii="微软雅黑" w:hAnsi="微软雅黑" w:eastAsia="微软雅黑" w:cs="微软雅黑"/>
                <w:color w:val="333333"/>
                <w:sz w:val="15"/>
                <w:szCs w:val="15"/>
                <w:highlight w:val="none"/>
                <w:u w:val="none"/>
              </w:rPr>
              <w:br w:type="textWrapping"/>
            </w:r>
            <w:r>
              <w:rPr>
                <w:rFonts w:hint="eastAsia" w:ascii="宋体" w:hAnsi="宋体" w:eastAsia="宋体" w:cs="宋体"/>
                <w:color w:val="333333"/>
                <w:sz w:val="15"/>
                <w:szCs w:val="15"/>
                <w:highlight w:val="none"/>
                <w:u w:val="none"/>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eastAsia="宋体" w:cs="宋体"/>
                <w:color w:val="333333"/>
                <w:sz w:val="15"/>
                <w:szCs w:val="15"/>
                <w:highlight w:val="none"/>
                <w:u w:val="none"/>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40" w:hRule="atLeast"/>
          <w:tblCellSpacing w:w="0" w:type="dxa"/>
          <w:jc w:val="center"/>
        </w:trPr>
        <w:tc>
          <w:tcPr>
            <w:tcW w:w="516" w:type="dxa"/>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cs="宋体"/>
                <w:color w:val="333333"/>
                <w:sz w:val="15"/>
                <w:szCs w:val="15"/>
                <w:highlight w:val="none"/>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cs="宋体"/>
                <w:color w:val="333333"/>
                <w:sz w:val="15"/>
                <w:szCs w:val="15"/>
                <w:highlight w:val="none"/>
                <w:u w:val="none"/>
                <w:lang w:val="en-US" w:eastAsia="zh-CN"/>
              </w:rPr>
              <w:t>1</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cs="宋体"/>
                <w:color w:val="333333"/>
                <w:sz w:val="15"/>
                <w:szCs w:val="15"/>
                <w:highlight w:val="none"/>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cs="宋体"/>
                <w:color w:val="333333"/>
                <w:sz w:val="15"/>
                <w:szCs w:val="15"/>
                <w:highlight w:val="none"/>
                <w:u w:val="none"/>
                <w:lang w:val="en-US" w:eastAsia="zh-CN"/>
              </w:rPr>
              <w:t>0</w:t>
            </w:r>
          </w:p>
        </w:tc>
        <w:tc>
          <w:tcPr>
            <w:tcW w:w="528"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cs="宋体"/>
                <w:color w:val="333333"/>
                <w:sz w:val="15"/>
                <w:szCs w:val="15"/>
                <w:highlight w:val="none"/>
                <w:u w:val="none"/>
                <w:lang w:val="en-US" w:eastAsia="zh-CN"/>
              </w:rPr>
              <w:t>1</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cs="宋体"/>
                <w:color w:val="333333"/>
                <w:sz w:val="15"/>
                <w:szCs w:val="15"/>
                <w:highlight w:val="none"/>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cs="宋体"/>
                <w:color w:val="333333"/>
                <w:sz w:val="15"/>
                <w:szCs w:val="15"/>
                <w:highlight w:val="none"/>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cs="宋体"/>
                <w:color w:val="333333"/>
                <w:sz w:val="15"/>
                <w:szCs w:val="15"/>
                <w:highlight w:val="none"/>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cs="宋体"/>
                <w:color w:val="333333"/>
                <w:sz w:val="15"/>
                <w:szCs w:val="15"/>
                <w:highlight w:val="none"/>
                <w:u w:val="none"/>
                <w:lang w:val="en-US" w:eastAsia="zh-CN"/>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lang w:val="en-US" w:eastAsia="zh-CN"/>
              </w:rPr>
            </w:pPr>
            <w:r>
              <w:rPr>
                <w:rFonts w:hint="eastAsia" w:ascii="宋体" w:hAnsi="宋体" w:cs="宋体"/>
                <w:color w:val="333333"/>
                <w:sz w:val="15"/>
                <w:szCs w:val="15"/>
                <w:highlight w:val="none"/>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cs="宋体"/>
                <w:color w:val="333333"/>
                <w:sz w:val="15"/>
                <w:szCs w:val="15"/>
                <w:highlight w:val="none"/>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cs="宋体"/>
                <w:color w:val="333333"/>
                <w:sz w:val="15"/>
                <w:szCs w:val="15"/>
                <w:highlight w:val="none"/>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cs="宋体"/>
                <w:color w:val="333333"/>
                <w:sz w:val="15"/>
                <w:szCs w:val="15"/>
                <w:highlight w:val="none"/>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highlight w:val="none"/>
                <w:u w:val="none"/>
              </w:rPr>
            </w:pPr>
            <w:r>
              <w:rPr>
                <w:rFonts w:hint="eastAsia" w:ascii="宋体" w:hAnsi="宋体" w:cs="宋体"/>
                <w:color w:val="333333"/>
                <w:sz w:val="15"/>
                <w:szCs w:val="15"/>
                <w:highlight w:val="none"/>
                <w:u w:val="none"/>
                <w:lang w:val="en-US" w:eastAsia="zh-CN"/>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highlight w:val="none"/>
                <w:u w:val="none"/>
              </w:rPr>
            </w:pPr>
            <w:r>
              <w:rPr>
                <w:rFonts w:hint="eastAsia" w:ascii="宋体" w:hAnsi="宋体" w:cs="宋体"/>
                <w:color w:val="333333"/>
                <w:sz w:val="15"/>
                <w:szCs w:val="15"/>
                <w:highlight w:val="none"/>
                <w:u w:val="none"/>
                <w:lang w:val="en-US" w:eastAsia="zh-CN"/>
              </w:rPr>
              <w:t>0</w:t>
            </w:r>
          </w:p>
        </w:tc>
      </w:tr>
    </w:tbl>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rightChars="0" w:firstLine="643" w:firstLineChars="200"/>
        <w:jc w:val="both"/>
        <w:textAlignment w:val="baseline"/>
        <w:rPr>
          <w:rFonts w:hint="eastAsia" w:ascii="仿宋" w:hAnsi="仿宋" w:eastAsia="仿宋" w:cs="仿宋"/>
          <w:b/>
          <w:bCs/>
          <w:i w:val="0"/>
          <w:iCs w:val="0"/>
          <w:caps w:val="0"/>
          <w:color w:val="000000"/>
          <w:spacing w:val="0"/>
          <w:kern w:val="0"/>
          <w:sz w:val="32"/>
          <w:szCs w:val="32"/>
          <w:highlight w:val="none"/>
          <w:shd w:val="clear" w:fill="FFFFFF"/>
          <w:vertAlign w:val="baseline"/>
          <w:lang w:val="en-US" w:eastAsia="zh-CN" w:bidi="ar"/>
        </w:rPr>
      </w:pPr>
      <w:r>
        <w:rPr>
          <w:rFonts w:hint="eastAsia" w:ascii="仿宋" w:hAnsi="仿宋" w:eastAsia="仿宋" w:cs="仿宋"/>
          <w:b/>
          <w:bCs/>
          <w:i w:val="0"/>
          <w:iCs w:val="0"/>
          <w:caps w:val="0"/>
          <w:color w:val="000000"/>
          <w:spacing w:val="0"/>
          <w:kern w:val="0"/>
          <w:sz w:val="32"/>
          <w:szCs w:val="32"/>
          <w:highlight w:val="none"/>
          <w:shd w:val="clear" w:fill="FFFFFF"/>
          <w:vertAlign w:val="baseline"/>
          <w:lang w:val="en-US" w:eastAsia="zh-CN" w:bidi="ar"/>
        </w:rPr>
        <w:t>五、存在的主要问题及改进情况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640" w:firstLineChars="200"/>
        <w:jc w:val="both"/>
        <w:rPr>
          <w:rFonts w:hint="eastAsia" w:ascii="仿宋_GB2312" w:hAnsi="仿宋_GB2312" w:eastAsia="仿宋_GB2312" w:cs="仿宋_GB2312"/>
          <w:i w:val="0"/>
          <w:iCs w:val="0"/>
          <w:caps w:val="0"/>
          <w:color w:val="000000" w:themeColor="text1"/>
          <w:spacing w:val="0"/>
          <w:kern w:val="2"/>
          <w:sz w:val="32"/>
          <w:szCs w:val="32"/>
          <w:highlight w:val="none"/>
          <w:shd w:val="clear" w:fill="FFFFFF"/>
          <w:lang w:val="en-US" w:eastAsia="zh-CN" w:bidi="ar-SA"/>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2"/>
          <w:sz w:val="32"/>
          <w:szCs w:val="32"/>
          <w:highlight w:val="none"/>
          <w:shd w:val="clear" w:fill="FFFFFF"/>
          <w:lang w:val="en-US" w:eastAsia="zh-CN" w:bidi="ar-SA"/>
          <w14:textFill>
            <w14:solidFill>
              <w14:schemeClr w14:val="tx1"/>
            </w14:solidFill>
          </w14:textFill>
        </w:rPr>
        <w:t>2023年，我局政务信息公开工作推进扎实有序，但仍然存在一些短板和不足，主要表现为：一是各股室站队、国有管护中心之间信息共享不够顺畅，信息共享率低；二是林草重点领域公开不够完善，政策发布还不够多；三是在人、财、物等热点事务的公开不够及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640" w:firstLineChars="200"/>
        <w:jc w:val="both"/>
        <w:rPr>
          <w:rFonts w:hint="eastAsia"/>
          <w:highlight w:val="none"/>
          <w:lang w:val="en-US" w:eastAsia="zh-CN"/>
        </w:rPr>
      </w:pPr>
      <w:r>
        <w:rPr>
          <w:rFonts w:hint="eastAsia" w:ascii="仿宋_GB2312" w:hAnsi="仿宋_GB2312" w:eastAsia="仿宋_GB2312" w:cs="仿宋_GB2312"/>
          <w:i w:val="0"/>
          <w:iCs w:val="0"/>
          <w:caps w:val="0"/>
          <w:color w:val="000000" w:themeColor="text1"/>
          <w:spacing w:val="0"/>
          <w:kern w:val="2"/>
          <w:sz w:val="32"/>
          <w:szCs w:val="32"/>
          <w:highlight w:val="none"/>
          <w:shd w:val="clear" w:fill="FFFFFF"/>
          <w:lang w:val="en-US" w:eastAsia="zh-CN" w:bidi="ar-SA"/>
          <w14:textFill>
            <w14:solidFill>
              <w14:schemeClr w14:val="tx1"/>
            </w14:solidFill>
          </w14:textFill>
        </w:rPr>
        <w:t>在下一步工作过程中，我局将进一步加强政务公开相关工作，继续完善我局政务公开相关制度和要求，，提高工作效率</w:t>
      </w:r>
      <w:r>
        <w:rPr>
          <w:rFonts w:hint="eastAsia" w:ascii="微软雅黑" w:hAnsi="微软雅黑" w:eastAsia="微软雅黑" w:cs="微软雅黑"/>
          <w:i w:val="0"/>
          <w:iCs w:val="0"/>
          <w:caps w:val="0"/>
          <w:color w:val="000000"/>
          <w:spacing w:val="0"/>
          <w:sz w:val="22"/>
          <w:szCs w:val="22"/>
          <w:highlight w:val="none"/>
          <w:shd w:val="clear" w:color="auto" w:fill="FFFFFF"/>
          <w:lang w:eastAsia="zh-CN"/>
        </w:rPr>
        <w:t>，</w:t>
      </w:r>
      <w:r>
        <w:rPr>
          <w:rFonts w:hint="eastAsia" w:ascii="仿宋_GB2312" w:hAnsi="仿宋_GB2312" w:eastAsia="仿宋_GB2312" w:cs="仿宋_GB2312"/>
          <w:i w:val="0"/>
          <w:iCs w:val="0"/>
          <w:caps w:val="0"/>
          <w:color w:val="000000" w:themeColor="text1"/>
          <w:spacing w:val="0"/>
          <w:kern w:val="2"/>
          <w:sz w:val="32"/>
          <w:szCs w:val="32"/>
          <w:highlight w:val="none"/>
          <w:shd w:val="clear" w:fill="FFFFFF"/>
          <w:lang w:val="en-US" w:eastAsia="zh-CN" w:bidi="ar-SA"/>
          <w14:textFill>
            <w14:solidFill>
              <w14:schemeClr w14:val="tx1"/>
            </w14:solidFill>
          </w14:textFill>
        </w:rPr>
        <w:t>一是加强与各股室站队、国有管护中心信息共享机，提高信息共享的效率，二是突出林草工作重点领域、加强政策发布解读，三是加强热点公开，在贴近群众上下功夫，使群众获取和使用信息，接受群众监督。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 w:hAnsi="仿宋" w:eastAsia="仿宋" w:cs="仿宋"/>
          <w:b/>
          <w:bCs/>
          <w:i w:val="0"/>
          <w:iCs w:val="0"/>
          <w:caps w:val="0"/>
          <w:color w:val="000000"/>
          <w:spacing w:val="0"/>
          <w:kern w:val="0"/>
          <w:sz w:val="32"/>
          <w:szCs w:val="32"/>
          <w:highlight w:val="none"/>
          <w:shd w:val="clear" w:fill="FFFFFF"/>
          <w:lang w:val="en-US" w:eastAsia="zh-CN" w:bidi="ar"/>
        </w:rPr>
      </w:pPr>
      <w:bookmarkStart w:id="0" w:name="_GoBack"/>
      <w:bookmarkEnd w:id="0"/>
      <w:r>
        <w:rPr>
          <w:rFonts w:hint="eastAsia" w:ascii="仿宋" w:hAnsi="仿宋" w:eastAsia="仿宋" w:cs="仿宋"/>
          <w:b/>
          <w:bCs/>
          <w:i w:val="0"/>
          <w:iCs w:val="0"/>
          <w:caps w:val="0"/>
          <w:color w:val="000000"/>
          <w:spacing w:val="0"/>
          <w:kern w:val="0"/>
          <w:sz w:val="32"/>
          <w:szCs w:val="32"/>
          <w:highlight w:val="none"/>
          <w:shd w:val="clear" w:fill="FFFFFF"/>
          <w:lang w:val="en-US" w:eastAsia="zh-CN" w:bidi="ar"/>
        </w:rPr>
        <w:t>六、其他需要报告的事项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根据</w:t>
      </w:r>
      <w:r>
        <w:rPr>
          <w:rFonts w:hint="eastAsia" w:ascii="仿宋_GB2312" w:hAnsi="仿宋_GB2312" w:eastAsia="仿宋_GB2312" w:cs="仿宋_GB2312"/>
          <w:i w:val="0"/>
          <w:iCs w:val="0"/>
          <w:caps w:val="0"/>
          <w:color w:val="000000" w:themeColor="text1"/>
          <w:spacing w:val="0"/>
          <w:sz w:val="32"/>
          <w:szCs w:val="32"/>
          <w:highlight w:val="none"/>
          <w:shd w:val="clear" w:fill="FFFFFF"/>
          <w14:textFill>
            <w14:solidFill>
              <w14:schemeClr w14:val="tx1"/>
            </w14:solidFill>
          </w14:textFill>
        </w:rPr>
        <w:t>《政府信息公开信息处理费管理办法》</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规定，本年度未收取任何信息处理费。无其他报告事项。</w:t>
      </w:r>
    </w:p>
    <w:p>
      <w:pPr>
        <w:pStyle w:val="4"/>
        <w:rPr>
          <w:highlight w:val="none"/>
        </w:rPr>
      </w:pPr>
    </w:p>
    <w:p>
      <w:pPr>
        <w:rPr>
          <w:highlight w:val="none"/>
        </w:rPr>
      </w:pPr>
    </w:p>
    <w:p>
      <w:pPr>
        <w:pStyle w:val="4"/>
        <w:rPr>
          <w:highlight w:val="none"/>
        </w:rPr>
      </w:pPr>
    </w:p>
    <w:p>
      <w:pPr>
        <w:ind w:firstLine="4480" w:firstLineChars="1400"/>
        <w:rPr>
          <w:rFonts w:hint="default" w:ascii="仿宋" w:hAnsi="仿宋" w:eastAsia="仿宋" w:cs="仿宋"/>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 w:hAnsi="仿宋" w:eastAsia="仿宋" w:cs="仿宋"/>
          <w:i w:val="0"/>
          <w:iCs w:val="0"/>
          <w:caps w:val="0"/>
          <w:color w:val="000000" w:themeColor="text1"/>
          <w:spacing w:val="0"/>
          <w:sz w:val="32"/>
          <w:szCs w:val="32"/>
          <w:highlight w:val="none"/>
          <w:shd w:val="clear" w:fill="FFFFFF"/>
          <w14:textFill>
            <w14:solidFill>
              <w14:schemeClr w14:val="tx1"/>
            </w14:solidFill>
          </w14:textFill>
        </w:rPr>
        <w:t>乌拉特前旗</w:t>
      </w:r>
      <w:r>
        <w:rPr>
          <w:rFonts w:hint="eastAsia" w:ascii="仿宋" w:hAnsi="仿宋" w:eastAsia="仿宋" w:cs="仿宋"/>
          <w:i w:val="0"/>
          <w:iCs w:val="0"/>
          <w:caps w:val="0"/>
          <w:color w:val="000000" w:themeColor="text1"/>
          <w:spacing w:val="0"/>
          <w:sz w:val="32"/>
          <w:szCs w:val="32"/>
          <w:highlight w:val="none"/>
          <w:shd w:val="clear" w:fill="FFFFFF"/>
          <w:lang w:val="en-US" w:eastAsia="zh-CN"/>
          <w14:textFill>
            <w14:solidFill>
              <w14:schemeClr w14:val="tx1"/>
            </w14:solidFill>
          </w14:textFill>
        </w:rPr>
        <w:t>林业和草原局</w:t>
      </w:r>
    </w:p>
    <w:p>
      <w:pPr>
        <w:pStyle w:val="4"/>
        <w:ind w:firstLine="4480" w:firstLineChars="1400"/>
        <w:rPr>
          <w:rFonts w:hint="default" w:eastAsia="仿宋"/>
          <w:sz w:val="32"/>
          <w:szCs w:val="32"/>
          <w:highlight w:val="none"/>
          <w:lang w:val="en-US" w:eastAsia="zh-CN"/>
        </w:rPr>
      </w:pPr>
      <w:r>
        <w:rPr>
          <w:rFonts w:hint="eastAsia" w:ascii="仿宋" w:hAnsi="仿宋" w:eastAsia="仿宋" w:cs="仿宋"/>
          <w:i w:val="0"/>
          <w:iCs w:val="0"/>
          <w:caps w:val="0"/>
          <w:color w:val="000000" w:themeColor="text1"/>
          <w:spacing w:val="0"/>
          <w:sz w:val="32"/>
          <w:szCs w:val="32"/>
          <w:highlight w:val="none"/>
          <w:shd w:val="clear" w:fill="FFFFFF"/>
          <w:lang w:val="en-US" w:eastAsia="zh-CN"/>
          <w14:textFill>
            <w14:solidFill>
              <w14:schemeClr w14:val="tx1"/>
            </w14:solidFill>
          </w14:textFill>
        </w:rPr>
        <w:t>2024年1月9日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1F770A5-F1AC-4452-98B8-00D05D78F456}"/>
  </w:font>
  <w:font w:name="微软雅黑">
    <w:panose1 w:val="020B0503020204020204"/>
    <w:charset w:val="86"/>
    <w:family w:val="auto"/>
    <w:pitch w:val="default"/>
    <w:sig w:usb0="80000287" w:usb1="2ACF3C50" w:usb2="00000016" w:usb3="00000000" w:csb0="0004001F" w:csb1="00000000"/>
    <w:embedRegular r:id="rId2" w:fontKey="{0329A5A9-BEB9-42C6-ABBA-C96218783246}"/>
  </w:font>
  <w:font w:name="仿宋">
    <w:panose1 w:val="02010609060101010101"/>
    <w:charset w:val="86"/>
    <w:family w:val="auto"/>
    <w:pitch w:val="default"/>
    <w:sig w:usb0="800002BF" w:usb1="38CF7CFA" w:usb2="00000016" w:usb3="00000000" w:csb0="00040001" w:csb1="00000000"/>
    <w:embedRegular r:id="rId3" w:fontKey="{CFE621CF-9EBE-4610-9C7B-19E4C8F074CA}"/>
  </w:font>
  <w:font w:name="方正仿宋_GB2312">
    <w:panose1 w:val="02000000000000000000"/>
    <w:charset w:val="86"/>
    <w:family w:val="auto"/>
    <w:pitch w:val="default"/>
    <w:sig w:usb0="A00002BF" w:usb1="184F6CFA" w:usb2="00000012" w:usb3="00000000" w:csb0="00040001" w:csb1="00000000"/>
    <w:embedRegular r:id="rId4" w:fontKey="{29F7D092-136D-42BB-9950-151F2738B778}"/>
  </w:font>
  <w:font w:name="仿宋_GB2312">
    <w:panose1 w:val="02010609030101010101"/>
    <w:charset w:val="86"/>
    <w:family w:val="auto"/>
    <w:pitch w:val="default"/>
    <w:sig w:usb0="00000001" w:usb1="080E0000" w:usb2="00000000" w:usb3="00000000" w:csb0="00040000" w:csb1="00000000"/>
    <w:embedRegular r:id="rId5" w:fontKey="{D344ECF2-B208-4A7F-BB2F-6B9B55560A0A}"/>
  </w:font>
  <w:font w:name="楷体">
    <w:panose1 w:val="02010609060101010101"/>
    <w:charset w:val="86"/>
    <w:family w:val="auto"/>
    <w:pitch w:val="default"/>
    <w:sig w:usb0="800002BF" w:usb1="38CF7CFA" w:usb2="00000016" w:usb3="00000000" w:csb0="00040001" w:csb1="00000000"/>
    <w:embedRegular r:id="rId6" w:fontKey="{4EE442EF-FCF3-41A8-AAF0-AA15F0306160}"/>
  </w:font>
  <w:font w:name="华文行楷">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800002BF" w:usb1="184F6CF8" w:usb2="00000012" w:usb3="00000000" w:csb0="00160001" w:csb1="12030000"/>
    <w:embedRegular r:id="rId7" w:fontKey="{F76C63F8-7A47-4D53-8E7E-4BD0E1134EA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NzUzNWVmOTg1YjM4MmY3MzVlOTEzYzlmYTU5Y2MifQ=="/>
  </w:docVars>
  <w:rsids>
    <w:rsidRoot w:val="2AF17B93"/>
    <w:rsid w:val="005469B7"/>
    <w:rsid w:val="00973FB8"/>
    <w:rsid w:val="01A050EF"/>
    <w:rsid w:val="020E43BE"/>
    <w:rsid w:val="034675D0"/>
    <w:rsid w:val="040F3E66"/>
    <w:rsid w:val="04842AA6"/>
    <w:rsid w:val="05095936"/>
    <w:rsid w:val="06C4362D"/>
    <w:rsid w:val="0768045D"/>
    <w:rsid w:val="0869448C"/>
    <w:rsid w:val="093E76C7"/>
    <w:rsid w:val="0AB435D3"/>
    <w:rsid w:val="0E625C06"/>
    <w:rsid w:val="0F0C3DC3"/>
    <w:rsid w:val="113F222E"/>
    <w:rsid w:val="117143B2"/>
    <w:rsid w:val="11D706B9"/>
    <w:rsid w:val="14681A9C"/>
    <w:rsid w:val="15A9236C"/>
    <w:rsid w:val="16493207"/>
    <w:rsid w:val="17DD454F"/>
    <w:rsid w:val="19127B31"/>
    <w:rsid w:val="192D6E10"/>
    <w:rsid w:val="19597C05"/>
    <w:rsid w:val="197B401F"/>
    <w:rsid w:val="1A3903DE"/>
    <w:rsid w:val="1ACD08AB"/>
    <w:rsid w:val="1B3323DA"/>
    <w:rsid w:val="25493224"/>
    <w:rsid w:val="268A3AF4"/>
    <w:rsid w:val="27455C6D"/>
    <w:rsid w:val="2A24600D"/>
    <w:rsid w:val="2ABE5B1A"/>
    <w:rsid w:val="2AF17B93"/>
    <w:rsid w:val="2CCF04B2"/>
    <w:rsid w:val="2CED26E7"/>
    <w:rsid w:val="2F6F7D2B"/>
    <w:rsid w:val="2FAD0853"/>
    <w:rsid w:val="30A12166"/>
    <w:rsid w:val="31E83DC4"/>
    <w:rsid w:val="32791381"/>
    <w:rsid w:val="34164C19"/>
    <w:rsid w:val="357A4D33"/>
    <w:rsid w:val="370F3C38"/>
    <w:rsid w:val="39700927"/>
    <w:rsid w:val="3B07350D"/>
    <w:rsid w:val="3BA42AF4"/>
    <w:rsid w:val="3CB11983"/>
    <w:rsid w:val="3D69571D"/>
    <w:rsid w:val="3E4D56DB"/>
    <w:rsid w:val="3E990920"/>
    <w:rsid w:val="3F6F78D3"/>
    <w:rsid w:val="429D0758"/>
    <w:rsid w:val="47F72214"/>
    <w:rsid w:val="481105CB"/>
    <w:rsid w:val="491D3EFC"/>
    <w:rsid w:val="4ABF170F"/>
    <w:rsid w:val="4AD351BA"/>
    <w:rsid w:val="4AFD2237"/>
    <w:rsid w:val="4C3D6D8F"/>
    <w:rsid w:val="4D357A66"/>
    <w:rsid w:val="516923D4"/>
    <w:rsid w:val="52911BE2"/>
    <w:rsid w:val="55B1434A"/>
    <w:rsid w:val="55D17AFB"/>
    <w:rsid w:val="56F3629C"/>
    <w:rsid w:val="571132F2"/>
    <w:rsid w:val="599B6EA3"/>
    <w:rsid w:val="5A272E2C"/>
    <w:rsid w:val="5A89319F"/>
    <w:rsid w:val="5D3E2967"/>
    <w:rsid w:val="60EE1FAE"/>
    <w:rsid w:val="63B37E5A"/>
    <w:rsid w:val="63D062E3"/>
    <w:rsid w:val="65102E3B"/>
    <w:rsid w:val="65BF660F"/>
    <w:rsid w:val="661701F9"/>
    <w:rsid w:val="670C5884"/>
    <w:rsid w:val="67FA1B80"/>
    <w:rsid w:val="68F16ADF"/>
    <w:rsid w:val="6C027255"/>
    <w:rsid w:val="6EFA06B8"/>
    <w:rsid w:val="6FAF7B52"/>
    <w:rsid w:val="723839D1"/>
    <w:rsid w:val="730A4A04"/>
    <w:rsid w:val="756845CD"/>
    <w:rsid w:val="78570929"/>
    <w:rsid w:val="7A5275FA"/>
    <w:rsid w:val="7BE349AD"/>
    <w:rsid w:val="7C5C4760"/>
    <w:rsid w:val="7C9537CE"/>
    <w:rsid w:val="7F6C2F0C"/>
    <w:rsid w:val="7FBB79EF"/>
    <w:rsid w:val="7FD95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toc 1"/>
    <w:basedOn w:val="1"/>
    <w:next w:val="1"/>
    <w:autoRedefine/>
    <w:qFormat/>
    <w:uiPriority w:val="0"/>
  </w:style>
  <w:style w:type="paragraph" w:styleId="4">
    <w:name w:val="toc 2"/>
    <w:basedOn w:val="1"/>
    <w:next w:val="1"/>
    <w:autoRedefine/>
    <w:qFormat/>
    <w:uiPriority w:val="0"/>
    <w:pPr>
      <w:spacing w:line="306" w:lineRule="auto"/>
      <w:ind w:left="419"/>
    </w:p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2022-01-06T02:12:00Z</dcterms:created>
  <dc:creator>付洋</dc:creator>
  <cp:lastModifiedBy>演示人</cp:lastModifiedBy>
  <cp:lastPrinted>2024-01-10T02:16:00Z</cp:lastPrinted>
  <dcterms:modified xsi:type="dcterms:W3CDTF">2024-01-19T07:54:41Z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0E97DD76C4FE411597CD0CDD0C054068_13</vt:lpwstr>
  </property>
</Properties>
</file>