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48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48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48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52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乌前退役军人发〔2024〕4号</w:t>
      </w:r>
    </w:p>
    <w:p>
      <w:pPr>
        <w:spacing w:line="520" w:lineRule="exact"/>
        <w:rPr>
          <w:rFonts w:ascii="仿宋" w:hAnsi="仿宋" w:eastAsia="仿宋" w:cs="仿宋"/>
          <w:sz w:val="32"/>
          <w:szCs w:val="32"/>
        </w:rPr>
      </w:pPr>
    </w:p>
    <w:p>
      <w:pPr>
        <w:pStyle w:val="2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乌拉特前旗退役军人事务局2023年</w:t>
      </w:r>
    </w:p>
    <w:p>
      <w:pPr>
        <w:pStyle w:val="2"/>
        <w:rPr>
          <w:rFonts w:hint="eastAsia"/>
        </w:rPr>
      </w:pPr>
      <w:r>
        <w:rPr>
          <w:rFonts w:hint="eastAsia"/>
          <w:sz w:val="44"/>
          <w:szCs w:val="44"/>
        </w:rPr>
        <w:t>政府信息公开工作年度报告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本年度报告电子版可以从乌拉特前旗人民政府门户网站（http://www.wltqq.gov.cn）下载，如对本年度报告有疑问，请与乌拉特前旗退役军人事务局联系（电话：0478-3211550）。</w:t>
      </w:r>
    </w:p>
    <w:p>
      <w:pPr>
        <w:pStyle w:val="6"/>
        <w:widowControl/>
        <w:shd w:val="clear" w:color="auto" w:fill="FFFFFF"/>
        <w:spacing w:beforeAutospacing="0" w:afterAutospacing="0" w:line="324" w:lineRule="atLeast"/>
        <w:ind w:firstLine="640" w:firstLineChars="200"/>
        <w:jc w:val="both"/>
        <w:rPr>
          <w:rFonts w:hint="eastAsia" w:ascii="黑体" w:hAnsi="黑体" w:eastAsia="黑体" w:cs="仿宋_GB2312"/>
          <w:bCs/>
          <w:color w:val="000000"/>
          <w:sz w:val="32"/>
          <w:szCs w:val="32"/>
          <w:lang w:bidi="en-US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bidi="en-US"/>
        </w:rPr>
        <w:t>一、总体情况</w:t>
      </w:r>
    </w:p>
    <w:p>
      <w:pPr>
        <w:pStyle w:val="6"/>
        <w:widowControl/>
        <w:shd w:val="clear" w:color="auto" w:fill="FFFFFF"/>
        <w:spacing w:beforeAutospacing="0" w:afterAutospacing="0" w:line="324" w:lineRule="atLeast"/>
        <w:ind w:firstLine="643" w:firstLineChars="200"/>
        <w:jc w:val="both"/>
        <w:rPr>
          <w:rFonts w:ascii="黑体" w:hAnsi="黑体" w:eastAsia="黑体" w:cs="仿宋_GB2312"/>
          <w:bCs/>
          <w:color w:val="000000"/>
          <w:sz w:val="32"/>
          <w:szCs w:val="32"/>
          <w:lang w:bidi="en-US"/>
        </w:rPr>
      </w:pPr>
      <w:r>
        <w:rPr>
          <w:rFonts w:hint="eastAsia" w:ascii="楷体" w:hAnsi="楷体" w:eastAsia="楷体" w:cs="仿宋"/>
          <w:b/>
          <w:bCs/>
          <w:color w:val="000000"/>
          <w:sz w:val="32"/>
          <w:szCs w:val="32"/>
          <w:shd w:val="clear" w:color="auto" w:fill="FFFFFF"/>
        </w:rPr>
        <w:t>（一）主动公开情况</w:t>
      </w:r>
    </w:p>
    <w:p>
      <w:pPr>
        <w:pStyle w:val="6"/>
        <w:widowControl/>
        <w:shd w:val="clear" w:color="auto" w:fill="FFFFFF"/>
        <w:spacing w:beforeAutospacing="0" w:afterAutospacing="0" w:line="324" w:lineRule="atLeast"/>
        <w:ind w:firstLine="640" w:firstLineChars="200"/>
        <w:jc w:val="both"/>
        <w:rPr>
          <w:rFonts w:ascii="仿宋" w:hAnsi="仿宋" w:eastAsia="仿宋" w:cs="仿宋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  <w:shd w:val="clear" w:color="auto" w:fill="FFFFFF"/>
        </w:rPr>
        <w:t>2023年度，累计主动公开政府信息101条，其中在“乌拉特前旗退役军人事务局”微信公众号上公开慰问困难退役军人、双拥共建活动、党建活动等动态信息77条；政务公开平台公开24条，</w:t>
      </w:r>
      <w:r>
        <w:rPr>
          <w:rFonts w:ascii="仿宋" w:hAnsi="仿宋" w:eastAsia="仿宋" w:cs="仿宋"/>
          <w:bCs/>
          <w:color w:val="000000"/>
          <w:sz w:val="32"/>
          <w:szCs w:val="32"/>
          <w:shd w:val="clear" w:color="auto" w:fill="FFFFFF"/>
        </w:rPr>
        <w:t>做到了及时、全面的公开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shd w:val="clear" w:color="auto" w:fill="FFFFFF"/>
        </w:rPr>
        <w:t>。</w:t>
      </w:r>
    </w:p>
    <w:p>
      <w:pPr>
        <w:pStyle w:val="6"/>
        <w:widowControl/>
        <w:shd w:val="clear" w:color="auto" w:fill="FFFFFF"/>
        <w:spacing w:beforeAutospacing="0" w:afterAutospacing="0" w:line="324" w:lineRule="atLeast"/>
        <w:ind w:firstLine="643" w:firstLineChars="200"/>
        <w:jc w:val="both"/>
        <w:rPr>
          <w:rFonts w:ascii="楷体" w:hAnsi="楷体" w:eastAsia="楷体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仿宋"/>
          <w:b/>
          <w:bCs/>
          <w:color w:val="000000"/>
          <w:sz w:val="32"/>
          <w:szCs w:val="32"/>
          <w:shd w:val="clear" w:color="auto" w:fill="FFFFFF"/>
        </w:rPr>
        <w:t>（二）依申请公开情况</w:t>
      </w:r>
    </w:p>
    <w:p>
      <w:pPr>
        <w:pStyle w:val="6"/>
        <w:widowControl/>
        <w:shd w:val="clear" w:color="auto" w:fill="FFFFFF"/>
        <w:spacing w:beforeAutospacing="0" w:afterAutospacing="0" w:line="324" w:lineRule="atLeast"/>
        <w:ind w:firstLine="640" w:firstLineChars="200"/>
        <w:jc w:val="both"/>
        <w:rPr>
          <w:rFonts w:ascii="仿宋" w:hAnsi="仿宋" w:eastAsia="仿宋" w:cs="仿宋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  <w:shd w:val="clear" w:color="auto" w:fill="FFFFFF"/>
        </w:rPr>
        <w:t>乌拉特前旗退役军人事务局本年度未发生依申请公开情况。</w:t>
      </w:r>
    </w:p>
    <w:p>
      <w:pPr>
        <w:pStyle w:val="6"/>
        <w:widowControl/>
        <w:shd w:val="clear" w:color="auto" w:fill="FFFFFF"/>
        <w:spacing w:beforeAutospacing="0" w:afterAutospacing="0" w:line="324" w:lineRule="atLeast"/>
        <w:ind w:firstLine="643" w:firstLineChars="200"/>
        <w:jc w:val="both"/>
        <w:rPr>
          <w:rFonts w:ascii="楷体" w:hAnsi="楷体" w:eastAsia="楷体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仿宋"/>
          <w:b/>
          <w:bCs/>
          <w:color w:val="000000"/>
          <w:sz w:val="32"/>
          <w:szCs w:val="32"/>
          <w:shd w:val="clear" w:color="auto" w:fill="FFFFFF"/>
        </w:rPr>
        <w:t>（三）政府信息管理情况</w:t>
      </w:r>
    </w:p>
    <w:p>
      <w:pPr>
        <w:pStyle w:val="6"/>
        <w:widowControl/>
        <w:shd w:val="clear" w:color="auto" w:fill="FFFFFF"/>
        <w:spacing w:beforeAutospacing="0" w:afterAutospacing="0" w:line="324" w:lineRule="atLeast"/>
        <w:ind w:firstLine="640" w:firstLineChars="200"/>
        <w:jc w:val="both"/>
        <w:rPr>
          <w:rFonts w:ascii="仿宋" w:hAnsi="仿宋" w:eastAsia="仿宋" w:cs="仿宋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  <w:shd w:val="clear" w:color="auto" w:fill="FFFFFF"/>
        </w:rPr>
        <w:t>2023年度</w:t>
      </w:r>
      <w:r>
        <w:rPr>
          <w:rFonts w:ascii="仿宋" w:hAnsi="仿宋" w:eastAsia="仿宋" w:cs="仿宋"/>
          <w:bCs/>
          <w:color w:val="000000"/>
          <w:sz w:val="32"/>
          <w:szCs w:val="32"/>
          <w:shd w:val="clear" w:color="auto" w:fill="FFFFFF"/>
        </w:rPr>
        <w:t>，进一步推动信息发布和政策解读工作制度化、规范化，提高信息发布和政策解读的质量和水平，进一步明确职责分工，强化门户网站的组织管理，确保信息公开工作有序、规范运行。</w:t>
      </w:r>
    </w:p>
    <w:p>
      <w:pPr>
        <w:pStyle w:val="6"/>
        <w:widowControl/>
        <w:shd w:val="clear" w:color="auto" w:fill="FFFFFF"/>
        <w:spacing w:beforeAutospacing="0" w:afterAutospacing="0" w:line="324" w:lineRule="atLeast"/>
        <w:ind w:firstLine="643" w:firstLineChars="200"/>
        <w:jc w:val="both"/>
        <w:rPr>
          <w:rFonts w:ascii="楷体" w:hAnsi="楷体" w:eastAsia="楷体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仿宋"/>
          <w:b/>
          <w:bCs/>
          <w:color w:val="000000"/>
          <w:sz w:val="32"/>
          <w:szCs w:val="32"/>
          <w:shd w:val="clear" w:color="auto" w:fill="FFFFFF"/>
        </w:rPr>
        <w:t>（四）政府信息公开平台建设情况</w:t>
      </w:r>
    </w:p>
    <w:p>
      <w:pPr>
        <w:pStyle w:val="6"/>
        <w:widowControl/>
        <w:shd w:val="clear" w:color="auto" w:fill="FFFFFF"/>
        <w:spacing w:beforeAutospacing="0" w:afterAutospacing="0" w:line="324" w:lineRule="atLeast"/>
        <w:ind w:firstLine="640" w:firstLineChars="200"/>
        <w:jc w:val="both"/>
        <w:rPr>
          <w:rFonts w:ascii="仿宋" w:hAnsi="仿宋" w:eastAsia="仿宋" w:cs="仿宋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  <w:shd w:val="clear" w:color="auto" w:fill="FFFFFF"/>
        </w:rPr>
        <w:t>日常公开主要依托巴彦淖尔市政府信息公开平台和“乌拉特前旗退役军人事务局”微信公众号进行公开。“乌拉特前旗退役军人事务局”微信公众号是旗退役军人事务局官方政务微信公众号，于2019年7月29日正式开通运行。官方政务微信公众号作为单位重要的政务公开平台，及时传达中央关于退役军人工作的决策部署，发布重大政策，推广工作经验，宣传先进典型，回应社会关切，为广大退役军人和其他优抚对象提供服务，为推进退役军人工作营造良好舆论氛围。目前，该公众号拥有1049位粉丝，总阅读量约6000人次。</w:t>
      </w:r>
    </w:p>
    <w:p>
      <w:pPr>
        <w:pStyle w:val="6"/>
        <w:widowControl/>
        <w:shd w:val="clear" w:color="auto" w:fill="FFFFFF"/>
        <w:spacing w:beforeAutospacing="0" w:afterAutospacing="0" w:line="324" w:lineRule="atLeast"/>
        <w:ind w:firstLine="643" w:firstLineChars="200"/>
        <w:jc w:val="both"/>
        <w:rPr>
          <w:rFonts w:ascii="楷体" w:hAnsi="楷体" w:eastAsia="楷体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仿宋"/>
          <w:b/>
          <w:bCs/>
          <w:color w:val="000000"/>
          <w:sz w:val="32"/>
          <w:szCs w:val="32"/>
          <w:shd w:val="clear" w:color="auto" w:fill="FFFFFF"/>
        </w:rPr>
        <w:t>（五）监督保障情况</w:t>
      </w:r>
    </w:p>
    <w:p>
      <w:pPr>
        <w:pStyle w:val="6"/>
        <w:widowControl/>
        <w:shd w:val="clear" w:color="auto" w:fill="FFFFFF"/>
        <w:spacing w:beforeAutospacing="0" w:afterAutospacing="0" w:line="324" w:lineRule="atLeast"/>
        <w:ind w:firstLine="640" w:firstLineChars="200"/>
        <w:jc w:val="both"/>
        <w:rPr>
          <w:rFonts w:ascii="仿宋" w:hAnsi="仿宋" w:eastAsia="仿宋" w:cs="仿宋"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bCs/>
          <w:color w:val="000000"/>
          <w:sz w:val="32"/>
          <w:szCs w:val="32"/>
          <w:shd w:val="clear" w:color="auto" w:fill="FFFFFF"/>
        </w:rPr>
        <w:t>局党组高度重视政务公开工作，在局党组会议、党支部会上多次及时部署研究退役军人事务信息公开工作，由主要领导、分管领导、股室负责人三级联动、层层把关政务公开，确保退役军人事务领域政府信息公开工作提质增效。</w:t>
      </w:r>
    </w:p>
    <w:p>
      <w:pPr>
        <w:pStyle w:val="6"/>
        <w:widowControl/>
        <w:shd w:val="clear" w:color="auto" w:fill="FFFFFF"/>
        <w:spacing w:beforeAutospacing="0" w:afterAutospacing="0" w:line="324" w:lineRule="atLeast"/>
        <w:ind w:firstLine="640" w:firstLineChars="200"/>
        <w:jc w:val="both"/>
        <w:rPr>
          <w:rFonts w:ascii="黑体" w:hAnsi="黑体" w:eastAsia="黑体" w:cs="仿宋_GB2312"/>
          <w:bCs/>
          <w:color w:val="000000"/>
          <w:sz w:val="32"/>
          <w:szCs w:val="32"/>
          <w:lang w:bidi="en-US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bidi="en-US"/>
        </w:rPr>
        <w:t>二、主动公开政府信息情况</w:t>
      </w:r>
    </w:p>
    <w:tbl>
      <w:tblPr>
        <w:tblStyle w:val="7"/>
        <w:tblW w:w="7788" w:type="dxa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hd w:val="clear" w:color="auto" w:fill="FFFFFF"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Calibri" w:hAnsi="Calibri" w:cs="Calibri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Calibri" w:hAnsi="Calibri" w:cs="Calibri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Calibri" w:hAnsi="Calibri" w:cs="Calibri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</w:tr>
    </w:tbl>
    <w:p>
      <w:pPr>
        <w:pStyle w:val="6"/>
        <w:widowControl/>
        <w:shd w:val="clear" w:color="auto" w:fill="FFFFFF"/>
        <w:spacing w:beforeAutospacing="0" w:afterAutospacing="0"/>
        <w:ind w:firstLine="200"/>
        <w:rPr>
          <w:rFonts w:ascii="微软雅黑" w:hAnsi="微软雅黑" w:eastAsia="微软雅黑" w:cs="微软雅黑"/>
          <w:color w:val="333333"/>
          <w:sz w:val="16"/>
          <w:szCs w:val="16"/>
        </w:rPr>
      </w:pPr>
      <w:r>
        <w:rPr>
          <w:rFonts w:ascii="Times New Roman" w:hAnsi="Times New Roman" w:eastAsia="微软雅黑"/>
          <w:color w:val="333333"/>
          <w:sz w:val="16"/>
          <w:szCs w:val="16"/>
          <w:shd w:val="clear" w:color="auto" w:fill="FFFFFF"/>
        </w:rPr>
        <w:t> </w:t>
      </w:r>
    </w:p>
    <w:p>
      <w:pPr>
        <w:pStyle w:val="6"/>
        <w:widowControl/>
        <w:shd w:val="clear" w:color="auto" w:fill="FFFFFF"/>
        <w:spacing w:beforeAutospacing="0" w:afterAutospacing="0" w:line="324" w:lineRule="atLeast"/>
        <w:ind w:firstLine="640" w:firstLineChars="200"/>
        <w:jc w:val="both"/>
        <w:rPr>
          <w:rFonts w:ascii="黑体" w:hAnsi="黑体" w:eastAsia="黑体" w:cs="仿宋_GB2312"/>
          <w:bCs/>
          <w:color w:val="000000"/>
          <w:sz w:val="32"/>
          <w:szCs w:val="32"/>
          <w:lang w:bidi="en-US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bidi="en-US"/>
        </w:rPr>
        <w:t>三、收到和处理政府信息公开申请情况</w:t>
      </w:r>
    </w:p>
    <w:tbl>
      <w:tblPr>
        <w:tblStyle w:val="7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766"/>
        <w:gridCol w:w="2555"/>
        <w:gridCol w:w="551"/>
        <w:gridCol w:w="552"/>
        <w:gridCol w:w="552"/>
        <w:gridCol w:w="552"/>
        <w:gridCol w:w="552"/>
        <w:gridCol w:w="552"/>
        <w:gridCol w:w="5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楷体" w:hAnsi="楷体" w:eastAsia="楷体" w:cs="楷体"/>
                <w:color w:val="333333"/>
                <w:sz w:val="15"/>
                <w:szCs w:val="15"/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自然人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商业</w:t>
            </w:r>
          </w:p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企业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科研</w:t>
            </w:r>
          </w:p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三、本年度办理结果</w:t>
            </w: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（一）予以公开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sz w:val="15"/>
                <w:szCs w:val="15"/>
              </w:rPr>
              <w:t>（区分处理的，只计这一情形，不计其他情形）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（三）不予公开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1.属于国家秘密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2.其他法律行政法规禁止公开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3.危及“三安全一稳定”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4.保护第三方合法权益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5.属于三类内部事务信息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6.属于四类过程性信息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7.属于行政执法案卷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8.属于行政查询事项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（四）无法提供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1.本机关不掌握相关政府信息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2.没有现成信息需要另行制作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3.补正后申请内容仍不明确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（五）不予处理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1.信访举报投诉类申请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2.重复申请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3.要求提供公开出版物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4.无正当理由大量反复申请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5.要求行政机关确认或重新出具已获取信息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（六）其他处理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3.其他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（七）总计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333333"/>
                <w:sz w:val="16"/>
                <w:szCs w:val="16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both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四、结转下年度继续办理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</w:tbl>
    <w:p>
      <w:pPr>
        <w:pStyle w:val="6"/>
        <w:widowControl/>
        <w:shd w:val="clear" w:color="auto" w:fill="FFFFFF"/>
        <w:spacing w:beforeAutospacing="0" w:afterAutospacing="0"/>
        <w:ind w:firstLine="640" w:firstLineChars="200"/>
        <w:rPr>
          <w:rFonts w:ascii="黑体" w:hAnsi="黑体" w:eastAsia="黑体" w:cs="微软雅黑"/>
          <w:color w:val="333333"/>
          <w:sz w:val="16"/>
          <w:szCs w:val="16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bidi="en-US"/>
        </w:rPr>
        <w:t>四、政府信息公开行政复议、行政诉讼情况</w:t>
      </w:r>
    </w:p>
    <w:tbl>
      <w:tblPr>
        <w:tblStyle w:val="7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ind w:firstLine="200"/>
              <w:rPr>
                <w:rFonts w:ascii="微软雅黑" w:hAnsi="微软雅黑" w:eastAsia="微软雅黑" w:cs="微软雅黑"/>
                <w:color w:val="333333"/>
                <w:sz w:val="24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widowControl/>
              <w:spacing w:beforeAutospacing="0" w:afterAutospacing="0"/>
              <w:ind w:firstLine="200"/>
              <w:jc w:val="center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</w:rPr>
              <w:t>0</w:t>
            </w:r>
          </w:p>
        </w:tc>
      </w:tr>
    </w:tbl>
    <w:p>
      <w:pPr>
        <w:widowControl/>
        <w:shd w:val="clear" w:color="auto" w:fill="FFFFFF"/>
        <w:spacing w:line="600" w:lineRule="atLeast"/>
        <w:ind w:firstLine="640" w:firstLineChars="200"/>
        <w:textAlignment w:val="baseline"/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lang w:eastAsia="zh-CN" w:bidi="en-US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lang w:bidi="en-US"/>
        </w:rPr>
        <w:t>五、存在的主要问题及改进</w:t>
      </w:r>
      <w:r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lang w:val="en-US" w:eastAsia="zh-CN" w:bidi="en-US"/>
        </w:rPr>
        <w:t>情况</w:t>
      </w:r>
    </w:p>
    <w:p>
      <w:pPr>
        <w:pStyle w:val="5"/>
        <w:ind w:firstLine="472" w:firstLineChars="147"/>
        <w:rPr>
          <w:rFonts w:ascii="楷体" w:hAnsi="楷体" w:eastAsia="楷体" w:cs="仿宋"/>
          <w:b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仿宋"/>
          <w:b/>
          <w:bCs/>
          <w:color w:val="000000"/>
          <w:kern w:val="0"/>
          <w:sz w:val="32"/>
          <w:szCs w:val="32"/>
          <w:shd w:val="clear" w:color="auto" w:fill="FFFFFF"/>
        </w:rPr>
        <w:t>（一）存在问题</w:t>
      </w:r>
    </w:p>
    <w:p>
      <w:pPr>
        <w:pStyle w:val="5"/>
        <w:ind w:firstLine="640" w:firstLineChars="200"/>
        <w:rPr>
          <w:rFonts w:ascii="仿宋" w:hAnsi="仿宋" w:eastAsia="仿宋" w:cs="仿宋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shd w:val="clear" w:color="auto" w:fill="FFFFFF"/>
        </w:rPr>
        <w:t>一是部分公开内容不够规范。对广大群众、退役军人和其他优抚对象关心的热点问题，公开的内容形式还不够丰富，信息公开的及时性、准确性和全面性还有待进一步加强。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  <w:shd w:val="clear" w:color="auto" w:fill="FFFFFF"/>
        </w:rPr>
        <w:t>二是微信公众号信息更新的数量和质量有待提高。</w:t>
      </w:r>
    </w:p>
    <w:p>
      <w:pPr>
        <w:pStyle w:val="5"/>
        <w:tabs>
          <w:tab w:val="left" w:pos="3075"/>
        </w:tabs>
        <w:ind w:firstLine="315" w:firstLineChars="98"/>
        <w:rPr>
          <w:rFonts w:ascii="楷体" w:hAnsi="楷体" w:eastAsia="楷体" w:cs="仿宋"/>
          <w:b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仿宋"/>
          <w:b/>
          <w:bCs/>
          <w:color w:val="000000"/>
          <w:kern w:val="0"/>
          <w:sz w:val="32"/>
          <w:szCs w:val="32"/>
          <w:shd w:val="clear" w:color="auto" w:fill="FFFFFF"/>
        </w:rPr>
        <w:t>（二）改进措施</w:t>
      </w:r>
      <w:r>
        <w:rPr>
          <w:rFonts w:ascii="楷体" w:hAnsi="楷体" w:eastAsia="楷体" w:cs="仿宋"/>
          <w:b/>
          <w:bCs/>
          <w:color w:val="000000"/>
          <w:kern w:val="0"/>
          <w:sz w:val="32"/>
          <w:szCs w:val="32"/>
          <w:shd w:val="clear" w:color="auto" w:fill="FFFFFF"/>
        </w:rPr>
        <w:tab/>
      </w:r>
    </w:p>
    <w:p>
      <w:pPr>
        <w:pStyle w:val="5"/>
        <w:ind w:firstLine="640" w:firstLineChars="200"/>
        <w:rPr>
          <w:rFonts w:ascii="仿宋" w:hAnsi="仿宋" w:eastAsia="仿宋" w:cs="仿宋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shd w:val="clear" w:color="auto" w:fill="FFFFFF"/>
        </w:rPr>
        <w:t>一是提高干部职工对政务公开工作的认识，增强政务信息公开的工作能力。完善信息公开的内容，公开方式，保证公开的信息及时、准确和全面，逐步扩大信息公开的覆盖面。二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  <w:shd w:val="clear" w:color="auto" w:fill="FFFFFF"/>
        </w:rPr>
        <w:t>是加强工作人员的写作能力。不断提高信息写作的数量和质量，发布更多退役军人及其他优抚对象关注的热点信息。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仿宋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"/>
          <w:bCs/>
          <w:color w:val="000000"/>
          <w:kern w:val="0"/>
          <w:sz w:val="32"/>
          <w:szCs w:val="32"/>
          <w:shd w:val="clear" w:color="auto" w:fill="FFFFFF"/>
        </w:rPr>
        <w:t>六、其他需要报告的事项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</w:rPr>
        <w:t>根据《政府信息公开信息处理费管理办法》规定，本年度未收取任何信息处理费。无其他报告事项。</w:t>
      </w:r>
    </w:p>
    <w:p>
      <w:pPr>
        <w:ind w:right="48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bookmarkStart w:id="0" w:name="_GoBack"/>
      <w:bookmarkEnd w:id="0"/>
    </w:p>
    <w:p>
      <w:pPr>
        <w:ind w:right="480"/>
        <w:jc w:val="right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乌拉特前旗退役军人事务局</w:t>
      </w:r>
    </w:p>
    <w:p>
      <w:pPr>
        <w:ind w:right="1120"/>
        <w:jc w:val="right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2024年1月11日</w:t>
      </w:r>
    </w:p>
    <w:p>
      <w:pPr>
        <w:spacing w:line="560" w:lineRule="exact"/>
        <w:rPr>
          <w:rFonts w:ascii="仿宋" w:hAnsi="仿宋" w:eastAsia="仿宋"/>
          <w:color w:val="333333"/>
          <w:spacing w:val="6"/>
          <w:sz w:val="32"/>
          <w:szCs w:val="32"/>
          <w:shd w:val="clear" w:color="auto" w:fill="FFFFFF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800002BF" w:usb1="184F6CF8" w:usb2="00000012" w:usb3="00000000" w:csb0="00160001" w:csb1="1203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Q0NzUzNWVmOTg1YjM4MmY3MzVlOTEzYzlmYTU5Y2MifQ=="/>
  </w:docVars>
  <w:rsids>
    <w:rsidRoot w:val="008C5478"/>
    <w:rsid w:val="000000F1"/>
    <w:rsid w:val="00044C75"/>
    <w:rsid w:val="00065384"/>
    <w:rsid w:val="00065F2F"/>
    <w:rsid w:val="000806FA"/>
    <w:rsid w:val="000846B9"/>
    <w:rsid w:val="000A1513"/>
    <w:rsid w:val="000A6CA0"/>
    <w:rsid w:val="000B0A99"/>
    <w:rsid w:val="001073F8"/>
    <w:rsid w:val="0017733B"/>
    <w:rsid w:val="001F5E29"/>
    <w:rsid w:val="0020507B"/>
    <w:rsid w:val="00257F0C"/>
    <w:rsid w:val="00273B04"/>
    <w:rsid w:val="002A44B8"/>
    <w:rsid w:val="002B7893"/>
    <w:rsid w:val="002E6484"/>
    <w:rsid w:val="003265A9"/>
    <w:rsid w:val="00351CD3"/>
    <w:rsid w:val="00354AE5"/>
    <w:rsid w:val="0038198E"/>
    <w:rsid w:val="00383C63"/>
    <w:rsid w:val="003A1890"/>
    <w:rsid w:val="003C54C8"/>
    <w:rsid w:val="003E6FF7"/>
    <w:rsid w:val="00403C70"/>
    <w:rsid w:val="00430350"/>
    <w:rsid w:val="00455124"/>
    <w:rsid w:val="004B70B2"/>
    <w:rsid w:val="004C4F5C"/>
    <w:rsid w:val="005205E8"/>
    <w:rsid w:val="00534A2D"/>
    <w:rsid w:val="00543949"/>
    <w:rsid w:val="00575433"/>
    <w:rsid w:val="0057705D"/>
    <w:rsid w:val="00596846"/>
    <w:rsid w:val="005B4AF8"/>
    <w:rsid w:val="00607DF4"/>
    <w:rsid w:val="0062437D"/>
    <w:rsid w:val="00654637"/>
    <w:rsid w:val="006C004B"/>
    <w:rsid w:val="006D600D"/>
    <w:rsid w:val="006E0420"/>
    <w:rsid w:val="006F1B00"/>
    <w:rsid w:val="006F6E4A"/>
    <w:rsid w:val="0076391A"/>
    <w:rsid w:val="0080382A"/>
    <w:rsid w:val="008215D5"/>
    <w:rsid w:val="00826CC7"/>
    <w:rsid w:val="00831A98"/>
    <w:rsid w:val="008574FD"/>
    <w:rsid w:val="008612D6"/>
    <w:rsid w:val="008630F1"/>
    <w:rsid w:val="00871648"/>
    <w:rsid w:val="008A2B0E"/>
    <w:rsid w:val="008B061F"/>
    <w:rsid w:val="008C5478"/>
    <w:rsid w:val="008E4BFA"/>
    <w:rsid w:val="009011C2"/>
    <w:rsid w:val="00901A8F"/>
    <w:rsid w:val="00924D0D"/>
    <w:rsid w:val="009512F4"/>
    <w:rsid w:val="009560A9"/>
    <w:rsid w:val="00964835"/>
    <w:rsid w:val="0099700D"/>
    <w:rsid w:val="00997D33"/>
    <w:rsid w:val="009A23F0"/>
    <w:rsid w:val="009D106B"/>
    <w:rsid w:val="009D166A"/>
    <w:rsid w:val="009D5528"/>
    <w:rsid w:val="009F4D36"/>
    <w:rsid w:val="00A2049C"/>
    <w:rsid w:val="00A30C53"/>
    <w:rsid w:val="00A34D22"/>
    <w:rsid w:val="00A51A75"/>
    <w:rsid w:val="00A67428"/>
    <w:rsid w:val="00A93C31"/>
    <w:rsid w:val="00AB01EB"/>
    <w:rsid w:val="00AB3616"/>
    <w:rsid w:val="00AD56E9"/>
    <w:rsid w:val="00AE64DB"/>
    <w:rsid w:val="00AF0ED2"/>
    <w:rsid w:val="00B13899"/>
    <w:rsid w:val="00B31333"/>
    <w:rsid w:val="00B60517"/>
    <w:rsid w:val="00B8500A"/>
    <w:rsid w:val="00BA45B0"/>
    <w:rsid w:val="00BC0E7C"/>
    <w:rsid w:val="00BC7A91"/>
    <w:rsid w:val="00C370FB"/>
    <w:rsid w:val="00C5402E"/>
    <w:rsid w:val="00C76776"/>
    <w:rsid w:val="00C80B57"/>
    <w:rsid w:val="00C85D4E"/>
    <w:rsid w:val="00C9346B"/>
    <w:rsid w:val="00CB0732"/>
    <w:rsid w:val="00CB6B93"/>
    <w:rsid w:val="00D143C2"/>
    <w:rsid w:val="00D245E7"/>
    <w:rsid w:val="00D704D2"/>
    <w:rsid w:val="00DA2EE0"/>
    <w:rsid w:val="00DA7CD9"/>
    <w:rsid w:val="00DD7936"/>
    <w:rsid w:val="00DE6A96"/>
    <w:rsid w:val="00E025ED"/>
    <w:rsid w:val="00E02EB4"/>
    <w:rsid w:val="00E10758"/>
    <w:rsid w:val="00E1323B"/>
    <w:rsid w:val="00E2140B"/>
    <w:rsid w:val="00E67FC8"/>
    <w:rsid w:val="00E85005"/>
    <w:rsid w:val="00F117C1"/>
    <w:rsid w:val="00F157BE"/>
    <w:rsid w:val="00F52E2F"/>
    <w:rsid w:val="00F93B11"/>
    <w:rsid w:val="00FC27AB"/>
    <w:rsid w:val="00FC2B28"/>
    <w:rsid w:val="00FD5909"/>
    <w:rsid w:val="00FD769D"/>
    <w:rsid w:val="00FE26C4"/>
    <w:rsid w:val="2256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autoRedefine/>
    <w:unhideWhenUsed/>
    <w:qFormat/>
    <w:uiPriority w:val="0"/>
    <w:pPr>
      <w:widowControl/>
      <w:shd w:val="clear" w:color="auto" w:fill="FFFFFF"/>
      <w:jc w:val="center"/>
      <w:outlineLvl w:val="1"/>
    </w:pPr>
    <w:rPr>
      <w:rFonts w:ascii="方正小标宋简体" w:hAnsi="微软雅黑" w:eastAsia="方正小标宋简体" w:cs="微软雅黑"/>
      <w:bCs/>
      <w:color w:val="000000" w:themeColor="text1"/>
      <w:kern w:val="0"/>
      <w:sz w:val="48"/>
      <w:szCs w:val="48"/>
      <w:shd w:val="clear" w:color="auto" w:fill="FFFFFF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autoRedefine/>
    <w:qFormat/>
    <w:uiPriority w:val="0"/>
    <w:rPr>
      <w:rFonts w:eastAsia="宋体"/>
      <w:szCs w:val="24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eastAsia="宋体" w:cs="Times New Roman"/>
      <w:kern w:val="0"/>
      <w:sz w:val="24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方正小标宋简体" w:hAnsi="微软雅黑" w:eastAsia="方正小标宋简体" w:cs="微软雅黑"/>
      <w:bCs/>
      <w:color w:val="000000" w:themeColor="text1"/>
      <w:kern w:val="0"/>
      <w:sz w:val="48"/>
      <w:szCs w:val="48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361</Words>
  <Characters>2063</Characters>
  <Lines>17</Lines>
  <Paragraphs>4</Paragraphs>
  <TotalTime>1</TotalTime>
  <ScaleCrop>false</ScaleCrop>
  <LinksUpToDate>false</LinksUpToDate>
  <CharactersWithSpaces>2420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2024-01-11T03:22:00Z</dcterms:created>
  <dc:creator>tyjrswj</dc:creator>
  <cp:lastModifiedBy>演示人</cp:lastModifiedBy>
  <cp:lastPrinted>2024-01-11T03:41:00Z</cp:lastPrinted>
  <dcterms:modified xsi:type="dcterms:W3CDTF">2024-01-19T08:12:40Z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9841AA53666C4B16824551979D5BD8DC_12</vt:lpwstr>
  </property>
</Properties>
</file>