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乌拉特前旗</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政务服务局</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20</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23</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000000" w:themeColor="text1"/>
          <w:spacing w:val="0"/>
          <w:sz w:val="44"/>
          <w:szCs w:val="44"/>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政府信息公开</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工作</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年度报告</w:t>
      </w:r>
    </w:p>
    <w:p>
      <w:pPr>
        <w:ind w:firstLine="640" w:firstLineChars="200"/>
        <w:rPr>
          <w:rFonts w:hint="default"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本年度报告根据《中华人民共和国政府信息公开条例》（以下简称《条例》） </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《国务院办公厅政府信息与政务公开办公室关于印发&lt;中华人民共和国政府信息公开工作年度报告格式&gt;的通知》（国办公开办函〔2021〕30号）要求制作。</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本报告由总体情况、主动公开政府信息情况、收到和处理政府信息公开申请情况、政府信息公开行政复议、行政诉讼情况、存在的主要问题及改进情况以及其他需要报告的事项等部分组成。</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本年度报告中所列数据的统计期限为</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日起至</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12</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31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日止</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本年度报告电子版可以从乌拉特前旗人民政府门户网站（http://www.wltqq.gov.cn）下载，如对本年度报告有疑问，请与乌拉特前旗政务服务局联系（电话：0478-3267955）。</w:t>
      </w:r>
    </w:p>
    <w:p>
      <w:pPr>
        <w:pStyle w:val="6"/>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总体情况</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我</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局</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坚持以习近平新时代中国特色社会主义思想为指导，将政务公开工作与全旗政府的工作要求相结合，稳步提升全旗政务公开工作质效。</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仿宋_GB2312" w:hAnsi="仿宋_GB2312" w:eastAsia="仿宋_GB2312" w:cs="仿宋_GB2312"/>
          <w:b/>
          <w:bCs/>
          <w:i w:val="0"/>
          <w:iCs w:val="0"/>
          <w:caps w:val="0"/>
          <w:color w:val="000000" w:themeColor="text1"/>
          <w:spacing w:val="0"/>
          <w:sz w:val="32"/>
          <w:szCs w:val="32"/>
          <w:shd w:val="clear" w:fill="FFFFFF"/>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w:t>
      </w:r>
      <w:r>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w:t>
      </w: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主动公开情况</w:t>
      </w: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依托政务服务大厅开展“码上说”问卷调查、在微信公众号开设政务服务征求意见专栏，广泛收集短板问题、意见建议。全年</w:t>
      </w:r>
      <w:bookmarkStart w:id="0" w:name="_GoBack"/>
      <w:bookmarkEnd w:id="0"/>
      <w:r>
        <w:rPr>
          <w:rFonts w:hint="eastAsia" w:ascii="仿宋" w:hAnsi="仿宋" w:eastAsia="仿宋" w:cs="仿宋"/>
          <w:color w:val="000000" w:themeColor="text1"/>
          <w:sz w:val="32"/>
          <w:szCs w:val="32"/>
          <w:highlight w:val="none"/>
          <w:lang w:val="en-US" w:eastAsia="zh-CN"/>
          <w14:textFill>
            <w14:solidFill>
              <w14:schemeClr w14:val="tx1"/>
            </w14:solidFill>
          </w14:textFill>
        </w:rPr>
        <w:t>共收集到各类意见建议19条，收到好差评评价近7万条。针对群众反映强烈的“上班没空办、下班没处办”难题，将139项周末不打烊、延时服务事项拓展延伸为1650项。</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在大厅LED电子显示大屏滚动播放国家相关法律法规、重要文件、相关工作宣传资料。制作中心窗口单位位置示意图和单位人员信息牌、监督举报投诉电话等信息，张贴和摆放于政务大厅显眼位置。</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截止2023年12月底，乌拉特前旗</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政务服务局微信公众号发布政务大厅咨询和预约电话以及周末不打烊、延时服务</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等各类</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信息共计</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228</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条</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仿宋_GB2312" w:hAnsi="仿宋_GB2312"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w:t>
      </w:r>
      <w:r>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t>二</w:t>
      </w: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w:t>
      </w: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依申请公开情况</w:t>
      </w: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进一步明确办理规则，完善办理流程，提高答复效率，强化服务理念，加强与申请人的沟通，更好满足群众和市场主体对政府信息的个性化合理需求。202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年，未收到政府信息公开申请。</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仿宋_GB2312" w:hAnsi="仿宋_GB2312"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w:t>
      </w:r>
      <w:r>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w:t>
      </w: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政府信息管理情况</w:t>
      </w: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落实公开属性源头认定机制，在起草文件、审签文件过程中，即明确文件属性为秘密或普通。为进一步加强对政府信息公开工作的组织领导，根据人事变动和机构变更及时调整我局政府信息公开工作领导小组，明确办公室负责政务公开和政府信息公开材料收集和具体公开工作，局其他科室按职能配合负责相关项目的责任，提供需公开的信息项目，切实保障我局政府信息公开工作顺利开展。</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w:t>
      </w:r>
      <w:r>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t>四</w:t>
      </w: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w:t>
      </w: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政府信息公开平台建设情况</w:t>
      </w: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0"/>
          <w:sz w:val="32"/>
          <w:szCs w:val="32"/>
          <w:shd w:val="clear" w:fill="FFFFFF"/>
          <w:lang w:eastAsia="zh-CN"/>
          <w14:textFill>
            <w14:solidFill>
              <w14:schemeClr w14:val="tx1"/>
            </w14:solidFill>
          </w14:textFill>
        </w:rPr>
        <w:t>我</w:t>
      </w: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局</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坚持“以公开为常态，不公开为例外”的原则，以</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乌拉特前旗</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人民政府网站、政务服务大厅为主要公开平台，按照政府信息公开条例要求，及时、准确、规范地发布政务公开信息。</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仿宋_GB2312" w:hAnsi="仿宋_GB2312"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w:t>
      </w:r>
      <w:r>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t>五</w:t>
      </w: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w:t>
      </w: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监督保障情况</w:t>
      </w: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我局成立了由主要领导任组长，局领导班子成员为副组长，各股室负责人为成员的政务公开工作领导小组，领导小组下设办公室，确定专人负责政务公开的日常工作</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，加强政府信息公开内部督导检查，对网上公开信息实行实时监测，并将政务工作纳入绩效考核，确保政务公开各项工作有规划、有推进、有落实。</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黑体" w:hAnsi="黑体" w:eastAsia="黑体" w:cs="黑体"/>
          <w:b/>
          <w:bCs/>
          <w:color w:val="000000" w:themeColor="text1"/>
          <w:spacing w:val="0"/>
          <w:w w:val="100"/>
          <w:kern w:val="0"/>
          <w:position w:val="0"/>
          <w:sz w:val="32"/>
          <w:szCs w:val="32"/>
          <w:shd w:val="clear" w:color="auto" w:fill="auto"/>
          <w:lang w:val="en-US" w:eastAsia="zh-CN" w:bidi="en-US"/>
          <w14:textFill>
            <w14:solidFill>
              <w14:schemeClr w14:val="tx1"/>
            </w14:solidFill>
          </w14:textFill>
        </w:rPr>
      </w:pPr>
      <w:r>
        <w:rPr>
          <w:rFonts w:hint="eastAsia" w:ascii="黑体" w:hAnsi="黑体" w:eastAsia="黑体" w:cs="黑体"/>
          <w:b/>
          <w:bCs/>
          <w:color w:val="000000" w:themeColor="text1"/>
          <w:spacing w:val="0"/>
          <w:w w:val="100"/>
          <w:kern w:val="0"/>
          <w:position w:val="0"/>
          <w:sz w:val="32"/>
          <w:szCs w:val="32"/>
          <w:shd w:val="clear" w:color="auto" w:fill="auto"/>
          <w:lang w:val="en-US" w:eastAsia="zh-CN" w:bidi="en-US"/>
          <w14:textFill>
            <w14:solidFill>
              <w14:schemeClr w14:val="tx1"/>
            </w14:solidFill>
          </w14:textFill>
        </w:rPr>
        <w:t>二、主动公开政府信息情况</w:t>
      </w:r>
    </w:p>
    <w:tbl>
      <w:tblPr>
        <w:tblStyle w:val="7"/>
        <w:tblW w:w="7788"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44"/>
        <w:gridCol w:w="1944"/>
        <w:gridCol w:w="1944"/>
        <w:gridCol w:w="19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single" w:color="auto" w:sz="4" w:space="0"/>
              <w:left w:val="single" w:color="auto" w:sz="4" w:space="0"/>
              <w:bottom w:val="single" w:color="auto" w:sz="4" w:space="0"/>
              <w:right w:val="single" w:color="auto" w:sz="4" w:space="0"/>
            </w:tcBorders>
            <w:shd w:val="clear" w:color="auto" w:fill="C6D9F1"/>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信息内容</w:t>
            </w:r>
          </w:p>
        </w:tc>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本年制发件数</w:t>
            </w:r>
          </w:p>
        </w:tc>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本年废止件数</w:t>
            </w:r>
          </w:p>
        </w:tc>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规章</w:t>
            </w:r>
          </w:p>
        </w:tc>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0</w:t>
            </w:r>
          </w:p>
        </w:tc>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0</w:t>
            </w:r>
          </w:p>
        </w:tc>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ascii="Calibri" w:hAnsi="Calibri" w:eastAsia="宋体" w:cs="Calibri"/>
                <w:color w:val="000000" w:themeColor="text1"/>
                <w:sz w:val="16"/>
                <w:szCs w:val="16"/>
                <w:u w:val="none"/>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行政规范性文件</w:t>
            </w:r>
          </w:p>
        </w:tc>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0</w:t>
            </w:r>
          </w:p>
        </w:tc>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0</w:t>
            </w:r>
          </w:p>
        </w:tc>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Calibri" w:hAnsi="Calibri" w:eastAsia="宋体" w:cs="Calibri"/>
                <w:color w:val="000000" w:themeColor="text1"/>
                <w:sz w:val="16"/>
                <w:szCs w:val="16"/>
                <w:u w:val="none"/>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single" w:color="auto" w:sz="4" w:space="0"/>
              <w:left w:val="single" w:color="auto" w:sz="4" w:space="0"/>
              <w:bottom w:val="single" w:color="auto" w:sz="4" w:space="0"/>
              <w:right w:val="single" w:color="auto" w:sz="4" w:space="0"/>
            </w:tcBorders>
            <w:shd w:val="clear" w:color="auto" w:fill="C6D9F1"/>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信息内容</w:t>
            </w:r>
          </w:p>
        </w:tc>
        <w:tc>
          <w:tcPr>
            <w:tcW w:w="5844"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行政许可</w:t>
            </w:r>
          </w:p>
        </w:tc>
        <w:tc>
          <w:tcPr>
            <w:tcW w:w="5844"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Calibri" w:hAnsi="Calibri" w:eastAsia="宋体" w:cs="Calibri"/>
                <w:color w:val="000000" w:themeColor="text1"/>
                <w:sz w:val="16"/>
                <w:szCs w:val="16"/>
                <w:u w:val="none"/>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single" w:color="auto" w:sz="4" w:space="0"/>
              <w:left w:val="single" w:color="auto" w:sz="4" w:space="0"/>
              <w:bottom w:val="single" w:color="auto" w:sz="4" w:space="0"/>
              <w:right w:val="single" w:color="auto" w:sz="4" w:space="0"/>
            </w:tcBorders>
            <w:shd w:val="clear" w:color="auto" w:fill="C6D9F1"/>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信息内容</w:t>
            </w:r>
          </w:p>
        </w:tc>
        <w:tc>
          <w:tcPr>
            <w:tcW w:w="5844"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行政处罚</w:t>
            </w:r>
          </w:p>
        </w:tc>
        <w:tc>
          <w:tcPr>
            <w:tcW w:w="5844"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行政强制</w:t>
            </w:r>
          </w:p>
        </w:tc>
        <w:tc>
          <w:tcPr>
            <w:tcW w:w="5844"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single" w:color="auto" w:sz="4" w:space="0"/>
              <w:left w:val="single" w:color="auto" w:sz="4" w:space="0"/>
              <w:bottom w:val="single" w:color="auto" w:sz="4" w:space="0"/>
              <w:right w:val="single" w:color="auto" w:sz="4" w:space="0"/>
            </w:tcBorders>
            <w:shd w:val="clear" w:color="auto" w:fill="C6D9F1"/>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信息内容</w:t>
            </w:r>
          </w:p>
        </w:tc>
        <w:tc>
          <w:tcPr>
            <w:tcW w:w="5844"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行政事业性收费</w:t>
            </w:r>
          </w:p>
        </w:tc>
        <w:tc>
          <w:tcPr>
            <w:tcW w:w="5844"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0</w:t>
            </w:r>
          </w:p>
        </w:tc>
      </w:tr>
    </w:tbl>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themeColor="text1"/>
          <w:spacing w:val="0"/>
          <w:sz w:val="16"/>
          <w:szCs w:val="16"/>
          <w:u w:val="none"/>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6"/>
          <w:szCs w:val="16"/>
          <w:u w:val="none"/>
          <w:shd w:val="clear" w:fill="FFFFFF"/>
          <w14:textFill>
            <w14:solidFill>
              <w14:schemeClr w14:val="tx1"/>
            </w14:solidFill>
          </w14:textFill>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黑体" w:hAnsi="黑体" w:eastAsia="黑体" w:cs="黑体"/>
          <w:b/>
          <w:bCs/>
          <w:color w:val="000000" w:themeColor="text1"/>
          <w:spacing w:val="0"/>
          <w:w w:val="100"/>
          <w:kern w:val="0"/>
          <w:position w:val="0"/>
          <w:sz w:val="32"/>
          <w:szCs w:val="32"/>
          <w:shd w:val="clear" w:color="auto" w:fill="auto"/>
          <w:lang w:val="en-US" w:eastAsia="zh-CN" w:bidi="en-US"/>
          <w14:textFill>
            <w14:solidFill>
              <w14:schemeClr w14:val="tx1"/>
            </w14:solidFill>
          </w14:textFill>
        </w:rPr>
      </w:pPr>
      <w:r>
        <w:rPr>
          <w:rFonts w:hint="eastAsia" w:ascii="黑体" w:hAnsi="黑体" w:eastAsia="黑体" w:cs="黑体"/>
          <w:b/>
          <w:bCs/>
          <w:color w:val="000000" w:themeColor="text1"/>
          <w:spacing w:val="0"/>
          <w:w w:val="100"/>
          <w:kern w:val="0"/>
          <w:position w:val="0"/>
          <w:sz w:val="32"/>
          <w:szCs w:val="32"/>
          <w:shd w:val="clear" w:color="auto" w:fill="auto"/>
          <w:lang w:val="en-US" w:eastAsia="zh-CN" w:bidi="en-US"/>
          <w14:textFill>
            <w14:solidFill>
              <w14:schemeClr w14:val="tx1"/>
            </w14:solidFill>
          </w14:textFill>
        </w:rPr>
        <w:t>三、收到和处理政府信息公开申请情况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themeColor="text1"/>
          <w:spacing w:val="0"/>
          <w:sz w:val="18"/>
          <w:szCs w:val="18"/>
          <w:u w:val="none"/>
          <w14:textFill>
            <w14:solidFill>
              <w14:schemeClr w14:val="tx1"/>
            </w14:solidFill>
          </w14:textFill>
        </w:rPr>
      </w:pPr>
      <w:r>
        <w:rPr>
          <w:rFonts w:hint="eastAsia" w:ascii="宋体" w:hAnsi="宋体" w:eastAsia="宋体" w:cs="宋体"/>
          <w:i w:val="0"/>
          <w:iCs w:val="0"/>
          <w:caps w:val="0"/>
          <w:color w:val="000000" w:themeColor="text1"/>
          <w:spacing w:val="0"/>
          <w:sz w:val="19"/>
          <w:szCs w:val="19"/>
          <w:u w:val="none"/>
          <w:shd w:val="clear" w:fill="FFFFFF"/>
          <w14:textFill>
            <w14:solidFill>
              <w14:schemeClr w14:val="tx1"/>
            </w14:solidFill>
          </w14:textFill>
        </w:rPr>
        <w:t> </w:t>
      </w:r>
    </w:p>
    <w:tbl>
      <w:tblPr>
        <w:tblStyle w:val="7"/>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1"/>
        <w:gridCol w:w="755"/>
        <w:gridCol w:w="2574"/>
        <w:gridCol w:w="551"/>
        <w:gridCol w:w="551"/>
        <w:gridCol w:w="551"/>
        <w:gridCol w:w="551"/>
        <w:gridCol w:w="552"/>
        <w:gridCol w:w="552"/>
        <w:gridCol w:w="55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restart"/>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ascii="楷体" w:hAnsi="楷体" w:eastAsia="楷体" w:cs="楷体"/>
                <w:color w:val="000000" w:themeColor="text1"/>
                <w:sz w:val="15"/>
                <w:szCs w:val="15"/>
                <w:u w:val="none"/>
                <w14:textFill>
                  <w14:solidFill>
                    <w14:schemeClr w14:val="tx1"/>
                  </w14:solidFill>
                </w14:textFill>
              </w:rPr>
              <w:t>（本列数据的勾稽关系为：第一项加第二项之和，等于第三项加第四项之和）</w:t>
            </w:r>
          </w:p>
        </w:tc>
        <w:tc>
          <w:tcPr>
            <w:tcW w:w="3852" w:type="dxa"/>
            <w:gridSpan w:val="7"/>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55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自然人</w:t>
            </w:r>
          </w:p>
        </w:tc>
        <w:tc>
          <w:tcPr>
            <w:tcW w:w="2748" w:type="dxa"/>
            <w:gridSpan w:val="5"/>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法人或其他组织</w:t>
            </w:r>
          </w:p>
        </w:tc>
        <w:tc>
          <w:tcPr>
            <w:tcW w:w="55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55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jc w:val="cente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商业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企业</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科研</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机构</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社会公益组织</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法律服务机构</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其他</w:t>
            </w:r>
          </w:p>
        </w:tc>
        <w:tc>
          <w:tcPr>
            <w:tcW w:w="55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jc w:val="center"/>
              <w:rPr>
                <w:rFonts w:hint="eastAsia" w:ascii="微软雅黑" w:hAnsi="微软雅黑" w:eastAsia="微软雅黑" w:cs="微软雅黑"/>
                <w:color w:val="000000" w:themeColor="text1"/>
                <w:sz w:val="24"/>
                <w:szCs w:val="24"/>
                <w:u w:val="none"/>
                <w14:textFill>
                  <w14:solidFill>
                    <w14:schemeClr w14:val="tx1"/>
                  </w14:solidFill>
                </w14:textFill>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一、本年新收政府信息公开申请数量</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lang w:eastAsia="zh-CN"/>
                <w14:textFill>
                  <w14:solidFill>
                    <w14:schemeClr w14:val="tx1"/>
                  </w14:solidFill>
                </w14:textFill>
              </w:rPr>
            </w:pPr>
            <w:r>
              <w:rPr>
                <w:rFonts w:hint="eastAsia" w:ascii="Times New Roman" w:hAnsi="Times New Roman" w:cs="Times New Roman"/>
                <w:color w:val="000000" w:themeColor="text1"/>
                <w:sz w:val="16"/>
                <w:szCs w:val="16"/>
                <w:u w:val="none"/>
                <w:lang w:val="en-US" w:eastAsia="zh-CN"/>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lang w:eastAsia="zh-CN"/>
                <w14:textFill>
                  <w14:solidFill>
                    <w14:schemeClr w14:val="tx1"/>
                  </w14:solidFill>
                </w14:textFill>
              </w:rPr>
            </w:pPr>
            <w:r>
              <w:rPr>
                <w:rFonts w:hint="eastAsia" w:ascii="Times New Roman" w:hAnsi="Times New Roman" w:cs="Times New Roman"/>
                <w:color w:val="000000" w:themeColor="text1"/>
                <w:sz w:val="16"/>
                <w:szCs w:val="16"/>
                <w:u w:val="none"/>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二、上年结转政府信息公开申请数量</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三、本年度办理结果</w:t>
            </w: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（一）予以公开</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lang w:eastAsia="zh-CN"/>
                <w14:textFill>
                  <w14:solidFill>
                    <w14:schemeClr w14:val="tx1"/>
                  </w14:solidFill>
                </w14:textFill>
              </w:rPr>
            </w:pPr>
            <w:r>
              <w:rPr>
                <w:rFonts w:hint="eastAsia" w:ascii="Times New Roman" w:hAnsi="Times New Roman" w:cs="Times New Roman"/>
                <w:color w:val="000000" w:themeColor="text1"/>
                <w:sz w:val="16"/>
                <w:szCs w:val="16"/>
                <w:u w:val="none"/>
                <w:lang w:val="en-US" w:eastAsia="zh-CN"/>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lang w:eastAsia="zh-CN"/>
                <w14:textFill>
                  <w14:solidFill>
                    <w14:schemeClr w14:val="tx1"/>
                  </w14:solidFill>
                </w14:textFill>
              </w:rPr>
            </w:pPr>
            <w:r>
              <w:rPr>
                <w:rFonts w:hint="eastAsia" w:ascii="Times New Roman" w:hAnsi="Times New Roman" w:cs="Times New Roman"/>
                <w:color w:val="000000" w:themeColor="text1"/>
                <w:sz w:val="16"/>
                <w:szCs w:val="16"/>
                <w:u w:val="none"/>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（二）部分公开</w:t>
            </w:r>
            <w:r>
              <w:rPr>
                <w:rFonts w:hint="eastAsia" w:ascii="楷体" w:hAnsi="楷体" w:eastAsia="楷体" w:cs="楷体"/>
                <w:color w:val="000000" w:themeColor="text1"/>
                <w:sz w:val="15"/>
                <w:szCs w:val="15"/>
                <w:u w:val="none"/>
                <w14:textFill>
                  <w14:solidFill>
                    <w14:schemeClr w14:val="tx1"/>
                  </w14:solidFill>
                </w14:textFill>
              </w:rPr>
              <w:t>（区分处理的，只计这一情形，不计其他情形）</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（三）不予公开</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1.属于国家秘密</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2.其他法律行政法规禁止公开</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3.危及“三安全一稳定”</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4.保护第三方合法权益</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5.属于三类内部事务信息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6.属于四类过程性信息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7.属于行政执法案卷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8.属于行政查询事项</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（四）无法提供</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1.本机关不掌握相关政府信息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2.没有现成信息需要另行制作</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3.补正后申请内容仍不明确</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（五）不予处理</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1.信访举报投诉类申请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2.重复申请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3.要求提供公开出版物</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4.无正当理由大量反复申请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24" w:hRule="atLeast"/>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5.要求行政机关确认或重新出具已获取信息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（六）其他处理</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1.申请人无正当理由逾期不补正、行政机关不再处理其政府信息公开申请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2.申请人逾期未按收费通知要求缴纳费用、行政机关不再处理其政府信息公开申请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3.其他</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（七）总计</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lang w:eastAsia="zh-CN"/>
                <w14:textFill>
                  <w14:solidFill>
                    <w14:schemeClr w14:val="tx1"/>
                  </w14:solidFill>
                </w14:textFill>
              </w:rPr>
            </w:pPr>
            <w:r>
              <w:rPr>
                <w:rFonts w:hint="eastAsia" w:ascii="Times New Roman" w:hAnsi="Times New Roman" w:cs="Times New Roman"/>
                <w:color w:val="000000" w:themeColor="text1"/>
                <w:sz w:val="16"/>
                <w:szCs w:val="16"/>
                <w:u w:val="none"/>
                <w:lang w:val="en-US" w:eastAsia="zh-CN"/>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lang w:eastAsia="zh-CN"/>
                <w14:textFill>
                  <w14:solidFill>
                    <w14:schemeClr w14:val="tx1"/>
                  </w14:solidFill>
                </w14:textFill>
              </w:rPr>
            </w:pPr>
            <w:r>
              <w:rPr>
                <w:rFonts w:hint="eastAsia" w:ascii="Times New Roman" w:hAnsi="Times New Roman" w:cs="Times New Roman"/>
                <w:color w:val="000000" w:themeColor="text1"/>
                <w:sz w:val="16"/>
                <w:szCs w:val="16"/>
                <w:u w:val="none"/>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四、结转下年度继续办理</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default" w:ascii="Times New Roman" w:hAnsi="Times New Roman" w:eastAsia="宋体" w:cs="Times New Roman"/>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9"/>
                <w:szCs w:val="19"/>
                <w:u w:val="none"/>
                <w14:textFill>
                  <w14:solidFill>
                    <w14:schemeClr w14:val="tx1"/>
                  </w14:solidFill>
                </w14:textFill>
              </w:rPr>
              <w:t>0</w:t>
            </w:r>
          </w:p>
        </w:tc>
      </w:tr>
    </w:tbl>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themeColor="text1"/>
          <w:spacing w:val="0"/>
          <w:sz w:val="16"/>
          <w:szCs w:val="16"/>
          <w:u w:val="none"/>
          <w14:textFill>
            <w14:solidFill>
              <w14:schemeClr w14:val="tx1"/>
            </w14:solidFill>
          </w14:textFill>
        </w:rPr>
      </w:pPr>
      <w:r>
        <w:rPr>
          <w:rFonts w:hint="eastAsia" w:ascii="宋体" w:hAnsi="宋体" w:eastAsia="宋体" w:cs="宋体"/>
          <w:i w:val="0"/>
          <w:iCs w:val="0"/>
          <w:caps w:val="0"/>
          <w:color w:val="000000" w:themeColor="text1"/>
          <w:spacing w:val="0"/>
          <w:sz w:val="19"/>
          <w:szCs w:val="19"/>
          <w:u w:val="none"/>
          <w:shd w:val="clear" w:fill="FFFFFF"/>
          <w14:textFill>
            <w14:solidFill>
              <w14:schemeClr w14:val="tx1"/>
            </w14:solidFill>
          </w14:textFill>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0"/>
        <w:jc w:val="both"/>
        <w:rPr>
          <w:rFonts w:hint="eastAsia" w:ascii="微软雅黑" w:hAnsi="微软雅黑" w:eastAsia="微软雅黑" w:cs="微软雅黑"/>
          <w:i w:val="0"/>
          <w:iCs w:val="0"/>
          <w:caps w:val="0"/>
          <w:color w:val="000000" w:themeColor="text1"/>
          <w:spacing w:val="0"/>
          <w:sz w:val="18"/>
          <w:szCs w:val="18"/>
          <w:u w:val="none"/>
          <w14:textFill>
            <w14:solidFill>
              <w14:schemeClr w14:val="tx1"/>
            </w14:solidFill>
          </w14:textFill>
        </w:rPr>
      </w:pPr>
      <w:r>
        <w:rPr>
          <w:rFonts w:hint="eastAsia" w:ascii="黑体" w:hAnsi="宋体" w:eastAsia="黑体" w:cs="黑体"/>
          <w:i w:val="0"/>
          <w:iCs w:val="0"/>
          <w:caps w:val="0"/>
          <w:color w:val="000000" w:themeColor="text1"/>
          <w:spacing w:val="0"/>
          <w:sz w:val="25"/>
          <w:szCs w:val="25"/>
          <w:u w:val="none"/>
          <w:shd w:val="clear" w:fill="FFFFFF"/>
          <w14:textFill>
            <w14:solidFill>
              <w14:schemeClr w14:val="tx1"/>
            </w14:solidFill>
          </w14:textFill>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黑体" w:hAnsi="黑体" w:eastAsia="黑体" w:cs="黑体"/>
          <w:b/>
          <w:bCs/>
          <w:color w:val="000000" w:themeColor="text1"/>
          <w:spacing w:val="0"/>
          <w:w w:val="100"/>
          <w:kern w:val="0"/>
          <w:position w:val="0"/>
          <w:sz w:val="32"/>
          <w:szCs w:val="32"/>
          <w:shd w:val="clear" w:color="auto" w:fill="auto"/>
          <w:lang w:val="en-US" w:eastAsia="zh-CN" w:bidi="en-US"/>
          <w14:textFill>
            <w14:solidFill>
              <w14:schemeClr w14:val="tx1"/>
            </w14:solidFill>
          </w14:textFill>
        </w:rPr>
      </w:pPr>
      <w:r>
        <w:rPr>
          <w:rFonts w:hint="eastAsia" w:ascii="黑体" w:hAnsi="黑体" w:eastAsia="黑体" w:cs="黑体"/>
          <w:b/>
          <w:bCs/>
          <w:color w:val="000000" w:themeColor="text1"/>
          <w:spacing w:val="0"/>
          <w:w w:val="100"/>
          <w:kern w:val="0"/>
          <w:position w:val="0"/>
          <w:sz w:val="32"/>
          <w:szCs w:val="32"/>
          <w:shd w:val="clear" w:color="auto" w:fill="auto"/>
          <w:lang w:val="en-US" w:eastAsia="zh-CN" w:bidi="en-US"/>
          <w14:textFill>
            <w14:solidFill>
              <w14:schemeClr w14:val="tx1"/>
            </w14:solidFill>
          </w14:textFill>
        </w:rPr>
        <w:t>四、政府信息公开行政复议、行政诉讼情况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336"/>
        <w:jc w:val="both"/>
        <w:rPr>
          <w:rFonts w:hint="eastAsia" w:ascii="微软雅黑" w:hAnsi="微软雅黑" w:eastAsia="微软雅黑" w:cs="微软雅黑"/>
          <w:i w:val="0"/>
          <w:iCs w:val="0"/>
          <w:caps w:val="0"/>
          <w:color w:val="000000" w:themeColor="text1"/>
          <w:spacing w:val="0"/>
          <w:sz w:val="18"/>
          <w:szCs w:val="18"/>
          <w:u w:val="none"/>
          <w14:textFill>
            <w14:solidFill>
              <w14:schemeClr w14:val="tx1"/>
            </w14:solidFill>
          </w14:textFill>
        </w:rPr>
      </w:pPr>
    </w:p>
    <w:tbl>
      <w:tblPr>
        <w:tblStyle w:val="7"/>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6"/>
        <w:gridCol w:w="516"/>
        <w:gridCol w:w="516"/>
        <w:gridCol w:w="516"/>
        <w:gridCol w:w="528"/>
        <w:gridCol w:w="516"/>
        <w:gridCol w:w="516"/>
        <w:gridCol w:w="516"/>
        <w:gridCol w:w="516"/>
        <w:gridCol w:w="540"/>
        <w:gridCol w:w="516"/>
        <w:gridCol w:w="516"/>
        <w:gridCol w:w="516"/>
        <w:gridCol w:w="516"/>
        <w:gridCol w:w="5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2592" w:type="dxa"/>
            <w:gridSpan w:val="5"/>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行政复议</w:t>
            </w:r>
          </w:p>
        </w:tc>
        <w:tc>
          <w:tcPr>
            <w:tcW w:w="5208" w:type="dxa"/>
            <w:gridSpan w:val="10"/>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16" w:type="dxa"/>
            <w:vMerge w:val="restart"/>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结果维持</w:t>
            </w:r>
          </w:p>
        </w:tc>
        <w:tc>
          <w:tcPr>
            <w:tcW w:w="516" w:type="dxa"/>
            <w:vMerge w:val="restart"/>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结果</w:t>
            </w:r>
            <w:r>
              <w:rPr>
                <w:rFonts w:hint="eastAsia" w:ascii="微软雅黑" w:hAnsi="微软雅黑" w:eastAsia="微软雅黑" w:cs="微软雅黑"/>
                <w:color w:val="000000" w:themeColor="text1"/>
                <w:sz w:val="15"/>
                <w:szCs w:val="15"/>
                <w:u w:val="none"/>
                <w14:textFill>
                  <w14:solidFill>
                    <w14:schemeClr w14:val="tx1"/>
                  </w14:solidFill>
                </w14:textFill>
              </w:rPr>
              <w:br w:type="textWrapping"/>
            </w:r>
            <w:r>
              <w:rPr>
                <w:rFonts w:hint="eastAsia" w:ascii="宋体" w:hAnsi="宋体" w:eastAsia="宋体" w:cs="宋体"/>
                <w:color w:val="000000" w:themeColor="text1"/>
                <w:sz w:val="15"/>
                <w:szCs w:val="15"/>
                <w:u w:val="none"/>
                <w14:textFill>
                  <w14:solidFill>
                    <w14:schemeClr w14:val="tx1"/>
                  </w14:solidFill>
                </w14:textFill>
              </w:rPr>
              <w:t>纠正</w:t>
            </w:r>
          </w:p>
        </w:tc>
        <w:tc>
          <w:tcPr>
            <w:tcW w:w="516" w:type="dxa"/>
            <w:vMerge w:val="restart"/>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其他</w:t>
            </w:r>
            <w:r>
              <w:rPr>
                <w:rFonts w:hint="eastAsia" w:ascii="微软雅黑" w:hAnsi="微软雅黑" w:eastAsia="微软雅黑" w:cs="微软雅黑"/>
                <w:color w:val="000000" w:themeColor="text1"/>
                <w:sz w:val="15"/>
                <w:szCs w:val="15"/>
                <w:u w:val="none"/>
                <w14:textFill>
                  <w14:solidFill>
                    <w14:schemeClr w14:val="tx1"/>
                  </w14:solidFill>
                </w14:textFill>
              </w:rPr>
              <w:br w:type="textWrapping"/>
            </w:r>
            <w:r>
              <w:rPr>
                <w:rFonts w:hint="eastAsia" w:ascii="宋体" w:hAnsi="宋体" w:eastAsia="宋体" w:cs="宋体"/>
                <w:color w:val="000000" w:themeColor="text1"/>
                <w:sz w:val="15"/>
                <w:szCs w:val="15"/>
                <w:u w:val="none"/>
                <w14:textFill>
                  <w14:solidFill>
                    <w14:schemeClr w14:val="tx1"/>
                  </w14:solidFill>
                </w14:textFill>
              </w:rPr>
              <w:t>结果</w:t>
            </w:r>
          </w:p>
        </w:tc>
        <w:tc>
          <w:tcPr>
            <w:tcW w:w="516" w:type="dxa"/>
            <w:vMerge w:val="restart"/>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尚未</w:t>
            </w:r>
            <w:r>
              <w:rPr>
                <w:rFonts w:hint="eastAsia" w:ascii="微软雅黑" w:hAnsi="微软雅黑" w:eastAsia="微软雅黑" w:cs="微软雅黑"/>
                <w:color w:val="000000" w:themeColor="text1"/>
                <w:sz w:val="15"/>
                <w:szCs w:val="15"/>
                <w:u w:val="none"/>
                <w14:textFill>
                  <w14:solidFill>
                    <w14:schemeClr w14:val="tx1"/>
                  </w14:solidFill>
                </w14:textFill>
              </w:rPr>
              <w:br w:type="textWrapping"/>
            </w:r>
            <w:r>
              <w:rPr>
                <w:rFonts w:hint="eastAsia" w:ascii="宋体" w:hAnsi="宋体" w:eastAsia="宋体" w:cs="宋体"/>
                <w:color w:val="000000" w:themeColor="text1"/>
                <w:sz w:val="15"/>
                <w:szCs w:val="15"/>
                <w:u w:val="none"/>
                <w14:textFill>
                  <w14:solidFill>
                    <w14:schemeClr w14:val="tx1"/>
                  </w14:solidFill>
                </w14:textFill>
              </w:rPr>
              <w:t>审结</w:t>
            </w:r>
          </w:p>
        </w:tc>
        <w:tc>
          <w:tcPr>
            <w:tcW w:w="528" w:type="dxa"/>
            <w:vMerge w:val="restart"/>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总计</w:t>
            </w:r>
          </w:p>
        </w:tc>
        <w:tc>
          <w:tcPr>
            <w:tcW w:w="2604" w:type="dxa"/>
            <w:gridSpan w:val="5"/>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未经复议直接起诉</w:t>
            </w:r>
          </w:p>
        </w:tc>
        <w:tc>
          <w:tcPr>
            <w:tcW w:w="2604" w:type="dxa"/>
            <w:gridSpan w:val="5"/>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16" w:type="dxa"/>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516" w:type="dxa"/>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516" w:type="dxa"/>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516" w:type="dxa"/>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528" w:type="dxa"/>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000000" w:themeColor="text1"/>
                <w:sz w:val="24"/>
                <w:szCs w:val="24"/>
                <w:u w:val="none"/>
                <w14:textFill>
                  <w14:solidFill>
                    <w14:schemeClr w14:val="tx1"/>
                  </w14:solidFill>
                </w14:textFill>
              </w:rPr>
            </w:pP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结果</w:t>
            </w:r>
            <w:r>
              <w:rPr>
                <w:rFonts w:hint="eastAsia" w:ascii="微软雅黑" w:hAnsi="微软雅黑" w:eastAsia="微软雅黑" w:cs="微软雅黑"/>
                <w:color w:val="000000" w:themeColor="text1"/>
                <w:sz w:val="15"/>
                <w:szCs w:val="15"/>
                <w:u w:val="none"/>
                <w14:textFill>
                  <w14:solidFill>
                    <w14:schemeClr w14:val="tx1"/>
                  </w14:solidFill>
                </w14:textFill>
              </w:rPr>
              <w:br w:type="textWrapping"/>
            </w:r>
            <w:r>
              <w:rPr>
                <w:rFonts w:hint="eastAsia" w:ascii="宋体" w:hAnsi="宋体" w:eastAsia="宋体" w:cs="宋体"/>
                <w:color w:val="000000" w:themeColor="text1"/>
                <w:sz w:val="15"/>
                <w:szCs w:val="15"/>
                <w:u w:val="none"/>
                <w14:textFill>
                  <w14:solidFill>
                    <w14:schemeClr w14:val="tx1"/>
                  </w14:solidFill>
                </w14:textFill>
              </w:rPr>
              <w:t>维持</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结果</w:t>
            </w:r>
            <w:r>
              <w:rPr>
                <w:rFonts w:hint="eastAsia" w:ascii="微软雅黑" w:hAnsi="微软雅黑" w:eastAsia="微软雅黑" w:cs="微软雅黑"/>
                <w:color w:val="000000" w:themeColor="text1"/>
                <w:sz w:val="15"/>
                <w:szCs w:val="15"/>
                <w:u w:val="none"/>
                <w14:textFill>
                  <w14:solidFill>
                    <w14:schemeClr w14:val="tx1"/>
                  </w14:solidFill>
                </w14:textFill>
              </w:rPr>
              <w:br w:type="textWrapping"/>
            </w:r>
            <w:r>
              <w:rPr>
                <w:rFonts w:hint="eastAsia" w:ascii="宋体" w:hAnsi="宋体" w:eastAsia="宋体" w:cs="宋体"/>
                <w:color w:val="000000" w:themeColor="text1"/>
                <w:sz w:val="15"/>
                <w:szCs w:val="15"/>
                <w:u w:val="none"/>
                <w14:textFill>
                  <w14:solidFill>
                    <w14:schemeClr w14:val="tx1"/>
                  </w14:solidFill>
                </w14:textFill>
              </w:rPr>
              <w:t>纠正</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其他</w:t>
            </w:r>
            <w:r>
              <w:rPr>
                <w:rFonts w:hint="eastAsia" w:ascii="微软雅黑" w:hAnsi="微软雅黑" w:eastAsia="微软雅黑" w:cs="微软雅黑"/>
                <w:color w:val="000000" w:themeColor="text1"/>
                <w:sz w:val="15"/>
                <w:szCs w:val="15"/>
                <w:u w:val="none"/>
                <w14:textFill>
                  <w14:solidFill>
                    <w14:schemeClr w14:val="tx1"/>
                  </w14:solidFill>
                </w14:textFill>
              </w:rPr>
              <w:br w:type="textWrapping"/>
            </w:r>
            <w:r>
              <w:rPr>
                <w:rFonts w:hint="eastAsia" w:ascii="宋体" w:hAnsi="宋体" w:eastAsia="宋体" w:cs="宋体"/>
                <w:color w:val="000000" w:themeColor="text1"/>
                <w:sz w:val="15"/>
                <w:szCs w:val="15"/>
                <w:u w:val="none"/>
                <w14:textFill>
                  <w14:solidFill>
                    <w14:schemeClr w14:val="tx1"/>
                  </w14:solidFill>
                </w14:textFill>
              </w:rPr>
              <w:t>结果</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尚未</w:t>
            </w:r>
            <w:r>
              <w:rPr>
                <w:rFonts w:hint="eastAsia" w:ascii="微软雅黑" w:hAnsi="微软雅黑" w:eastAsia="微软雅黑" w:cs="微软雅黑"/>
                <w:color w:val="000000" w:themeColor="text1"/>
                <w:sz w:val="15"/>
                <w:szCs w:val="15"/>
                <w:u w:val="none"/>
                <w14:textFill>
                  <w14:solidFill>
                    <w14:schemeClr w14:val="tx1"/>
                  </w14:solidFill>
                </w14:textFill>
              </w:rPr>
              <w:br w:type="textWrapping"/>
            </w:r>
            <w:r>
              <w:rPr>
                <w:rFonts w:hint="eastAsia" w:ascii="宋体" w:hAnsi="宋体" w:eastAsia="宋体" w:cs="宋体"/>
                <w:color w:val="000000" w:themeColor="text1"/>
                <w:sz w:val="15"/>
                <w:szCs w:val="15"/>
                <w:u w:val="none"/>
                <w14:textFill>
                  <w14:solidFill>
                    <w14:schemeClr w14:val="tx1"/>
                  </w14:solidFill>
                </w14:textFill>
              </w:rPr>
              <w:t>审结</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总计</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结果</w:t>
            </w:r>
            <w:r>
              <w:rPr>
                <w:rFonts w:hint="eastAsia" w:ascii="微软雅黑" w:hAnsi="微软雅黑" w:eastAsia="微软雅黑" w:cs="微软雅黑"/>
                <w:color w:val="000000" w:themeColor="text1"/>
                <w:sz w:val="15"/>
                <w:szCs w:val="15"/>
                <w:u w:val="none"/>
                <w14:textFill>
                  <w14:solidFill>
                    <w14:schemeClr w14:val="tx1"/>
                  </w14:solidFill>
                </w14:textFill>
              </w:rPr>
              <w:br w:type="textWrapping"/>
            </w:r>
            <w:r>
              <w:rPr>
                <w:rFonts w:hint="eastAsia" w:ascii="宋体" w:hAnsi="宋体" w:eastAsia="宋体" w:cs="宋体"/>
                <w:color w:val="000000" w:themeColor="text1"/>
                <w:sz w:val="15"/>
                <w:szCs w:val="15"/>
                <w:u w:val="none"/>
                <w14:textFill>
                  <w14:solidFill>
                    <w14:schemeClr w14:val="tx1"/>
                  </w14:solidFill>
                </w14:textFill>
              </w:rPr>
              <w:t>维持</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结果</w:t>
            </w:r>
            <w:r>
              <w:rPr>
                <w:rFonts w:hint="eastAsia" w:ascii="微软雅黑" w:hAnsi="微软雅黑" w:eastAsia="微软雅黑" w:cs="微软雅黑"/>
                <w:color w:val="000000" w:themeColor="text1"/>
                <w:sz w:val="15"/>
                <w:szCs w:val="15"/>
                <w:u w:val="none"/>
                <w14:textFill>
                  <w14:solidFill>
                    <w14:schemeClr w14:val="tx1"/>
                  </w14:solidFill>
                </w14:textFill>
              </w:rPr>
              <w:br w:type="textWrapping"/>
            </w:r>
            <w:r>
              <w:rPr>
                <w:rFonts w:hint="eastAsia" w:ascii="宋体" w:hAnsi="宋体" w:eastAsia="宋体" w:cs="宋体"/>
                <w:color w:val="000000" w:themeColor="text1"/>
                <w:sz w:val="15"/>
                <w:szCs w:val="15"/>
                <w:u w:val="none"/>
                <w14:textFill>
                  <w14:solidFill>
                    <w14:schemeClr w14:val="tx1"/>
                  </w14:solidFill>
                </w14:textFill>
              </w:rPr>
              <w:t>纠正</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其他</w:t>
            </w:r>
            <w:r>
              <w:rPr>
                <w:rFonts w:hint="eastAsia" w:ascii="微软雅黑" w:hAnsi="微软雅黑" w:eastAsia="微软雅黑" w:cs="微软雅黑"/>
                <w:color w:val="000000" w:themeColor="text1"/>
                <w:sz w:val="15"/>
                <w:szCs w:val="15"/>
                <w:u w:val="none"/>
                <w14:textFill>
                  <w14:solidFill>
                    <w14:schemeClr w14:val="tx1"/>
                  </w14:solidFill>
                </w14:textFill>
              </w:rPr>
              <w:br w:type="textWrapping"/>
            </w:r>
            <w:r>
              <w:rPr>
                <w:rFonts w:hint="eastAsia" w:ascii="宋体" w:hAnsi="宋体" w:eastAsia="宋体" w:cs="宋体"/>
                <w:color w:val="000000" w:themeColor="text1"/>
                <w:sz w:val="15"/>
                <w:szCs w:val="15"/>
                <w:u w:val="none"/>
                <w14:textFill>
                  <w14:solidFill>
                    <w14:schemeClr w14:val="tx1"/>
                  </w14:solidFill>
                </w14:textFill>
              </w:rPr>
              <w:t>结果</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尚未</w:t>
            </w:r>
            <w:r>
              <w:rPr>
                <w:rFonts w:hint="eastAsia" w:ascii="微软雅黑" w:hAnsi="微软雅黑" w:eastAsia="微软雅黑" w:cs="微软雅黑"/>
                <w:color w:val="000000" w:themeColor="text1"/>
                <w:sz w:val="15"/>
                <w:szCs w:val="15"/>
                <w:u w:val="none"/>
                <w14:textFill>
                  <w14:solidFill>
                    <w14:schemeClr w14:val="tx1"/>
                  </w14:solidFill>
                </w14:textFill>
              </w:rPr>
              <w:br w:type="textWrapping"/>
            </w:r>
            <w:r>
              <w:rPr>
                <w:rFonts w:hint="eastAsia" w:ascii="宋体" w:hAnsi="宋体" w:eastAsia="宋体" w:cs="宋体"/>
                <w:color w:val="000000" w:themeColor="text1"/>
                <w:sz w:val="15"/>
                <w:szCs w:val="15"/>
                <w:u w:val="none"/>
                <w14:textFill>
                  <w14:solidFill>
                    <w14:schemeClr w14:val="tx1"/>
                  </w14:solidFill>
                </w14:textFill>
              </w:rPr>
              <w:t>审结</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eastAsia="宋体" w:cs="宋体"/>
                <w:color w:val="000000" w:themeColor="text1"/>
                <w:sz w:val="15"/>
                <w:szCs w:val="15"/>
                <w:u w:val="none"/>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0" w:hRule="atLeast"/>
          <w:tblCellSpacing w:w="0" w:type="dxa"/>
          <w:jc w:val="center"/>
        </w:trPr>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cs="宋体"/>
                <w:color w:val="000000" w:themeColor="text1"/>
                <w:sz w:val="15"/>
                <w:szCs w:val="15"/>
                <w:u w:val="none"/>
                <w:lang w:val="en-US" w:eastAsia="zh-CN"/>
                <w14:textFill>
                  <w14:solidFill>
                    <w14:schemeClr w14:val="tx1"/>
                  </w14:solidFill>
                </w14:textFill>
              </w:rPr>
              <w:t>0</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cs="宋体"/>
                <w:color w:val="000000" w:themeColor="text1"/>
                <w:sz w:val="15"/>
                <w:szCs w:val="15"/>
                <w:u w:val="none"/>
                <w:lang w:val="en-US" w:eastAsia="zh-CN"/>
                <w14:textFill>
                  <w14:solidFill>
                    <w14:schemeClr w14:val="tx1"/>
                  </w14:solidFill>
                </w14:textFill>
              </w:rPr>
              <w:t>0</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cs="宋体"/>
                <w:color w:val="000000" w:themeColor="text1"/>
                <w:sz w:val="15"/>
                <w:szCs w:val="15"/>
                <w:u w:val="none"/>
                <w:lang w:val="en-US" w:eastAsia="zh-CN"/>
                <w14:textFill>
                  <w14:solidFill>
                    <w14:schemeClr w14:val="tx1"/>
                  </w14:solidFill>
                </w14:textFill>
              </w:rPr>
              <w:t>0</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cs="宋体"/>
                <w:color w:val="000000" w:themeColor="text1"/>
                <w:sz w:val="15"/>
                <w:szCs w:val="15"/>
                <w:u w:val="none"/>
                <w:lang w:val="en-US" w:eastAsia="zh-CN"/>
                <w14:textFill>
                  <w14:solidFill>
                    <w14:schemeClr w14:val="tx1"/>
                  </w14:solidFill>
                </w14:textFill>
              </w:rPr>
              <w:t>0</w:t>
            </w:r>
          </w:p>
        </w:tc>
        <w:tc>
          <w:tcPr>
            <w:tcW w:w="52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cs="宋体"/>
                <w:color w:val="000000" w:themeColor="text1"/>
                <w:sz w:val="15"/>
                <w:szCs w:val="15"/>
                <w:u w:val="none"/>
                <w:lang w:val="en-US" w:eastAsia="zh-CN"/>
                <w14:textFill>
                  <w14:solidFill>
                    <w14:schemeClr w14:val="tx1"/>
                  </w14:solidFill>
                </w14:textFill>
              </w:rPr>
              <w:t>0</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cs="宋体"/>
                <w:color w:val="000000" w:themeColor="text1"/>
                <w:sz w:val="15"/>
                <w:szCs w:val="15"/>
                <w:u w:val="none"/>
                <w:lang w:val="en-US" w:eastAsia="zh-CN"/>
                <w14:textFill>
                  <w14:solidFill>
                    <w14:schemeClr w14:val="tx1"/>
                  </w14:solidFill>
                </w14:textFill>
              </w:rPr>
              <w:t>0</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cs="宋体"/>
                <w:color w:val="000000" w:themeColor="text1"/>
                <w:sz w:val="15"/>
                <w:szCs w:val="15"/>
                <w:u w:val="none"/>
                <w:lang w:val="en-US" w:eastAsia="zh-CN"/>
                <w14:textFill>
                  <w14:solidFill>
                    <w14:schemeClr w14:val="tx1"/>
                  </w14:solidFill>
                </w14:textFill>
              </w:rPr>
              <w:t>0</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cs="宋体"/>
                <w:color w:val="000000" w:themeColor="text1"/>
                <w:sz w:val="15"/>
                <w:szCs w:val="15"/>
                <w:u w:val="none"/>
                <w:lang w:val="en-US" w:eastAsia="zh-CN"/>
                <w14:textFill>
                  <w14:solidFill>
                    <w14:schemeClr w14:val="tx1"/>
                  </w14:solidFill>
                </w14:textFill>
              </w:rPr>
              <w:t>0</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cs="宋体"/>
                <w:color w:val="000000" w:themeColor="text1"/>
                <w:sz w:val="15"/>
                <w:szCs w:val="15"/>
                <w:u w:val="none"/>
                <w:lang w:val="en-US" w:eastAsia="zh-CN"/>
                <w14:textFill>
                  <w14:solidFill>
                    <w14:schemeClr w14:val="tx1"/>
                  </w14:solidFill>
                </w14:textFill>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lang w:val="en-US" w:eastAsia="zh-CN"/>
                <w14:textFill>
                  <w14:solidFill>
                    <w14:schemeClr w14:val="tx1"/>
                  </w14:solidFill>
                </w14:textFill>
              </w:rPr>
            </w:pPr>
            <w:r>
              <w:rPr>
                <w:rFonts w:hint="eastAsia" w:ascii="宋体" w:hAnsi="宋体" w:cs="宋体"/>
                <w:color w:val="000000" w:themeColor="text1"/>
                <w:sz w:val="15"/>
                <w:szCs w:val="15"/>
                <w:u w:val="none"/>
                <w:lang w:val="en-US" w:eastAsia="zh-CN"/>
                <w14:textFill>
                  <w14:solidFill>
                    <w14:schemeClr w14:val="tx1"/>
                  </w14:solidFill>
                </w14:textFill>
              </w:rPr>
              <w:t>0</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cs="宋体"/>
                <w:color w:val="000000" w:themeColor="text1"/>
                <w:sz w:val="15"/>
                <w:szCs w:val="15"/>
                <w:u w:val="none"/>
                <w:lang w:val="en-US" w:eastAsia="zh-CN"/>
                <w14:textFill>
                  <w14:solidFill>
                    <w14:schemeClr w14:val="tx1"/>
                  </w14:solidFill>
                </w14:textFill>
              </w:rPr>
              <w:t>0</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cs="宋体"/>
                <w:color w:val="000000" w:themeColor="text1"/>
                <w:sz w:val="15"/>
                <w:szCs w:val="15"/>
                <w:u w:val="none"/>
                <w:lang w:val="en-US" w:eastAsia="zh-CN"/>
                <w14:textFill>
                  <w14:solidFill>
                    <w14:schemeClr w14:val="tx1"/>
                  </w14:solidFill>
                </w14:textFill>
              </w:rPr>
              <w:t>0</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cs="宋体"/>
                <w:color w:val="000000" w:themeColor="text1"/>
                <w:sz w:val="15"/>
                <w:szCs w:val="15"/>
                <w:u w:val="none"/>
                <w:lang w:val="en-US" w:eastAsia="zh-CN"/>
                <w14:textFill>
                  <w14:solidFill>
                    <w14:schemeClr w14:val="tx1"/>
                  </w14:solidFill>
                </w14:textFill>
              </w:rPr>
              <w:t>0</w:t>
            </w:r>
          </w:p>
        </w:tc>
        <w:tc>
          <w:tcPr>
            <w:tcW w:w="516"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cs="宋体"/>
                <w:color w:val="000000" w:themeColor="text1"/>
                <w:sz w:val="15"/>
                <w:szCs w:val="15"/>
                <w:u w:val="none"/>
                <w:lang w:val="en-US" w:eastAsia="zh-CN"/>
                <w14:textFill>
                  <w14:solidFill>
                    <w14:schemeClr w14:val="tx1"/>
                  </w14:solidFill>
                </w14:textFill>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000000" w:themeColor="text1"/>
                <w:sz w:val="16"/>
                <w:szCs w:val="16"/>
                <w:u w:val="none"/>
                <w14:textFill>
                  <w14:solidFill>
                    <w14:schemeClr w14:val="tx1"/>
                  </w14:solidFill>
                </w14:textFill>
              </w:rPr>
            </w:pPr>
            <w:r>
              <w:rPr>
                <w:rFonts w:hint="eastAsia" w:ascii="宋体" w:hAnsi="宋体" w:cs="宋体"/>
                <w:color w:val="000000" w:themeColor="text1"/>
                <w:sz w:val="15"/>
                <w:szCs w:val="15"/>
                <w:u w:val="none"/>
                <w:lang w:val="en-US" w:eastAsia="zh-CN"/>
                <w14:textFill>
                  <w14:solidFill>
                    <w14:schemeClr w14:val="tx1"/>
                  </w14:solidFill>
                </w14:textFill>
              </w:rPr>
              <w:t>0</w:t>
            </w:r>
          </w:p>
        </w:tc>
      </w:tr>
    </w:tbl>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rightChars="0" w:firstLine="643" w:firstLineChars="200"/>
        <w:jc w:val="both"/>
        <w:textAlignment w:val="baseline"/>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b/>
          <w:bCs/>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存在的主要问题及改进情况</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rightChars="0" w:firstLine="640" w:firstLineChars="200"/>
        <w:jc w:val="both"/>
        <w:textAlignment w:val="baseline"/>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楷体_GB2312" w:hAnsi="楷体_GB2312" w:eastAsia="楷体_GB2312" w:cs="楷体_GB2312"/>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存在的问题。</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年，我局政</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府</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信息公开工作机制需进一步完善</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关于信息公开等内容的政策法规培训相对偏少、公开渠道多样化有待拓宽。</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rightChars="0" w:firstLine="640" w:firstLineChars="200"/>
        <w:jc w:val="both"/>
        <w:textAlignment w:val="baseline"/>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pPr>
      <w:r>
        <w:rPr>
          <w:rFonts w:hint="eastAsia" w:ascii="楷体_GB2312" w:hAnsi="楷体_GB2312" w:eastAsia="楷体_GB2312" w:cs="楷体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楷体_GB2312" w:hAnsi="楷体_GB2312" w:eastAsia="楷体_GB2312" w:cs="楷体_GB2312"/>
          <w:i w:val="0"/>
          <w:iCs w:val="0"/>
          <w:caps w:val="0"/>
          <w:color w:val="000000" w:themeColor="text1"/>
          <w:spacing w:val="0"/>
          <w:sz w:val="32"/>
          <w:szCs w:val="32"/>
          <w:shd w:val="clear" w:fill="FFFFFF"/>
          <w:lang w:val="en-US" w:eastAsia="zh-CN"/>
          <w14:textFill>
            <w14:solidFill>
              <w14:schemeClr w14:val="tx1"/>
            </w14:solidFill>
          </w14:textFill>
        </w:rPr>
        <w:t>二</w:t>
      </w:r>
      <w:r>
        <w:rPr>
          <w:rFonts w:hint="eastAsia" w:ascii="楷体_GB2312" w:hAnsi="楷体_GB2312" w:eastAsia="楷体_GB2312" w:cs="楷体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楷体_GB2312" w:hAnsi="楷体_GB2312" w:eastAsia="楷体_GB2312" w:cs="楷体_GB2312"/>
          <w:i w:val="0"/>
          <w:iCs w:val="0"/>
          <w:caps w:val="0"/>
          <w:color w:val="000000" w:themeColor="text1"/>
          <w:spacing w:val="0"/>
          <w:sz w:val="32"/>
          <w:szCs w:val="32"/>
          <w:shd w:val="clear" w:fill="FFFFFF"/>
          <w:lang w:val="en-US" w:eastAsia="zh-CN"/>
          <w14:textFill>
            <w14:solidFill>
              <w14:schemeClr w14:val="tx1"/>
            </w14:solidFill>
          </w14:textFill>
        </w:rPr>
        <w:t>改进情况。</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一是完善工作机制，进一步强化对信息公开工作的领导，明确工作责任，分工协作。扎实做好政务公开工作，不断完善信息公开制度，进一步明确公开内容，对公开时限进行明确规定，形成良好的运行机制。二是进一步强化宣传，结合工作实际，通过组织各类培训，提升信息公开意识</w:t>
      </w:r>
      <w:r>
        <w:rPr>
          <w:rFonts w:hint="eastAsia" w:ascii="仿宋_GB2312" w:hAnsi="仿宋_GB2312" w:eastAsia="仿宋_GB2312" w:cs="仿宋_GB2312"/>
          <w:i w:val="0"/>
          <w:iCs w:val="0"/>
          <w:caps w:val="0"/>
          <w:color w:val="000000" w:themeColor="text1"/>
          <w:spacing w:val="0"/>
          <w:sz w:val="32"/>
          <w:szCs w:val="32"/>
          <w:u w:val="none"/>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工作质量和服务水平。同时，加大宣传力度，让广大群众和服务对象关注公开情况、监督公开情况。</w:t>
      </w:r>
    </w:p>
    <w:p>
      <w:pPr>
        <w:pStyle w:val="2"/>
        <w:rPr>
          <w:rFonts w:hint="default" w:eastAsia="微软雅黑"/>
          <w:color w:val="000000" w:themeColor="text1"/>
          <w:lang w:val="en-US" w:eastAsia="zh-CN"/>
          <w14:textFill>
            <w14:solidFill>
              <w14:schemeClr w14:val="tx1"/>
            </w14:solidFill>
          </w14:textFill>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黑体" w:hAnsi="黑体" w:eastAsia="黑体" w:cs="黑体"/>
          <w:b/>
          <w:bCs/>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b/>
          <w:bCs/>
          <w:i w:val="0"/>
          <w:iCs w:val="0"/>
          <w:caps w:val="0"/>
          <w:color w:val="000000" w:themeColor="text1"/>
          <w:spacing w:val="0"/>
          <w:kern w:val="0"/>
          <w:sz w:val="32"/>
          <w:szCs w:val="32"/>
          <w:shd w:val="clear" w:fill="FFFFFF"/>
          <w:lang w:val="en-US" w:eastAsia="zh-CN" w:bidi="ar"/>
          <w14:textFill>
            <w14:solidFill>
              <w14:schemeClr w14:val="tx1"/>
            </w14:solidFill>
          </w14:textFill>
        </w:rPr>
        <w:t>六、其他需要报告的事项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根据</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《政府信息公开信息处理费管理办法》</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规定，本年度未收取任何信息处理费。无其他报告事项。</w:t>
      </w:r>
    </w:p>
    <w:p>
      <w:pPr>
        <w:pStyle w:val="5"/>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5"/>
        <w:rPr>
          <w:color w:val="000000" w:themeColor="text1"/>
          <w14:textFill>
            <w14:solidFill>
              <w14:schemeClr w14:val="tx1"/>
            </w14:solidFill>
          </w14:textFill>
        </w:rPr>
      </w:pPr>
    </w:p>
    <w:p>
      <w:pPr>
        <w:ind w:firstLine="4480" w:firstLineChars="1400"/>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乌拉特前旗</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政务服务局</w:t>
      </w:r>
    </w:p>
    <w:p>
      <w:pPr>
        <w:pStyle w:val="5"/>
        <w:ind w:firstLine="4480" w:firstLineChars="14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2024年1月10日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800002BF" w:usb1="184F6CF8" w:usb2="00000012" w:usb3="00000000" w:csb0="00160001" w:csb1="1203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00BCCC"/>
    <w:multiLevelType w:val="singleLevel"/>
    <w:tmpl w:val="FF00BCCC"/>
    <w:lvl w:ilvl="0" w:tentative="0">
      <w:start w:val="5"/>
      <w:numFmt w:val="chineseCounting"/>
      <w:suff w:val="nothing"/>
      <w:lvlText w:val="%1、"/>
      <w:lvlJc w:val="left"/>
      <w:rPr>
        <w:rFonts w:hint="eastAsia"/>
      </w:rPr>
    </w:lvl>
  </w:abstractNum>
  <w:abstractNum w:abstractNumId="1">
    <w:nsid w:val="253EA5B7"/>
    <w:multiLevelType w:val="singleLevel"/>
    <w:tmpl w:val="253EA5B7"/>
    <w:lvl w:ilvl="0" w:tentative="0">
      <w:start w:val="1"/>
      <w:numFmt w:val="chineseCounting"/>
      <w:suff w:val="nothing"/>
      <w:lvlText w:val="（%1）"/>
      <w:lvlJc w:val="left"/>
      <w:rPr>
        <w:rFonts w:hint="eastAsia"/>
      </w:rPr>
    </w:lvl>
  </w:abstractNum>
  <w:abstractNum w:abstractNumId="2">
    <w:nsid w:val="63C7ECC8"/>
    <w:multiLevelType w:val="singleLevel"/>
    <w:tmpl w:val="63C7ECC8"/>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NzUzNWVmOTg1YjM4MmY3MzVlOTEzYzlmYTU5Y2MifQ=="/>
  </w:docVars>
  <w:rsids>
    <w:rsidRoot w:val="2AF17B93"/>
    <w:rsid w:val="005469B7"/>
    <w:rsid w:val="00973FB8"/>
    <w:rsid w:val="01A050EF"/>
    <w:rsid w:val="034675D0"/>
    <w:rsid w:val="040F3E66"/>
    <w:rsid w:val="04842AA6"/>
    <w:rsid w:val="05095936"/>
    <w:rsid w:val="06C4362D"/>
    <w:rsid w:val="0768045D"/>
    <w:rsid w:val="0869448C"/>
    <w:rsid w:val="093E76C7"/>
    <w:rsid w:val="0AB435D3"/>
    <w:rsid w:val="0E625C06"/>
    <w:rsid w:val="0F0C3DC3"/>
    <w:rsid w:val="113F222E"/>
    <w:rsid w:val="117143B2"/>
    <w:rsid w:val="11D706B9"/>
    <w:rsid w:val="14681A9C"/>
    <w:rsid w:val="15A9236C"/>
    <w:rsid w:val="16493207"/>
    <w:rsid w:val="17DD454F"/>
    <w:rsid w:val="192D6E10"/>
    <w:rsid w:val="19597C05"/>
    <w:rsid w:val="197B401F"/>
    <w:rsid w:val="1A3903DE"/>
    <w:rsid w:val="1ACD08AB"/>
    <w:rsid w:val="25493224"/>
    <w:rsid w:val="268A3AF4"/>
    <w:rsid w:val="27455C6D"/>
    <w:rsid w:val="2A24600D"/>
    <w:rsid w:val="2A693A20"/>
    <w:rsid w:val="2ABE5B1A"/>
    <w:rsid w:val="2AF17B93"/>
    <w:rsid w:val="2CCF04B2"/>
    <w:rsid w:val="2CED26E7"/>
    <w:rsid w:val="2F6F7D2B"/>
    <w:rsid w:val="2FAD0853"/>
    <w:rsid w:val="30A12166"/>
    <w:rsid w:val="31E83DC4"/>
    <w:rsid w:val="32791381"/>
    <w:rsid w:val="34164C19"/>
    <w:rsid w:val="357A4D33"/>
    <w:rsid w:val="370F3C38"/>
    <w:rsid w:val="3B07350D"/>
    <w:rsid w:val="3CB11983"/>
    <w:rsid w:val="3D69571D"/>
    <w:rsid w:val="3E4D56DB"/>
    <w:rsid w:val="3E990920"/>
    <w:rsid w:val="47F72214"/>
    <w:rsid w:val="481105CB"/>
    <w:rsid w:val="4ABF170F"/>
    <w:rsid w:val="4AD351BA"/>
    <w:rsid w:val="4AFD2237"/>
    <w:rsid w:val="4C3D6D8F"/>
    <w:rsid w:val="516923D4"/>
    <w:rsid w:val="52911BE2"/>
    <w:rsid w:val="52AF2D38"/>
    <w:rsid w:val="52CC5FCE"/>
    <w:rsid w:val="55B1434A"/>
    <w:rsid w:val="55D17AFB"/>
    <w:rsid w:val="56F3629C"/>
    <w:rsid w:val="571132F2"/>
    <w:rsid w:val="599B6EA3"/>
    <w:rsid w:val="5A272E2C"/>
    <w:rsid w:val="5A89319F"/>
    <w:rsid w:val="5D3E2967"/>
    <w:rsid w:val="600357A2"/>
    <w:rsid w:val="60EE1FAE"/>
    <w:rsid w:val="63B37E5A"/>
    <w:rsid w:val="63D062E3"/>
    <w:rsid w:val="63F518A5"/>
    <w:rsid w:val="65102E3B"/>
    <w:rsid w:val="65BF660F"/>
    <w:rsid w:val="661701F9"/>
    <w:rsid w:val="670C5884"/>
    <w:rsid w:val="67FA1B80"/>
    <w:rsid w:val="68531926"/>
    <w:rsid w:val="68F16ADF"/>
    <w:rsid w:val="6C027255"/>
    <w:rsid w:val="6EFA06B8"/>
    <w:rsid w:val="6FAF7B52"/>
    <w:rsid w:val="723839D1"/>
    <w:rsid w:val="756845CD"/>
    <w:rsid w:val="78570929"/>
    <w:rsid w:val="7A5275FA"/>
    <w:rsid w:val="7B9F23CB"/>
    <w:rsid w:val="7BE349AD"/>
    <w:rsid w:val="7C5C4760"/>
    <w:rsid w:val="7D274384"/>
    <w:rsid w:val="7F6C2F0C"/>
    <w:rsid w:val="7FBB79EF"/>
    <w:rsid w:val="7FD95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1"/>
    <w:qFormat/>
    <w:uiPriority w:val="0"/>
    <w:pPr>
      <w:ind w:firstLine="560" w:firstLineChars="200"/>
      <w:jc w:val="left"/>
    </w:pPr>
  </w:style>
  <w:style w:type="paragraph" w:styleId="4">
    <w:name w:val="toc 1"/>
    <w:basedOn w:val="1"/>
    <w:next w:val="1"/>
    <w:autoRedefine/>
    <w:qFormat/>
    <w:uiPriority w:val="0"/>
  </w:style>
  <w:style w:type="paragraph" w:styleId="5">
    <w:name w:val="toc 2"/>
    <w:basedOn w:val="1"/>
    <w:next w:val="1"/>
    <w:autoRedefine/>
    <w:qFormat/>
    <w:uiPriority w:val="0"/>
    <w:pPr>
      <w:spacing w:line="306" w:lineRule="auto"/>
      <w:ind w:left="419"/>
    </w:p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96</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2022-01-06T02:12:00Z</dcterms:created>
  <dc:creator>付洋</dc:creator>
  <cp:lastModifiedBy>演示人</cp:lastModifiedBy>
  <cp:lastPrinted>2024-01-16T09:57:00Z</cp:lastPrinted>
  <dcterms:modified xsi:type="dcterms:W3CDTF">2024-01-18T02:58:03Z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3CB39A4564344A40AC16117855A4DC34_13</vt:lpwstr>
  </property>
</Properties>
</file>