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乌拉特前旗</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eastAsia="zh-CN"/>
          <w14:textFill>
            <w14:solidFill>
              <w14:schemeClr w14:val="tx1"/>
            </w14:solidFill>
          </w14:textFill>
        </w:rPr>
        <w:t>乡村振兴局</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20</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23</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年政府信息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公开</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工作</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年度报告</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b/>
          <w:bCs/>
          <w:sz w:val="32"/>
          <w:szCs w:val="32"/>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本年度报告根据《中华人民共和国政府信息公开条例》（以下简称《条例》） </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《国务院办公厅政府信息与政务公开办公室关于印发&lt;中华人民共和国政府信息公开工作年度报告格式&gt;的通知》（国办公开办函〔2021〕30号）要求制作。</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本报告由总体情况，主动公开政府信息情况，收到和处理政府信息公开申请情况，政府信息公开行政复议、行政诉讼情况，存在的主要问题及改进情况以及其他需要报告的事项等部分组成。</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本年度报告中所列数据的统计期限为</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日起至</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31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日止</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sz w:val="32"/>
          <w:szCs w:val="32"/>
          <w:lang w:val="en-US" w:eastAsia="zh-CN"/>
        </w:rPr>
        <w:t>本报告电子版在乌拉特前旗人民政府网（http://www.wltqq.gov.cn）公开公布，欢迎查阅。如对本报告有疑问，可与乡村振兴局联系（电话：0478-3267869）。</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总体情况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202</w:t>
      </w: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lang w:eastAsia="zh-CN"/>
        </w:rPr>
        <w:t>年，乌拉特前旗乡村振兴局信息公开工作坚持以习近平新时代中国特色社会主义思想为指导，全面贯彻党的二十大精神，认真贯彻落实《中华人民共和国政府信息公开条例》和旗委、政府的要求，积极推进基层政务公开标准化规范化工作。现根据《中华人民共和国政府信息公开条例》要求，我局认真编制202</w:t>
      </w: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lang w:eastAsia="zh-CN"/>
        </w:rPr>
        <w:t>年政府信息公开工作年度报告。具体做法如下：</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楷体_GB2312" w:hAnsi="楷体_GB2312" w:eastAsia="楷体_GB2312" w:cs="楷体_GB2312"/>
          <w:b/>
          <w:bCs/>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2"/>
          <w:sz w:val="32"/>
          <w:szCs w:val="32"/>
          <w:shd w:val="clear" w:fill="FFFFFF"/>
          <w:lang w:val="en-US" w:eastAsia="zh-CN" w:bidi="ar-SA"/>
          <w14:textFill>
            <w14:solidFill>
              <w14:schemeClr w14:val="tx1"/>
            </w14:solidFill>
          </w14:textFill>
        </w:rPr>
        <w:t>主动公开情况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仿宋" w:hAnsi="仿宋" w:eastAsia="仿宋" w:cs="仿宋"/>
          <w:b w:val="0"/>
          <w:bCs w:val="0"/>
          <w:i w:val="0"/>
          <w:iCs w:val="0"/>
          <w:caps w:val="0"/>
          <w:color w:val="000000"/>
          <w:spacing w:val="0"/>
          <w:sz w:val="32"/>
          <w:szCs w:val="32"/>
          <w:shd w:val="clear" w:fill="FFFFFF"/>
          <w:lang w:val="en-US" w:eastAsia="zh-CN"/>
        </w:rPr>
      </w:pPr>
      <w:r>
        <w:rPr>
          <w:rFonts w:hint="default" w:ascii="仿宋" w:hAnsi="仿宋" w:eastAsia="仿宋" w:cs="仿宋"/>
          <w:b w:val="0"/>
          <w:bCs w:val="0"/>
          <w:i w:val="0"/>
          <w:iCs w:val="0"/>
          <w:caps w:val="0"/>
          <w:color w:val="000000"/>
          <w:spacing w:val="0"/>
          <w:sz w:val="32"/>
          <w:szCs w:val="32"/>
          <w:shd w:val="clear" w:fill="FFFFFF"/>
          <w:lang w:val="en-US" w:eastAsia="zh-CN"/>
        </w:rPr>
        <w:t>202</w:t>
      </w:r>
      <w:r>
        <w:rPr>
          <w:rFonts w:hint="eastAsia" w:ascii="仿宋" w:hAnsi="仿宋" w:eastAsia="仿宋" w:cs="仿宋"/>
          <w:b w:val="0"/>
          <w:bCs w:val="0"/>
          <w:i w:val="0"/>
          <w:iCs w:val="0"/>
          <w:caps w:val="0"/>
          <w:color w:val="000000"/>
          <w:spacing w:val="0"/>
          <w:sz w:val="32"/>
          <w:szCs w:val="32"/>
          <w:shd w:val="clear" w:fill="FFFFFF"/>
          <w:lang w:val="en-US" w:eastAsia="zh-CN"/>
        </w:rPr>
        <w:t>3</w:t>
      </w:r>
      <w:r>
        <w:rPr>
          <w:rFonts w:hint="default" w:ascii="仿宋" w:hAnsi="仿宋" w:eastAsia="仿宋" w:cs="仿宋"/>
          <w:b w:val="0"/>
          <w:bCs w:val="0"/>
          <w:i w:val="0"/>
          <w:iCs w:val="0"/>
          <w:caps w:val="0"/>
          <w:color w:val="000000"/>
          <w:spacing w:val="0"/>
          <w:sz w:val="32"/>
          <w:szCs w:val="32"/>
          <w:shd w:val="clear" w:fill="FFFFFF"/>
          <w:lang w:val="en-US" w:eastAsia="zh-CN"/>
        </w:rPr>
        <w:t>年，我局通过《</w:t>
      </w:r>
      <w:r>
        <w:rPr>
          <w:rFonts w:hint="eastAsia" w:ascii="仿宋" w:hAnsi="仿宋" w:eastAsia="仿宋" w:cs="仿宋"/>
          <w:b w:val="0"/>
          <w:bCs w:val="0"/>
          <w:i w:val="0"/>
          <w:iCs w:val="0"/>
          <w:caps w:val="0"/>
          <w:color w:val="000000"/>
          <w:spacing w:val="0"/>
          <w:sz w:val="32"/>
          <w:szCs w:val="32"/>
          <w:shd w:val="clear" w:fill="FFFFFF"/>
          <w:lang w:val="en-US" w:eastAsia="zh-CN"/>
        </w:rPr>
        <w:t>乌拉特前旗</w:t>
      </w:r>
      <w:r>
        <w:rPr>
          <w:rFonts w:hint="default" w:ascii="仿宋" w:hAnsi="仿宋" w:eastAsia="仿宋" w:cs="仿宋"/>
          <w:b w:val="0"/>
          <w:bCs w:val="0"/>
          <w:i w:val="0"/>
          <w:iCs w:val="0"/>
          <w:caps w:val="0"/>
          <w:color w:val="000000"/>
          <w:spacing w:val="0"/>
          <w:sz w:val="32"/>
          <w:szCs w:val="32"/>
          <w:shd w:val="clear" w:fill="FFFFFF"/>
          <w:lang w:val="en-US" w:eastAsia="zh-CN"/>
        </w:rPr>
        <w:t>人民政府网》《</w:t>
      </w:r>
      <w:r>
        <w:rPr>
          <w:rFonts w:hint="eastAsia" w:ascii="仿宋" w:hAnsi="仿宋" w:eastAsia="仿宋" w:cs="仿宋"/>
          <w:b w:val="0"/>
          <w:bCs w:val="0"/>
          <w:i w:val="0"/>
          <w:iCs w:val="0"/>
          <w:caps w:val="0"/>
          <w:color w:val="000000"/>
          <w:spacing w:val="0"/>
          <w:sz w:val="32"/>
          <w:szCs w:val="32"/>
          <w:shd w:val="clear" w:fill="FFFFFF"/>
          <w:lang w:val="en-US" w:eastAsia="zh-CN"/>
        </w:rPr>
        <w:t>乌拉特前旗</w:t>
      </w:r>
      <w:r>
        <w:rPr>
          <w:rFonts w:hint="default" w:ascii="仿宋" w:hAnsi="仿宋" w:eastAsia="仿宋" w:cs="仿宋"/>
          <w:b w:val="0"/>
          <w:bCs w:val="0"/>
          <w:i w:val="0"/>
          <w:iCs w:val="0"/>
          <w:caps w:val="0"/>
          <w:color w:val="000000"/>
          <w:spacing w:val="0"/>
          <w:sz w:val="32"/>
          <w:szCs w:val="32"/>
          <w:shd w:val="clear" w:fill="FFFFFF"/>
          <w:lang w:val="en-US" w:eastAsia="zh-CN"/>
        </w:rPr>
        <w:t>政务公开》等网站主动主动公开各类信息</w:t>
      </w:r>
      <w:r>
        <w:rPr>
          <w:rFonts w:hint="eastAsia" w:ascii="仿宋" w:hAnsi="仿宋" w:eastAsia="仿宋" w:cs="仿宋"/>
          <w:b w:val="0"/>
          <w:bCs w:val="0"/>
          <w:i w:val="0"/>
          <w:iCs w:val="0"/>
          <w:caps w:val="0"/>
          <w:color w:val="000000"/>
          <w:spacing w:val="0"/>
          <w:sz w:val="32"/>
          <w:szCs w:val="32"/>
          <w:shd w:val="clear" w:fill="FFFFFF"/>
          <w:lang w:val="en-US" w:eastAsia="zh-CN"/>
        </w:rPr>
        <w:t>42</w:t>
      </w:r>
      <w:r>
        <w:rPr>
          <w:rFonts w:hint="default" w:ascii="仿宋" w:hAnsi="仿宋" w:eastAsia="仿宋" w:cs="仿宋"/>
          <w:b w:val="0"/>
          <w:bCs w:val="0"/>
          <w:i w:val="0"/>
          <w:iCs w:val="0"/>
          <w:caps w:val="0"/>
          <w:color w:val="000000"/>
          <w:spacing w:val="0"/>
          <w:sz w:val="32"/>
          <w:szCs w:val="32"/>
          <w:shd w:val="clear" w:fill="FFFFFF"/>
          <w:lang w:val="en-US" w:eastAsia="zh-CN"/>
        </w:rPr>
        <w:t>条</w:t>
      </w:r>
      <w:r>
        <w:rPr>
          <w:rFonts w:hint="eastAsia" w:ascii="仿宋" w:hAnsi="仿宋" w:eastAsia="仿宋" w:cs="仿宋"/>
          <w:b w:val="0"/>
          <w:bCs w:val="0"/>
          <w:i w:val="0"/>
          <w:iCs w:val="0"/>
          <w:caps w:val="0"/>
          <w:color w:val="000000"/>
          <w:spacing w:val="0"/>
          <w:sz w:val="32"/>
          <w:szCs w:val="32"/>
          <w:shd w:val="clear" w:fill="FFFFFF"/>
          <w:lang w:val="en-US" w:eastAsia="zh-CN"/>
        </w:rPr>
        <w:t>。</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楷体_GB2312" w:hAnsi="楷体_GB2312" w:eastAsia="楷体_GB2312" w:cs="楷体_GB2312"/>
          <w:b/>
          <w:bCs/>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2"/>
          <w:sz w:val="32"/>
          <w:szCs w:val="32"/>
          <w:shd w:val="clear" w:fill="FFFFFF"/>
          <w:lang w:val="en-US" w:eastAsia="zh-CN" w:bidi="ar-SA"/>
          <w14:textFill>
            <w14:solidFill>
              <w14:schemeClr w14:val="tx1"/>
            </w14:solidFill>
          </w14:textFill>
        </w:rPr>
        <w:t>依申请公开情况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 w:hAnsi="仿宋" w:eastAsia="仿宋" w:cs="仿宋"/>
          <w:b w:val="0"/>
          <w:bCs w:val="0"/>
          <w:i w:val="0"/>
          <w:iCs w:val="0"/>
          <w:caps w:val="0"/>
          <w:color w:val="000000"/>
          <w:spacing w:val="0"/>
          <w:sz w:val="32"/>
          <w:szCs w:val="32"/>
          <w:shd w:val="clear" w:fill="FFFFFF"/>
          <w:lang w:val="en-US" w:eastAsia="zh-CN"/>
        </w:rPr>
      </w:pPr>
      <w:r>
        <w:rPr>
          <w:rFonts w:hint="eastAsia" w:ascii="仿宋" w:hAnsi="仿宋" w:eastAsia="仿宋" w:cs="仿宋"/>
          <w:b w:val="0"/>
          <w:bCs w:val="0"/>
          <w:i w:val="0"/>
          <w:iCs w:val="0"/>
          <w:caps w:val="0"/>
          <w:color w:val="000000"/>
          <w:spacing w:val="0"/>
          <w:sz w:val="32"/>
          <w:szCs w:val="32"/>
          <w:shd w:val="clear" w:fill="FFFFFF"/>
          <w:lang w:val="en-US" w:eastAsia="zh-CN"/>
        </w:rPr>
        <w:t>依申请公开2023年，我局未收到依申请公开事项</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楷体_GB2312" w:hAnsi="楷体_GB2312" w:eastAsia="楷体_GB2312" w:cs="楷体_GB2312"/>
          <w:b/>
          <w:bCs/>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2"/>
          <w:sz w:val="32"/>
          <w:szCs w:val="32"/>
          <w:shd w:val="clear" w:fill="FFFFFF"/>
          <w:lang w:val="en-US" w:eastAsia="zh-CN" w:bidi="ar-SA"/>
          <w14:textFill>
            <w14:solidFill>
              <w14:schemeClr w14:val="tx1"/>
            </w14:solidFill>
          </w14:textFill>
        </w:rPr>
        <w:t>政府信息管理情况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 w:hAnsi="仿宋" w:eastAsia="仿宋" w:cs="仿宋"/>
          <w:b w:val="0"/>
          <w:bCs w:val="0"/>
          <w:i w:val="0"/>
          <w:iCs w:val="0"/>
          <w:caps w:val="0"/>
          <w:color w:val="000000"/>
          <w:spacing w:val="0"/>
          <w:sz w:val="32"/>
          <w:szCs w:val="32"/>
          <w:shd w:val="clear" w:fill="FFFFFF"/>
          <w:lang w:val="en-US" w:eastAsia="zh-CN"/>
        </w:rPr>
      </w:pPr>
      <w:r>
        <w:rPr>
          <w:rFonts w:hint="eastAsia" w:ascii="仿宋" w:hAnsi="仿宋" w:eastAsia="仿宋" w:cs="仿宋"/>
          <w:b w:val="0"/>
          <w:bCs w:val="0"/>
          <w:i w:val="0"/>
          <w:iCs w:val="0"/>
          <w:caps w:val="0"/>
          <w:color w:val="000000"/>
          <w:spacing w:val="0"/>
          <w:sz w:val="32"/>
          <w:szCs w:val="32"/>
          <w:shd w:val="clear" w:fill="FFFFFF"/>
          <w:lang w:val="en-US" w:eastAsia="zh-CN"/>
        </w:rPr>
        <w:t xml:space="preserve"> 成立以分管领导为组长，相关股室工作人员为成员的领导小组，领导小组负责统筹各股室严格按照国家、自治区、市、旗要求，认真梳理事项，全面推进政务公开标准化规范化工作，指派专人具体负责政府信息公开内容的维护、组织协调等日常工作，按照要求及时发布、更新依法应主动公开的政府信息。</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楷体_GB2312" w:hAnsi="楷体_GB2312" w:eastAsia="楷体_GB2312" w:cs="楷体_GB2312"/>
          <w:b/>
          <w:bCs/>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2"/>
          <w:sz w:val="32"/>
          <w:szCs w:val="32"/>
          <w:shd w:val="clear" w:fill="FFFFFF"/>
          <w:lang w:val="en-US" w:eastAsia="zh-CN" w:bidi="ar-SA"/>
          <w14:textFill>
            <w14:solidFill>
              <w14:schemeClr w14:val="tx1"/>
            </w14:solidFill>
          </w14:textFill>
        </w:rPr>
        <w:t>政府信息公开平台建设情况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 w:hAnsi="仿宋" w:eastAsia="仿宋" w:cs="仿宋"/>
          <w:b w:val="0"/>
          <w:bCs w:val="0"/>
          <w:i w:val="0"/>
          <w:iCs w:val="0"/>
          <w:caps w:val="0"/>
          <w:color w:val="000000"/>
          <w:spacing w:val="0"/>
          <w:sz w:val="32"/>
          <w:szCs w:val="32"/>
          <w:shd w:val="clear" w:fill="FFFFFF"/>
          <w:lang w:val="en-US" w:eastAsia="zh-CN"/>
        </w:rPr>
      </w:pPr>
      <w:r>
        <w:rPr>
          <w:rFonts w:hint="eastAsia" w:ascii="仿宋" w:hAnsi="仿宋" w:eastAsia="仿宋" w:cs="仿宋"/>
          <w:b w:val="0"/>
          <w:bCs w:val="0"/>
          <w:i w:val="0"/>
          <w:iCs w:val="0"/>
          <w:caps w:val="0"/>
          <w:color w:val="000000"/>
          <w:spacing w:val="0"/>
          <w:sz w:val="32"/>
          <w:szCs w:val="32"/>
          <w:shd w:val="clear" w:fill="FFFFFF"/>
          <w:lang w:val="en-US" w:eastAsia="zh-CN"/>
        </w:rPr>
        <w:t xml:space="preserve"> 结合我局实际，完善政府信息公开工作制度、政府信息依申请公开工作机制，明确政府信息公开的内容、流程、职责，通过层层把关，应公开信息通过乌拉特前旗人民政府网站、巴彦淖尔市政务平台及时公开，做到“公开不泄密、涉密不公开”，进一步保障政府信息公开内容的安全性、有效性。</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楷体_GB2312" w:hAnsi="楷体_GB2312" w:eastAsia="楷体_GB2312" w:cs="楷体_GB2312"/>
          <w:b/>
          <w:bCs/>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2"/>
          <w:sz w:val="32"/>
          <w:szCs w:val="32"/>
          <w:shd w:val="clear" w:fill="FFFFFF"/>
          <w:lang w:val="en-US" w:eastAsia="zh-CN" w:bidi="ar-SA"/>
          <w14:textFill>
            <w14:solidFill>
              <w14:schemeClr w14:val="tx1"/>
            </w14:solidFill>
          </w14:textFill>
        </w:rPr>
        <w:t>监督保障情况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 w:hAnsi="仿宋" w:eastAsia="仿宋" w:cs="仿宋"/>
          <w:b w:val="0"/>
          <w:bCs w:val="0"/>
          <w:i w:val="0"/>
          <w:iCs w:val="0"/>
          <w:caps w:val="0"/>
          <w:color w:val="000000"/>
          <w:spacing w:val="0"/>
          <w:sz w:val="32"/>
          <w:szCs w:val="32"/>
          <w:shd w:val="clear" w:fill="FFFFFF"/>
          <w:lang w:val="en-US" w:eastAsia="zh-CN"/>
        </w:rPr>
      </w:pPr>
      <w:r>
        <w:rPr>
          <w:rFonts w:hint="eastAsia" w:ascii="仿宋" w:hAnsi="仿宋" w:eastAsia="仿宋" w:cs="仿宋"/>
          <w:b w:val="0"/>
          <w:bCs w:val="0"/>
          <w:i w:val="0"/>
          <w:iCs w:val="0"/>
          <w:caps w:val="0"/>
          <w:color w:val="000000"/>
          <w:spacing w:val="0"/>
          <w:sz w:val="32"/>
          <w:szCs w:val="32"/>
          <w:shd w:val="clear" w:fill="FFFFFF"/>
          <w:lang w:val="en-US" w:eastAsia="zh-CN"/>
        </w:rPr>
        <w:t>认真落实市政府要求，加大对政务公开工作的督查力度，采用定期、不定期检查等方式，查不足、补短板、促提升，推动政务公开工作质量不断提高。强化日常监管，建立日常监测、季度抽查和年终考评工作机制，有力提升政府网站和政务新媒体管理质效。</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二、主动公开政府信息情况</w:t>
      </w:r>
    </w:p>
    <w:tbl>
      <w:tblPr>
        <w:tblStyle w:val="6"/>
        <w:tblW w:w="778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44"/>
        <w:gridCol w:w="1944"/>
        <w:gridCol w:w="1944"/>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本年制发件数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本年废止件数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规章</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行政规范性文件</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行政许可</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行政处罚</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行政强制</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行政事业性收费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16"/>
          <w:szCs w:val="16"/>
          <w:u w:val="none"/>
        </w:rPr>
      </w:pPr>
      <w:r>
        <w:rPr>
          <w:rFonts w:hint="default" w:ascii="Times New Roman" w:hAnsi="Times New Roman" w:eastAsia="微软雅黑" w:cs="Times New Roman"/>
          <w:i w:val="0"/>
          <w:iCs w:val="0"/>
          <w:caps w:val="0"/>
          <w:color w:val="333333"/>
          <w:spacing w:val="0"/>
          <w:sz w:val="16"/>
          <w:szCs w:val="16"/>
          <w:u w:val="none"/>
          <w:shd w:val="clear" w:fill="FFFFFF"/>
        </w:rPr>
        <w:t> </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三、收到和处理政府信息公开申请情况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333333"/>
          <w:spacing w:val="0"/>
          <w:sz w:val="18"/>
          <w:szCs w:val="18"/>
          <w:u w:val="none"/>
        </w:rPr>
      </w:pPr>
      <w:r>
        <w:rPr>
          <w:rFonts w:hint="eastAsia" w:ascii="宋体" w:hAnsi="宋体" w:eastAsia="宋体" w:cs="宋体"/>
          <w:i w:val="0"/>
          <w:iCs w:val="0"/>
          <w:caps w:val="0"/>
          <w:color w:val="333333"/>
          <w:spacing w:val="0"/>
          <w:sz w:val="19"/>
          <w:szCs w:val="19"/>
          <w:u w:val="none"/>
          <w:shd w:val="clear" w:fill="FFFFFF"/>
        </w:rPr>
        <w:t> </w:t>
      </w: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1"/>
        <w:gridCol w:w="755"/>
        <w:gridCol w:w="2574"/>
        <w:gridCol w:w="551"/>
        <w:gridCol w:w="551"/>
        <w:gridCol w:w="551"/>
        <w:gridCol w:w="551"/>
        <w:gridCol w:w="552"/>
        <w:gridCol w:w="552"/>
        <w:gridCol w:w="55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restar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ascii="楷体" w:hAnsi="楷体" w:eastAsia="楷体" w:cs="楷体"/>
                <w:color w:val="333333"/>
                <w:sz w:val="15"/>
                <w:szCs w:val="15"/>
                <w:u w:val="none"/>
              </w:rPr>
              <w:t>（本列数据的勾稽关系为：第一项加第二项之和，等于第三项加第四项之和）</w:t>
            </w:r>
          </w:p>
        </w:tc>
        <w:tc>
          <w:tcPr>
            <w:tcW w:w="3852" w:type="dxa"/>
            <w:gridSpan w:val="7"/>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自然人</w:t>
            </w:r>
          </w:p>
        </w:tc>
        <w:tc>
          <w:tcPr>
            <w:tcW w:w="2748" w:type="dxa"/>
            <w:gridSpan w:val="5"/>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法人或其他组织</w:t>
            </w: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商业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企业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科研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社会公益组织</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法律服务机构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一、本年新收政府信息公开申请数量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二、上年结转政府信息公开申请数量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三、本年度办理结果</w:t>
            </w: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（一）予以公开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（二）部分公开</w:t>
            </w:r>
            <w:r>
              <w:rPr>
                <w:rFonts w:hint="eastAsia" w:ascii="楷体" w:hAnsi="楷体" w:eastAsia="楷体" w:cs="楷体"/>
                <w:color w:val="333333"/>
                <w:sz w:val="15"/>
                <w:szCs w:val="15"/>
                <w:u w:val="none"/>
              </w:rPr>
              <w:t>（区分处理的，只计这一情形，不计其他情形）</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（三）不予公开</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1.属于国家秘密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2.其他法律行政法规禁止公开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3.危及“三安全一稳定”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4.保护第三方合法权益</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5.属于三类内部事务信息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6.属于四类过程性信息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7.属于行政执法案卷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8.属于行政查询事项</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（四）无法提供</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1.本机关不掌握相关政府信息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2.没有现成信息需要另行制作</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3.补正后申请内容仍不明确</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（五）不予处理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1.信访举报投诉类申请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3.要求提供公开出版物</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4.无正当理由大量反复申请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24" w:hRule="atLeast"/>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5.要求行政机关确认或重新出具已获取信息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（六）其他处理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1.申请人无正当理由逾期不补正、行政机关不再处理其政府信息公开申请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2.申请人逾期未按收费通知要求缴纳费用、行政机关不再处理其政府信息公开申请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3.其他</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（七）总计</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四、结转下年度继续办理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9"/>
                <w:szCs w:val="19"/>
                <w:u w:val="none"/>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18"/>
          <w:szCs w:val="18"/>
          <w:u w:val="none"/>
        </w:rPr>
      </w:pPr>
      <w:r>
        <w:rPr>
          <w:rFonts w:hint="eastAsia" w:ascii="宋体" w:hAnsi="宋体" w:eastAsia="宋体" w:cs="宋体"/>
          <w:i w:val="0"/>
          <w:iCs w:val="0"/>
          <w:caps w:val="0"/>
          <w:color w:val="333333"/>
          <w:spacing w:val="0"/>
          <w:sz w:val="19"/>
          <w:szCs w:val="19"/>
          <w:u w:val="none"/>
          <w:shd w:val="clear" w:fill="FFFFFF"/>
        </w:rPr>
        <w:t> </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四、政府信息公开行政复议、行政诉讼情况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336"/>
        <w:jc w:val="both"/>
        <w:rPr>
          <w:rFonts w:hint="eastAsia" w:ascii="微软雅黑" w:hAnsi="微软雅黑" w:eastAsia="微软雅黑" w:cs="微软雅黑"/>
          <w:i w:val="0"/>
          <w:iCs w:val="0"/>
          <w:caps w:val="0"/>
          <w:color w:val="333333"/>
          <w:spacing w:val="0"/>
          <w:sz w:val="18"/>
          <w:szCs w:val="18"/>
          <w:u w:val="none"/>
        </w:rPr>
      </w:pP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516"/>
        <w:gridCol w:w="516"/>
        <w:gridCol w:w="516"/>
        <w:gridCol w:w="528"/>
        <w:gridCol w:w="516"/>
        <w:gridCol w:w="516"/>
        <w:gridCol w:w="516"/>
        <w:gridCol w:w="516"/>
        <w:gridCol w:w="540"/>
        <w:gridCol w:w="516"/>
        <w:gridCol w:w="516"/>
        <w:gridCol w:w="516"/>
        <w:gridCol w:w="516"/>
        <w:gridCol w:w="5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2592"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行政复议</w:t>
            </w:r>
          </w:p>
        </w:tc>
        <w:tc>
          <w:tcPr>
            <w:tcW w:w="5208" w:type="dxa"/>
            <w:gridSpan w:val="10"/>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restar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结果维持</w:t>
            </w:r>
          </w:p>
        </w:tc>
        <w:tc>
          <w:tcPr>
            <w:tcW w:w="516" w:type="dxa"/>
            <w:vMerge w:val="restart"/>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28"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未经复议直接起诉</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nil"/>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28"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0" w:hRule="atLeast"/>
          <w:tblCellSpacing w:w="0" w:type="dxa"/>
          <w:jc w:val="center"/>
        </w:trPr>
        <w:tc>
          <w:tcPr>
            <w:tcW w:w="516" w:type="dxa"/>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28"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lang w:val="en-US" w:eastAsia="zh-CN"/>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r>
    </w:tbl>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五、存在的主要问题及改进情况</w:t>
      </w:r>
      <w:bookmarkStart w:id="0" w:name="_GoBack"/>
      <w:bookmarkEnd w:id="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虽然我局在政务公开上做了一些工作，政务公开执行情况有了较大改善，但仍然存在许多不足之处，主要表现在：政府信息公开规范性还有待加强。有些因工作任务较多，未能及时收集整理材料，致使我局政府信息公开工作公开不及时。在以后的工作中我局将在现有工作的基础上，进一步做好政务公开和信息公开工作，主要抓好以下几方面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t>（一）进一步完善各项规章制度。</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结合我局的实际情况，对政务公开和信息公开工作进行规范管理，防止出现死角和漏洞；对政务公开和民主管理制度进行认真研究，广泛征求群众意见，结合实际进一步修改和完善。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t>（二）进一步加大宣传力度。</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围绕我局中心工作，利用各种渠道，采取多种形式，向社会和广大群众深入宣传政务公开和信息公开工作的重要意义，宣传乡村振兴工作中的典型事例，努力形成良好的社会氛围。</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六、其他需要报告的事项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根据</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《政府信息公开信息处理费管理办法》</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规定，本年度未收取任何信息处理费。无其他报告事项。</w:t>
      </w:r>
    </w:p>
    <w:p>
      <w:pPr>
        <w:pStyle w:val="4"/>
        <w:keepNext w:val="0"/>
        <w:keepLines w:val="0"/>
        <w:pageBreakBefore w:val="0"/>
        <w:kinsoku/>
        <w:wordWrap/>
        <w:overflowPunct/>
        <w:topLinePunct w:val="0"/>
        <w:autoSpaceDE/>
        <w:autoSpaceDN/>
        <w:bidi w:val="0"/>
        <w:adjustRightInd/>
        <w:snapToGrid/>
        <w:spacing w:line="560" w:lineRule="exact"/>
        <w:ind w:left="0" w:firstLine="420" w:firstLineChars="200"/>
      </w:pPr>
    </w:p>
    <w:p>
      <w:pPr>
        <w:keepNext w:val="0"/>
        <w:keepLines w:val="0"/>
        <w:pageBreakBefore w:val="0"/>
        <w:kinsoku/>
        <w:wordWrap/>
        <w:overflowPunct/>
        <w:topLinePunct w:val="0"/>
        <w:autoSpaceDE/>
        <w:autoSpaceDN/>
        <w:bidi w:val="0"/>
        <w:adjustRightInd/>
        <w:snapToGrid/>
        <w:spacing w:line="560" w:lineRule="exact"/>
        <w:ind w:left="0" w:firstLine="420" w:firstLineChars="200"/>
      </w:pPr>
    </w:p>
    <w:p>
      <w:pPr>
        <w:pStyle w:val="4"/>
        <w:keepNext w:val="0"/>
        <w:keepLines w:val="0"/>
        <w:pageBreakBefore w:val="0"/>
        <w:kinsoku/>
        <w:wordWrap/>
        <w:overflowPunct/>
        <w:topLinePunct w:val="0"/>
        <w:autoSpaceDE/>
        <w:autoSpaceDN/>
        <w:bidi w:val="0"/>
        <w:adjustRightInd/>
        <w:snapToGrid/>
        <w:spacing w:line="560" w:lineRule="exact"/>
        <w:ind w:left="0" w:firstLine="420" w:firstLineChars="200"/>
      </w:pPr>
    </w:p>
    <w:p>
      <w:pPr>
        <w:keepNext w:val="0"/>
        <w:keepLines w:val="0"/>
        <w:pageBreakBefore w:val="0"/>
        <w:kinsoku/>
        <w:wordWrap w:val="0"/>
        <w:overflowPunct/>
        <w:topLinePunct w:val="0"/>
        <w:autoSpaceDE/>
        <w:autoSpaceDN/>
        <w:bidi w:val="0"/>
        <w:adjustRightInd/>
        <w:snapToGrid/>
        <w:spacing w:line="560" w:lineRule="exact"/>
        <w:ind w:left="0" w:firstLine="640" w:firstLineChars="200"/>
        <w:jc w:val="right"/>
        <w:rPr>
          <w:rFonts w:hint="default"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乌拉特前旗</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乡村振兴局</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 xml:space="preserve">    </w:t>
      </w:r>
    </w:p>
    <w:p>
      <w:pPr>
        <w:pStyle w:val="4"/>
        <w:keepNext w:val="0"/>
        <w:keepLines w:val="0"/>
        <w:pageBreakBefore w:val="0"/>
        <w:kinsoku/>
        <w:wordWrap w:val="0"/>
        <w:overflowPunct/>
        <w:topLinePunct w:val="0"/>
        <w:autoSpaceDE/>
        <w:autoSpaceDN/>
        <w:bidi w:val="0"/>
        <w:adjustRightInd/>
        <w:snapToGrid/>
        <w:spacing w:line="560" w:lineRule="exact"/>
        <w:ind w:left="0" w:firstLine="640" w:firstLineChars="200"/>
        <w:jc w:val="right"/>
        <w:rPr>
          <w:rFonts w:hint="default" w:eastAsia="仿宋"/>
          <w:sz w:val="32"/>
          <w:szCs w:val="32"/>
          <w:lang w:val="en-US" w:eastAsia="zh-CN"/>
        </w:rPr>
      </w:pP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 xml:space="preserve">2024年1月10日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479586-9341-498A-9988-A24FABD3A0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1A036A6-20F8-4F5F-B0D0-BCD8725F7D24}"/>
  </w:font>
  <w:font w:name="方正小标宋简体">
    <w:panose1 w:val="02000000000000000000"/>
    <w:charset w:val="86"/>
    <w:family w:val="auto"/>
    <w:pitch w:val="default"/>
    <w:sig w:usb0="800002BF" w:usb1="184F6CF8" w:usb2="00000012" w:usb3="00000000" w:csb0="00160001" w:csb1="12030000"/>
    <w:embedRegular r:id="rId3" w:fontKey="{579D5595-8CEB-43FB-BCCC-5CB5FCC4FD95}"/>
  </w:font>
  <w:font w:name="仿宋">
    <w:panose1 w:val="02010609060101010101"/>
    <w:charset w:val="86"/>
    <w:family w:val="auto"/>
    <w:pitch w:val="default"/>
    <w:sig w:usb0="800002BF" w:usb1="38CF7CFA" w:usb2="00000016" w:usb3="00000000" w:csb0="00040001" w:csb1="00000000"/>
    <w:embedRegular r:id="rId4" w:fontKey="{530BC68F-97A4-4D84-8DFE-769853C33FEC}"/>
  </w:font>
  <w:font w:name="楷体_GB2312">
    <w:panose1 w:val="02010609030101010101"/>
    <w:charset w:val="86"/>
    <w:family w:val="auto"/>
    <w:pitch w:val="default"/>
    <w:sig w:usb0="00000001" w:usb1="080E0000" w:usb2="00000000" w:usb3="00000000" w:csb0="00040000" w:csb1="00000000"/>
    <w:embedRegular r:id="rId5" w:fontKey="{D93B3E82-C700-48A8-8498-83195467BFE2}"/>
  </w:font>
  <w:font w:name="微软雅黑">
    <w:panose1 w:val="020B0503020204020204"/>
    <w:charset w:val="86"/>
    <w:family w:val="auto"/>
    <w:pitch w:val="default"/>
    <w:sig w:usb0="80000287" w:usb1="2ACF3C50" w:usb2="00000016" w:usb3="00000000" w:csb0="0004001F" w:csb1="00000000"/>
    <w:embedRegular r:id="rId6" w:fontKey="{9BBCCDC5-562E-408B-A441-0BAD68C6F029}"/>
  </w:font>
  <w:font w:name="楷体">
    <w:panose1 w:val="02010609060101010101"/>
    <w:charset w:val="86"/>
    <w:family w:val="auto"/>
    <w:pitch w:val="default"/>
    <w:sig w:usb0="800002BF" w:usb1="38CF7CFA" w:usb2="00000016" w:usb3="00000000" w:csb0="00040001" w:csb1="00000000"/>
    <w:embedRegular r:id="rId7" w:fontKey="{C9D7971F-0D79-4672-84AA-09FAB0A7DEC0}"/>
  </w:font>
  <w:font w:name="仿宋_GB2312">
    <w:panose1 w:val="02010609030101010101"/>
    <w:charset w:val="86"/>
    <w:family w:val="auto"/>
    <w:pitch w:val="default"/>
    <w:sig w:usb0="00000001" w:usb1="080E0000" w:usb2="00000000" w:usb3="00000000" w:csb0="00040000" w:csb1="00000000"/>
    <w:embedRegular r:id="rId8" w:fontKey="{9A5349D0-1E82-40F5-8D0C-A849A731F63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A54E4"/>
    <w:multiLevelType w:val="singleLevel"/>
    <w:tmpl w:val="841A54E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s>
  <w:rsids>
    <w:rsidRoot w:val="2AF17B93"/>
    <w:rsid w:val="005469B7"/>
    <w:rsid w:val="00973FB8"/>
    <w:rsid w:val="017B1835"/>
    <w:rsid w:val="01A050EF"/>
    <w:rsid w:val="034675D0"/>
    <w:rsid w:val="040F3E66"/>
    <w:rsid w:val="04842AA6"/>
    <w:rsid w:val="05095936"/>
    <w:rsid w:val="06C4362D"/>
    <w:rsid w:val="0768045D"/>
    <w:rsid w:val="0869448C"/>
    <w:rsid w:val="093E76C7"/>
    <w:rsid w:val="0AB435D3"/>
    <w:rsid w:val="0E625C06"/>
    <w:rsid w:val="0F0C3DC3"/>
    <w:rsid w:val="113F222E"/>
    <w:rsid w:val="117143B2"/>
    <w:rsid w:val="11D706B9"/>
    <w:rsid w:val="12804779"/>
    <w:rsid w:val="14681A9C"/>
    <w:rsid w:val="15A9236C"/>
    <w:rsid w:val="16493207"/>
    <w:rsid w:val="17DD454F"/>
    <w:rsid w:val="192D6E10"/>
    <w:rsid w:val="19597C05"/>
    <w:rsid w:val="197B401F"/>
    <w:rsid w:val="1A3903DE"/>
    <w:rsid w:val="1ACD08AB"/>
    <w:rsid w:val="25493224"/>
    <w:rsid w:val="268A3AF4"/>
    <w:rsid w:val="27455C6D"/>
    <w:rsid w:val="2A24600D"/>
    <w:rsid w:val="2ABE5B1A"/>
    <w:rsid w:val="2AF17B93"/>
    <w:rsid w:val="2CCF04B2"/>
    <w:rsid w:val="2CED26E7"/>
    <w:rsid w:val="2F6F7D2B"/>
    <w:rsid w:val="2FAD0853"/>
    <w:rsid w:val="30A12166"/>
    <w:rsid w:val="31E83DC4"/>
    <w:rsid w:val="32791381"/>
    <w:rsid w:val="34164C19"/>
    <w:rsid w:val="357A4D33"/>
    <w:rsid w:val="370F3C38"/>
    <w:rsid w:val="3B07350D"/>
    <w:rsid w:val="3CB11983"/>
    <w:rsid w:val="3D69571D"/>
    <w:rsid w:val="3E4D56DB"/>
    <w:rsid w:val="3E990920"/>
    <w:rsid w:val="47F72214"/>
    <w:rsid w:val="481105CB"/>
    <w:rsid w:val="4ABF170F"/>
    <w:rsid w:val="4AD351BA"/>
    <w:rsid w:val="4AFD2237"/>
    <w:rsid w:val="4C3D6D8F"/>
    <w:rsid w:val="516923D4"/>
    <w:rsid w:val="52911BE2"/>
    <w:rsid w:val="55B1434A"/>
    <w:rsid w:val="55D17AFB"/>
    <w:rsid w:val="56F3629C"/>
    <w:rsid w:val="571132F2"/>
    <w:rsid w:val="599B6EA3"/>
    <w:rsid w:val="5A272E2C"/>
    <w:rsid w:val="5A89319F"/>
    <w:rsid w:val="5C011D3E"/>
    <w:rsid w:val="5D3E2967"/>
    <w:rsid w:val="60EE1FAE"/>
    <w:rsid w:val="63B37E5A"/>
    <w:rsid w:val="63D062E3"/>
    <w:rsid w:val="65102E3B"/>
    <w:rsid w:val="65BF660F"/>
    <w:rsid w:val="661701F9"/>
    <w:rsid w:val="670C5884"/>
    <w:rsid w:val="67FA1B80"/>
    <w:rsid w:val="68F16ADF"/>
    <w:rsid w:val="6C027255"/>
    <w:rsid w:val="6EFA06B8"/>
    <w:rsid w:val="6FAF7B52"/>
    <w:rsid w:val="71844269"/>
    <w:rsid w:val="723839D1"/>
    <w:rsid w:val="756845CD"/>
    <w:rsid w:val="76EF302D"/>
    <w:rsid w:val="78570929"/>
    <w:rsid w:val="79801AC9"/>
    <w:rsid w:val="7A5275FA"/>
    <w:rsid w:val="7BE349AD"/>
    <w:rsid w:val="7C5C4760"/>
    <w:rsid w:val="7F6C2F0C"/>
    <w:rsid w:val="7FBB79EF"/>
    <w:rsid w:val="7FD95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autoRedefine/>
    <w:qFormat/>
    <w:uiPriority w:val="0"/>
  </w:style>
  <w:style w:type="paragraph" w:styleId="4">
    <w:name w:val="toc 2"/>
    <w:basedOn w:val="1"/>
    <w:next w:val="1"/>
    <w:autoRedefine/>
    <w:qFormat/>
    <w:uiPriority w:val="0"/>
    <w:pPr>
      <w:spacing w:line="306" w:lineRule="auto"/>
      <w:ind w:left="419"/>
    </w:p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2022-01-06T02:12:00Z</dcterms:created>
  <dc:creator>付洋</dc:creator>
  <cp:lastModifiedBy>演示人</cp:lastModifiedBy>
  <dcterms:modified xsi:type="dcterms:W3CDTF">2024-01-19T08:19:24Z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1F385F6AB8EA40F9B26F56F69CB8225A_13</vt:lpwstr>
  </property>
</Properties>
</file>