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EF34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乌拉特前旗住房和城乡建设局2023年政府信息公开工作年度报告</w:t>
      </w:r>
    </w:p>
    <w:p w14:paraId="1CCBF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none" w:color="auto" w:sz="0" w:space="0"/>
          <w:shd w:val="clear" w:fill="FFFFFF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本年度报告根据《中华人民共和国政府信息公开条例》（以下简称《条例》） 《国务院办公厅政府信息与政务公开办公室关于印发&lt;中华人民共和国政府信息公开工作年度报告格式&gt;的通知》（国办公开办函〔2021〕30号）要求制作。本报告由总体情况，主动公开政府信息情况，收到和处理政府信息公开申请情况，政府信息公开行政复议、行政诉讼情况，存在的主要问题及改进情况以及其他需要报告的事项等部分组成。本年度报告中所列数据的统计期限为2023年1月1日起至2023年12月31日止。本年度报告电子版可以从乌拉特前旗人民政府门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</w:t>
      </w:r>
      <w:r>
        <w:rPr>
          <w:rFonts w:hint="eastAsia" w:ascii="仿宋_GB2312" w:hAnsi="仿宋_GB2312" w:eastAsia="仿宋_GB2312" w:cs="仿宋_GB2312"/>
          <w:sz w:val="32"/>
          <w:szCs w:val="32"/>
        </w:rPr>
        <w:t>站（http://www.wltqq.gov.cn）下载，如对本年度报告有疑问，请与乌拉特前旗住房和城乡建设局联系（电话：0478-3268300）。</w:t>
      </w:r>
    </w:p>
    <w:p w14:paraId="5E9536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总体情况</w:t>
      </w:r>
    </w:p>
    <w:p w14:paraId="3B581BF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（一）主动公开情况</w:t>
      </w:r>
    </w:p>
    <w:p w14:paraId="5B39D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旗住建局严格按照相关法律法规要求落实政府信息公开工作，职责清晰、流转顺畅，公开内容和时效符合上级部门的总体要求。全年主动公开条目60余条，包括工程建设全生命周期等工作进展、行政许可等重大行政决策、建设领域行政执法等内容，做到应公开尽公开。</w:t>
      </w:r>
    </w:p>
    <w:p w14:paraId="745D5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（二）依申请公开情况</w:t>
      </w:r>
    </w:p>
    <w:p w14:paraId="3A8C2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受理政府信息公开申请1件。受理有关政府信息公开方面的行政复议案件0件，行政诉讼案件0件。未发生公民、法人和其他组织认为行政机关不依法履行信息公开而提起举报。</w:t>
      </w:r>
    </w:p>
    <w:p w14:paraId="48C84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（三）政府信息管理情况</w:t>
      </w:r>
    </w:p>
    <w:p w14:paraId="08B26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年度工作重点，及时、准确地公开政府信息。重点做好重要决策公开、重要部署执行情况公开、重要活动动态公开、重要意见征求反馈情况公开。通过“乌拉特前旗”门户网站对政府信息进行规范发布和动态调整。</w:t>
      </w:r>
    </w:p>
    <w:p w14:paraId="7CE77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（四）政府信息公开平台建设情况</w:t>
      </w:r>
    </w:p>
    <w:p w14:paraId="06549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结合住建行政工作实际，及时调整信息公开目录，完成乌拉特前旗住建局网站的内容维护工作。</w:t>
      </w:r>
    </w:p>
    <w:p w14:paraId="24A64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（五）监督保障情况</w:t>
      </w:r>
    </w:p>
    <w:p w14:paraId="5E7E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加强对政务公开工作的监督保障，以项目化开展督查督办，确保住建领域政务公开内容全面、准确、及时。局党委对政务公开领域发生的作风效能问题进行执纪问责。</w:t>
      </w:r>
    </w:p>
    <w:p w14:paraId="55D39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W w:w="7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4"/>
        <w:gridCol w:w="1944"/>
        <w:gridCol w:w="1944"/>
        <w:gridCol w:w="1956"/>
      </w:tblGrid>
      <w:tr w14:paraId="6A85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7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4B0EE6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336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  <w:shd w:val="clear" w:fill="FFFFFF"/>
              </w:rPr>
              <w:t>第二十条第（一）项</w:t>
            </w:r>
          </w:p>
        </w:tc>
      </w:tr>
      <w:tr w14:paraId="29295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B17F2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信息内容</w:t>
            </w:r>
          </w:p>
        </w:tc>
        <w:tc>
          <w:tcPr>
            <w:tcW w:w="1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02FBD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本年制发件数</w:t>
            </w:r>
          </w:p>
        </w:tc>
        <w:tc>
          <w:tcPr>
            <w:tcW w:w="1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BDFD9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本年废止件数</w:t>
            </w:r>
          </w:p>
        </w:tc>
        <w:tc>
          <w:tcPr>
            <w:tcW w:w="19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31CE5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现行有效件数</w:t>
            </w:r>
          </w:p>
        </w:tc>
      </w:tr>
      <w:tr w14:paraId="17317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7CAEC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规章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C77A9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33D05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E3BE9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Calibri" w:hAnsi="Calibri" w:cs="Calibri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5892A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4DC0D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行政规范性文件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28E3F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6CDF5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A1470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cs="Calibri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6EC38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78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55DD7B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第二十条第（五）项</w:t>
            </w:r>
          </w:p>
        </w:tc>
      </w:tr>
      <w:tr w14:paraId="13F3D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C4DCA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24D67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本年处理决定数量</w:t>
            </w:r>
          </w:p>
        </w:tc>
      </w:tr>
      <w:tr w14:paraId="5FA13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304BC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行政许可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7A88F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41</w:t>
            </w:r>
          </w:p>
        </w:tc>
      </w:tr>
      <w:tr w14:paraId="34821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78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260D0D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第二十条第（六）项</w:t>
            </w:r>
          </w:p>
        </w:tc>
      </w:tr>
      <w:tr w14:paraId="6C0AC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B07B4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6917B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本年处理决定数量</w:t>
            </w:r>
          </w:p>
        </w:tc>
      </w:tr>
      <w:tr w14:paraId="02DEA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0660C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行政处罚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4D969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9</w:t>
            </w:r>
          </w:p>
        </w:tc>
      </w:tr>
      <w:tr w14:paraId="2BD6F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68D5C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行政强制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5E282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</w:tr>
      <w:tr w14:paraId="5531B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78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48" w:type="dxa"/>
              <w:right w:w="48" w:type="dxa"/>
            </w:tcMar>
            <w:vAlign w:val="center"/>
          </w:tcPr>
          <w:p w14:paraId="102485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第二十条第（八）项</w:t>
            </w:r>
          </w:p>
        </w:tc>
      </w:tr>
      <w:tr w14:paraId="4708F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432FD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信息内容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B3D69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本年收费金额（单位：万元）</w:t>
            </w:r>
          </w:p>
        </w:tc>
      </w:tr>
      <w:tr w14:paraId="6621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9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DA1E7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行政事业性收费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9F5B7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</w:tr>
    </w:tbl>
    <w:p w14:paraId="3A41F4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/>
        <w:jc w:val="both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none" w:color="auto" w:sz="0" w:space="0"/>
          <w:shd w:val="clear" w:fill="FFFFFF"/>
        </w:rPr>
        <w:t>　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三、收到和处理政府信息公开申请情况</w:t>
      </w:r>
    </w:p>
    <w:p w14:paraId="40542B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/>
        <w:jc w:val="both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tbl>
      <w:tblPr>
        <w:tblW w:w="780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55"/>
        <w:gridCol w:w="2574"/>
        <w:gridCol w:w="551"/>
        <w:gridCol w:w="551"/>
        <w:gridCol w:w="551"/>
        <w:gridCol w:w="551"/>
        <w:gridCol w:w="552"/>
        <w:gridCol w:w="552"/>
        <w:gridCol w:w="552"/>
      </w:tblGrid>
      <w:tr w14:paraId="445633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D97AE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ascii="楷体" w:hAnsi="楷体" w:eastAsia="楷体" w:cs="楷体"/>
                <w:color w:val="333333"/>
                <w:sz w:val="15"/>
                <w:szCs w:val="15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385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26470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申请人情况</w:t>
            </w:r>
          </w:p>
        </w:tc>
      </w:tr>
      <w:tr w14:paraId="2776D8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BA3E7E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22B5E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自然人</w:t>
            </w:r>
          </w:p>
        </w:tc>
        <w:tc>
          <w:tcPr>
            <w:tcW w:w="27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AAB38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36649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总计</w:t>
            </w:r>
          </w:p>
        </w:tc>
      </w:tr>
      <w:tr w14:paraId="3204BE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16B4B09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A736FC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09ED1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商业</w:t>
            </w:r>
          </w:p>
          <w:p w14:paraId="5F2491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企业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E9930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科研</w:t>
            </w:r>
          </w:p>
          <w:p w14:paraId="0C4095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机构</w:t>
            </w:r>
          </w:p>
        </w:tc>
        <w:tc>
          <w:tcPr>
            <w:tcW w:w="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FA568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社会公益组织</w:t>
            </w:r>
          </w:p>
        </w:tc>
        <w:tc>
          <w:tcPr>
            <w:tcW w:w="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49CE1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法律服务机构</w:t>
            </w:r>
          </w:p>
        </w:tc>
        <w:tc>
          <w:tcPr>
            <w:tcW w:w="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A98FB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5D50DE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02A29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FFB94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75528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A8469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DA000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2D189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69851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93519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43141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</w:tr>
      <w:tr w14:paraId="48233B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7BAA1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A1234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77E09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0DBD8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3E73F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4271C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169E1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6163D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1EB476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89FC1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三、本年度办理结果</w:t>
            </w: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BFA88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（一）予以公开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7DE63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0DFED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04829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A43FB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212F1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3484C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779BE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1E7483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A7B90B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AC5F8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（二）部分公开</w:t>
            </w: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bdr w:val="none" w:color="auto" w:sz="0" w:space="0"/>
              </w:rPr>
              <w:t>（区分处理的，只计这一情形，不计其他情形）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C91BD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AFF07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B04B5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C5141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2478D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67B51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FD63D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644681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DDF60A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86E43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（三）不予公开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C71F9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1.属于国家秘密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CB5D6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99A49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397B6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77941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31824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0E5A0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62690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2E4044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72463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62AEEC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E07C6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2.其他法律行政法规禁止公开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A092E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2D1BE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A6558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34BBE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39721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1B060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70000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7B54F0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BA97B4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85E523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09627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3.危及“三安全一稳定”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C0085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35807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25581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15AEA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678F3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CEF3E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5FE8C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6C16A4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1A98F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69564A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AE795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4.保护第三方合法权益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80234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B5D99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DAC29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40B38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C4031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3FACE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3B537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0E9B35A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F59CBB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379BE8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AD1D2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5.属于三类内部事务信息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86C51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FCD5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45C0A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3F06A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2BC7D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5CB02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9A74D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5969214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527AF7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75EA2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65168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6.属于四类过程性信息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CB18E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46A68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CBA05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397C7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6A7A5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304A5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50FCB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1530BD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E3FF6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1D775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AB262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7.属于行政执法案卷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6B485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ECBB3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149F3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12EA4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06E9F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D9AFC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96724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5C1E52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9B825C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D492B1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F0B2C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8.属于行政查询事项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F77B9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1513C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8C8D3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6D013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1F8D8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071F6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A57AD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2FD557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6FBAD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C13D1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（四）无法提供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CFDF4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1.本机关不掌握相关政府信息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9DFBF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94E37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29857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A95A1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D5BA0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3E35A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0D5C0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</w:tr>
      <w:tr w14:paraId="68B9D8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58FE50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40B667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A3CD7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2.没有现成信息需要另行制作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DBF4D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481E3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F53D8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D4436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0A98E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B5228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9462A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0620B0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AAF729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A7DEB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CDD34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3.补正后申请内容仍不明确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67956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CB546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43B4E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1E440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C3633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EC90F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04D01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026E99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DB266E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26EDA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（五）不予处理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29B37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1.信访举报投诉类申请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03375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5190A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2F1BC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C92B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693B0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3F27B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D2D97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4C633B9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897B06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0576DD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9CDBD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2.重复申请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2E779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A219E0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B7313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05954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EDDE6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8D0C7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35958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65C8F91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5A4BB0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E1BF6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5646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3.要求提供公开出版物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FA55A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E62FF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6A8D7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2EC98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103E2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E9D58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22110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16F1D7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83E433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BA785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F4E51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4.无正当理由大量反复申请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74DE3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BFC40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5A606C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94869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4CF34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A1FA0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D05D2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3294D7E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9957F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29E585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AACCC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2AA02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750B2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8B4D0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513F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0FFFE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330C2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63CA1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36DDC6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813EC6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0FDF2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（六）其他处理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07F58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1.申请人无正当理由逾期不补正、行政机关不再处理其政府信息公开申请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A7BA7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8948A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84020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FD369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DCB65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7349C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6FE0F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60EB6A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5ADC58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C7B809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56276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2.申请人逾期未按收费通知要求缴纳费用、行政机关不再处理其政府信息公开申请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EDCF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25C41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FE399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BA60D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5C8EEC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6FFAD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2D58A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0DF290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D888EE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F9632C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15F9A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3.其他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2696E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EE8BC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05EBA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A6937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97A10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1DF9C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A1688F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</w:tr>
      <w:tr w14:paraId="05D800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EBB0F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91856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（七）总计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10BD8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1EB3E2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7A8A1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BD80A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34B50B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725B2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B9B91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</w:tr>
      <w:tr w14:paraId="7B52D7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4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7F5E12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color w:val="333333"/>
                <w:sz w:val="15"/>
                <w:szCs w:val="15"/>
                <w:bdr w:val="none" w:color="auto" w:sz="0" w:space="0"/>
              </w:rPr>
              <w:t>四、结转下年度继续办理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8AD41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E7956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06E151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27409F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419ECB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62A1A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color w:val="333333"/>
                <w:sz w:val="16"/>
                <w:szCs w:val="16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48" w:type="dxa"/>
              <w:right w:w="48" w:type="dxa"/>
            </w:tcMar>
            <w:vAlign w:val="center"/>
          </w:tcPr>
          <w:p w14:paraId="60F751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</w:tbl>
    <w:p w14:paraId="0CE227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none" w:color="auto" w:sz="0" w:space="0"/>
          <w:shd w:val="clear" w:fill="FFFFFF"/>
        </w:rPr>
        <w:t>　　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四、政府信息公开行政复议、行政诉讼情况</w:t>
      </w:r>
    </w:p>
    <w:p w14:paraId="5CB8EA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/>
        <w:jc w:val="both"/>
        <w:rPr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tbl>
      <w:tblPr>
        <w:tblW w:w="7800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6"/>
        <w:gridCol w:w="516"/>
        <w:gridCol w:w="516"/>
        <w:gridCol w:w="516"/>
        <w:gridCol w:w="528"/>
        <w:gridCol w:w="516"/>
        <w:gridCol w:w="516"/>
        <w:gridCol w:w="516"/>
        <w:gridCol w:w="516"/>
        <w:gridCol w:w="540"/>
        <w:gridCol w:w="516"/>
        <w:gridCol w:w="516"/>
        <w:gridCol w:w="516"/>
        <w:gridCol w:w="516"/>
        <w:gridCol w:w="540"/>
      </w:tblGrid>
      <w:tr w14:paraId="70A2484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9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341D5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行政复议</w:t>
            </w:r>
          </w:p>
        </w:tc>
        <w:tc>
          <w:tcPr>
            <w:tcW w:w="520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4F1CA5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行政诉讼</w:t>
            </w:r>
          </w:p>
        </w:tc>
      </w:tr>
      <w:tr w14:paraId="79EE00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71A7A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结果维持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A0BA3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  <w:p w14:paraId="1CC7F0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纠正</w:t>
            </w:r>
          </w:p>
        </w:tc>
        <w:tc>
          <w:tcPr>
            <w:tcW w:w="51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29CABA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其他</w:t>
            </w:r>
          </w:p>
          <w:p w14:paraId="4B48B0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</w:tc>
        <w:tc>
          <w:tcPr>
            <w:tcW w:w="51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00D14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尚未</w:t>
            </w:r>
          </w:p>
          <w:p w14:paraId="2E01C9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审结</w:t>
            </w:r>
          </w:p>
        </w:tc>
        <w:tc>
          <w:tcPr>
            <w:tcW w:w="5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115D3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总计</w:t>
            </w:r>
          </w:p>
        </w:tc>
        <w:tc>
          <w:tcPr>
            <w:tcW w:w="260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48D4D3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未经复议直接起诉</w:t>
            </w:r>
          </w:p>
        </w:tc>
        <w:tc>
          <w:tcPr>
            <w:tcW w:w="2604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EC2977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复议后起诉</w:t>
            </w:r>
          </w:p>
        </w:tc>
      </w:tr>
      <w:tr w14:paraId="3EB007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F6133F0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4A5218A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1992846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51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DF38BE4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75D9EBE3">
            <w:pPr>
              <w:rPr>
                <w:rFonts w:hint="eastAsia" w:ascii="微软雅黑" w:hAnsi="微软雅黑" w:eastAsia="微软雅黑" w:cs="微软雅黑"/>
                <w:color w:val="000000"/>
                <w:sz w:val="15"/>
                <w:szCs w:val="15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A86A3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  <w:p w14:paraId="416EAF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维持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B8FFB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  <w:p w14:paraId="7C63F6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纠正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D7415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其他</w:t>
            </w:r>
          </w:p>
          <w:p w14:paraId="0DB215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65600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尚未</w:t>
            </w:r>
          </w:p>
          <w:p w14:paraId="251A9F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审结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278DBD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总计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216C7E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  <w:p w14:paraId="30071E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维持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7BEFB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  <w:p w14:paraId="664E6A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纠正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54EE3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其他</w:t>
            </w:r>
          </w:p>
          <w:p w14:paraId="2E643D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结果</w:t>
            </w:r>
          </w:p>
        </w:tc>
        <w:tc>
          <w:tcPr>
            <w:tcW w:w="5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BDC68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尚未</w:t>
            </w:r>
          </w:p>
          <w:p w14:paraId="4B229E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审结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7216E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总计</w:t>
            </w:r>
          </w:p>
        </w:tc>
      </w:tr>
      <w:tr w14:paraId="4A143F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6B895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48E2DE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8949D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9F142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80A38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D7E0A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E044F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0F278B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589A3C0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46205A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E1BEE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192F66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76F9A1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6C1364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 w14:paraId="3D9555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微软雅黑" w:hAnsi="微软雅黑" w:eastAsia="微软雅黑" w:cs="微软雅黑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</w:tr>
    </w:tbl>
    <w:p w14:paraId="30F2C4E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vertAlign w:val="baseline"/>
        </w:rPr>
        <w:t>五、存在的主要问题及改进情况</w:t>
      </w:r>
    </w:p>
    <w:p w14:paraId="20069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存在主要问题及改进情况：</w:t>
      </w:r>
      <w:r>
        <w:rPr>
          <w:rFonts w:hint="eastAsia" w:ascii="仿宋_GB2312" w:eastAsia="仿宋_GB2312" w:cs="仿宋_GB2312"/>
          <w:b/>
          <w:bCs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一是，</w:t>
      </w:r>
      <w:r>
        <w:rPr>
          <w:rFonts w:hint="eastAsia" w:asci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政务信息公开的内容质量有待加强。政务信息公开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不够主动，更新不及时，信息质量也略显不足。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改进措施：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强化工作创新，优化公开质量。坚持以公开促服务、促落实、促规范，借鉴先进经验，注重在公开内容、公开形式、公开平台等方面积极探索。</w:t>
      </w:r>
    </w:p>
    <w:p w14:paraId="48B953D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15" w:lineRule="atLeast"/>
        <w:ind w:right="0" w:firstLine="643" w:firstLineChars="200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二是，</w:t>
      </w:r>
      <w:r>
        <w:rPr>
          <w:rFonts w:hint="eastAsia" w:asci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政务公开工作人员专业性有待加强。政务公开工作专业性较强，需要掌握一定的计算机操作技能和具备相应的文字处理、编辑功底。对政务公开工作人员存在组织培训缺乏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、讲解不深入的问题，影响了政务公开工作的开展。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222222"/>
          <w:spacing w:val="0"/>
          <w:sz w:val="32"/>
          <w:szCs w:val="32"/>
          <w:highlight w:val="none"/>
          <w:shd w:val="clear" w:fill="FFFFFF"/>
          <w:lang w:val="en-US" w:eastAsia="zh-CN"/>
        </w:rPr>
        <w:t>改进措施：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加强业务培训。建立常态化培训机制，定期开展各类业务技能培训，提升人员队伍的综合素质，提高整体能力水平，进一步提高我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信息发布的数量、质量和时效。</w:t>
      </w:r>
    </w:p>
    <w:p w14:paraId="3D804ED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六、其他需要报告的事项</w:t>
      </w:r>
    </w:p>
    <w:p w14:paraId="69CB62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根据《政府信息公开信息处理费管理办法》规定，本年度未收取任何信息处理费。无其他报告事项。</w:t>
      </w:r>
    </w:p>
    <w:p w14:paraId="6397E05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E6DA24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1D1EBA7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乌拉特前旗住房和城乡建设局</w:t>
      </w:r>
    </w:p>
    <w:p w14:paraId="017676E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　　2024年1月15日       </w:t>
      </w:r>
    </w:p>
    <w:p w14:paraId="708C4AF5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字魂55号-龙吟手书">
    <w:panose1 w:val="000005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0057DA"/>
    <w:multiLevelType w:val="singleLevel"/>
    <w:tmpl w:val="490057D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OThmOWRiNDE5YmZlNmI2YmM2ZGE2YzVjMTM4YmYifQ=="/>
  </w:docVars>
  <w:rsids>
    <w:rsidRoot w:val="2A3D6ACE"/>
    <w:rsid w:val="2A3D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2024-09-24T07:48:00Z</dcterms:created>
  <dc:creator>吉祥如意</dc:creator>
  <cp:lastModifiedBy>吉祥如意</cp:lastModifiedBy>
  <dcterms:modified xsi:type="dcterms:W3CDTF">2024-09-24T07:59:24Z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F54D61838BA644CD84D985C77C90F97B_11</vt:lpwstr>
  </property>
</Properties>
</file>